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1773D" w14:textId="62FA7124" w:rsidR="00CC6FFB" w:rsidRPr="00A839DD" w:rsidRDefault="002D3053" w:rsidP="002A60C5">
      <w:pPr>
        <w:pStyle w:val="Titredummoire"/>
        <w:rPr>
          <w:rFonts w:ascii="Times New Roman" w:eastAsia="Times New Roman" w:hAnsi="Times New Roman" w:cs="Times New Roman"/>
          <w:sz w:val="24"/>
          <w:szCs w:val="24"/>
          <w:lang w:eastAsia="fr-CA"/>
        </w:rPr>
      </w:pPr>
      <w:r w:rsidRPr="00A839DD">
        <w:rPr>
          <w:rFonts w:ascii="Times New Roman" w:eastAsia="Times New Roman" w:hAnsi="Times New Roman" w:cs="Times New Roman"/>
          <w:noProof/>
          <w:color w:val="001042"/>
          <w:sz w:val="24"/>
          <w:szCs w:val="24"/>
          <w:lang w:eastAsia="fr-CA"/>
        </w:rPr>
        <w:drawing>
          <wp:anchor distT="0" distB="0" distL="114300" distR="114300" simplePos="0" relativeHeight="251658240" behindDoc="1" locked="0" layoutInCell="1" allowOverlap="1" wp14:anchorId="3E0968F2" wp14:editId="0D1007A8">
            <wp:simplePos x="0" y="0"/>
            <wp:positionH relativeFrom="column">
              <wp:posOffset>-895019</wp:posOffset>
            </wp:positionH>
            <wp:positionV relativeFrom="paragraph">
              <wp:posOffset>-1271296</wp:posOffset>
            </wp:positionV>
            <wp:extent cx="7772400" cy="10101685"/>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836" cy="10102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54C91" w14:textId="0F992799" w:rsidR="00CC6FFB" w:rsidRPr="00A839DD" w:rsidRDefault="00CC6FFB" w:rsidP="002A60C5">
      <w:pPr>
        <w:pStyle w:val="Titredummoire"/>
        <w:rPr>
          <w:rFonts w:ascii="Times New Roman" w:eastAsia="Times New Roman" w:hAnsi="Times New Roman" w:cs="Times New Roman"/>
          <w:sz w:val="24"/>
          <w:szCs w:val="24"/>
          <w:lang w:eastAsia="fr-CA"/>
        </w:rPr>
      </w:pPr>
    </w:p>
    <w:p w14:paraId="3223383D" w14:textId="3D99E6DC" w:rsidR="00260366" w:rsidRPr="00A839DD" w:rsidRDefault="00260366" w:rsidP="002A60C5">
      <w:pPr>
        <w:pStyle w:val="Titredummoire"/>
      </w:pPr>
    </w:p>
    <w:p w14:paraId="4FFD5E7A" w14:textId="78331E96" w:rsidR="0055533B" w:rsidRPr="00A839DD" w:rsidRDefault="00F5120D" w:rsidP="002A60C5">
      <w:pPr>
        <w:rPr>
          <w:b/>
          <w:bCs/>
        </w:rPr>
      </w:pPr>
      <w:r w:rsidRPr="00A839DD">
        <w:rPr>
          <w:rFonts w:ascii="Aptos Light" w:hAnsi="Aptos Light"/>
          <w:b/>
          <w:color w:val="001042"/>
          <w:sz w:val="56"/>
        </w:rPr>
        <w:t>L’</w:t>
      </w:r>
      <w:r w:rsidR="009A3C64" w:rsidRPr="00A839DD">
        <w:rPr>
          <w:rFonts w:ascii="Aptos Light" w:hAnsi="Aptos Light"/>
          <w:b/>
          <w:color w:val="001042"/>
          <w:sz w:val="56"/>
        </w:rPr>
        <w:t xml:space="preserve">égalité </w:t>
      </w:r>
      <w:r w:rsidR="009A3C64" w:rsidRPr="00B64C0C">
        <w:rPr>
          <w:rFonts w:ascii="Aptos Light" w:hAnsi="Aptos Light"/>
          <w:b/>
          <w:color w:val="0F243E"/>
          <w:sz w:val="56"/>
        </w:rPr>
        <w:t>réelle</w:t>
      </w:r>
      <w:r w:rsidR="009A3C64" w:rsidRPr="00A839DD">
        <w:rPr>
          <w:rFonts w:ascii="Aptos Light" w:hAnsi="Aptos Light"/>
          <w:b/>
          <w:color w:val="001042"/>
          <w:sz w:val="56"/>
        </w:rPr>
        <w:t xml:space="preserve"> se fait toujours attendre</w:t>
      </w:r>
    </w:p>
    <w:p w14:paraId="5A0C42D4" w14:textId="46796729" w:rsidR="000973BC" w:rsidRPr="00A839DD" w:rsidRDefault="000973BC" w:rsidP="002A60C5">
      <w:pPr>
        <w:suppressAutoHyphens w:val="0"/>
        <w:autoSpaceDE/>
        <w:autoSpaceDN/>
        <w:adjustRightInd/>
        <w:textAlignment w:val="auto"/>
        <w:rPr>
          <w:sz w:val="72"/>
          <w:szCs w:val="72"/>
        </w:rPr>
      </w:pPr>
    </w:p>
    <w:p w14:paraId="1AFF7AE7" w14:textId="3124A34A" w:rsidR="000973BC" w:rsidRPr="002548E4" w:rsidRDefault="007C7D48" w:rsidP="002D3053">
      <w:pPr>
        <w:pStyle w:val="sous-titredummoireoutude"/>
        <w:pBdr>
          <w:top w:val="single" w:sz="2" w:space="1" w:color="BFBFBF" w:themeColor="background1" w:themeShade="BF"/>
          <w:bottom w:val="single" w:sz="2" w:space="1" w:color="BFBFBF" w:themeColor="background1" w:themeShade="BF"/>
        </w:pBdr>
        <w:tabs>
          <w:tab w:val="clear" w:pos="1985"/>
        </w:tabs>
        <w:ind w:right="3734"/>
        <w:rPr>
          <w:sz w:val="40"/>
          <w:szCs w:val="40"/>
          <w:lang w:val="fr-CA"/>
        </w:rPr>
      </w:pPr>
      <w:r w:rsidRPr="002548E4">
        <w:rPr>
          <w:sz w:val="40"/>
          <w:szCs w:val="40"/>
          <w:lang w:val="fr-CA"/>
        </w:rPr>
        <w:t>30 ans de plaintes pour discrimination</w:t>
      </w:r>
      <w:r w:rsidR="00383DE5" w:rsidRPr="002548E4">
        <w:rPr>
          <w:sz w:val="40"/>
          <w:szCs w:val="40"/>
          <w:lang w:val="fr-CA"/>
        </w:rPr>
        <w:t xml:space="preserve"> </w:t>
      </w:r>
      <w:r w:rsidRPr="002548E4">
        <w:rPr>
          <w:sz w:val="40"/>
          <w:szCs w:val="40"/>
          <w:lang w:val="fr-CA"/>
        </w:rPr>
        <w:t>en emploi</w:t>
      </w:r>
      <w:r w:rsidR="00383DE5" w:rsidRPr="002548E4">
        <w:rPr>
          <w:sz w:val="40"/>
          <w:szCs w:val="40"/>
          <w:lang w:val="fr-CA"/>
        </w:rPr>
        <w:br/>
      </w:r>
      <w:r w:rsidRPr="002548E4">
        <w:rPr>
          <w:sz w:val="40"/>
          <w:szCs w:val="40"/>
          <w:lang w:val="fr-CA"/>
        </w:rPr>
        <w:t>envers des personnes</w:t>
      </w:r>
      <w:r w:rsidR="00742371" w:rsidRPr="002548E4">
        <w:rPr>
          <w:sz w:val="40"/>
          <w:szCs w:val="40"/>
          <w:lang w:val="fr-CA"/>
        </w:rPr>
        <w:t xml:space="preserve"> </w:t>
      </w:r>
      <w:r w:rsidRPr="002548E4">
        <w:rPr>
          <w:sz w:val="40"/>
          <w:szCs w:val="40"/>
          <w:lang w:val="fr-CA"/>
        </w:rPr>
        <w:t>LGBTQ+</w:t>
      </w:r>
    </w:p>
    <w:p w14:paraId="57BEA291" w14:textId="72D68BBE" w:rsidR="000973BC" w:rsidRPr="00A839DD" w:rsidRDefault="000973BC" w:rsidP="002A60C5">
      <w:pPr>
        <w:suppressAutoHyphens w:val="0"/>
        <w:autoSpaceDE/>
        <w:autoSpaceDN/>
        <w:adjustRightInd/>
        <w:textAlignment w:val="auto"/>
      </w:pPr>
    </w:p>
    <w:p w14:paraId="1CDDA25D" w14:textId="3C70DA4C" w:rsidR="000973BC" w:rsidRPr="00A839DD" w:rsidRDefault="000973BC" w:rsidP="002A60C5">
      <w:pPr>
        <w:suppressAutoHyphens w:val="0"/>
        <w:autoSpaceDE/>
        <w:autoSpaceDN/>
        <w:adjustRightInd/>
        <w:textAlignment w:val="auto"/>
      </w:pPr>
    </w:p>
    <w:p w14:paraId="12D32B26" w14:textId="5B10FF27" w:rsidR="000973BC" w:rsidRPr="00A839DD" w:rsidRDefault="000973BC" w:rsidP="002A60C5">
      <w:pPr>
        <w:suppressAutoHyphens w:val="0"/>
        <w:autoSpaceDE/>
        <w:autoSpaceDN/>
        <w:adjustRightInd/>
        <w:textAlignment w:val="auto"/>
      </w:pPr>
    </w:p>
    <w:p w14:paraId="45690919" w14:textId="1E17223E" w:rsidR="000973BC" w:rsidRPr="00A839DD" w:rsidRDefault="000973BC" w:rsidP="002A60C5">
      <w:pPr>
        <w:suppressAutoHyphens w:val="0"/>
        <w:autoSpaceDE/>
        <w:autoSpaceDN/>
        <w:adjustRightInd/>
        <w:textAlignment w:val="auto"/>
      </w:pPr>
    </w:p>
    <w:p w14:paraId="27A286E4" w14:textId="7D2F1B6C" w:rsidR="000973BC" w:rsidRPr="00A839DD" w:rsidRDefault="000973BC" w:rsidP="002A60C5">
      <w:pPr>
        <w:suppressAutoHyphens w:val="0"/>
        <w:autoSpaceDE/>
        <w:autoSpaceDN/>
        <w:adjustRightInd/>
        <w:textAlignment w:val="auto"/>
      </w:pPr>
    </w:p>
    <w:p w14:paraId="0B78DA81" w14:textId="2F290C1F" w:rsidR="000973BC" w:rsidRPr="00A839DD" w:rsidRDefault="000973BC" w:rsidP="002A60C5">
      <w:pPr>
        <w:suppressAutoHyphens w:val="0"/>
        <w:autoSpaceDE/>
        <w:autoSpaceDN/>
        <w:adjustRightInd/>
        <w:textAlignment w:val="auto"/>
      </w:pPr>
    </w:p>
    <w:p w14:paraId="174372F8" w14:textId="0FEC0579" w:rsidR="000973BC" w:rsidRPr="00A839DD" w:rsidRDefault="000973BC" w:rsidP="002A60C5">
      <w:pPr>
        <w:suppressAutoHyphens w:val="0"/>
        <w:autoSpaceDE/>
        <w:autoSpaceDN/>
        <w:adjustRightInd/>
        <w:textAlignment w:val="auto"/>
      </w:pPr>
    </w:p>
    <w:p w14:paraId="1038A9D9" w14:textId="77777777" w:rsidR="003E42B3" w:rsidRPr="00A839DD" w:rsidRDefault="003E42B3" w:rsidP="002A60C5">
      <w:pPr>
        <w:suppressAutoHyphens w:val="0"/>
        <w:autoSpaceDE/>
        <w:autoSpaceDN/>
        <w:adjustRightInd/>
        <w:textAlignment w:val="auto"/>
      </w:pPr>
    </w:p>
    <w:p w14:paraId="5A0086E5" w14:textId="77777777" w:rsidR="003E42B3" w:rsidRPr="00A839DD" w:rsidRDefault="003E42B3" w:rsidP="002A60C5">
      <w:pPr>
        <w:suppressAutoHyphens w:val="0"/>
        <w:autoSpaceDE/>
        <w:autoSpaceDN/>
        <w:adjustRightInd/>
        <w:textAlignment w:val="auto"/>
      </w:pPr>
    </w:p>
    <w:p w14:paraId="04906692" w14:textId="77777777" w:rsidR="003E42B3" w:rsidRPr="00A839DD" w:rsidRDefault="003E42B3" w:rsidP="002A60C5">
      <w:pPr>
        <w:suppressAutoHyphens w:val="0"/>
        <w:autoSpaceDE/>
        <w:autoSpaceDN/>
        <w:adjustRightInd/>
        <w:textAlignment w:val="auto"/>
      </w:pPr>
    </w:p>
    <w:p w14:paraId="6478C690" w14:textId="77777777" w:rsidR="003E42B3" w:rsidRPr="00A839DD" w:rsidRDefault="003E42B3" w:rsidP="002A60C5">
      <w:pPr>
        <w:suppressAutoHyphens w:val="0"/>
        <w:autoSpaceDE/>
        <w:autoSpaceDN/>
        <w:adjustRightInd/>
        <w:textAlignment w:val="auto"/>
      </w:pPr>
    </w:p>
    <w:p w14:paraId="5AB62CA8" w14:textId="77777777" w:rsidR="003E42B3" w:rsidRPr="00A839DD" w:rsidRDefault="003E42B3" w:rsidP="002A60C5">
      <w:pPr>
        <w:suppressAutoHyphens w:val="0"/>
        <w:autoSpaceDE/>
        <w:autoSpaceDN/>
        <w:adjustRightInd/>
        <w:textAlignment w:val="auto"/>
      </w:pPr>
    </w:p>
    <w:p w14:paraId="2A7ABEC3" w14:textId="77777777" w:rsidR="003E42B3" w:rsidRPr="00A839DD" w:rsidRDefault="003E42B3" w:rsidP="002A60C5">
      <w:pPr>
        <w:suppressAutoHyphens w:val="0"/>
        <w:autoSpaceDE/>
        <w:autoSpaceDN/>
        <w:adjustRightInd/>
        <w:textAlignment w:val="auto"/>
      </w:pPr>
    </w:p>
    <w:p w14:paraId="6DAA7777" w14:textId="77777777" w:rsidR="003E42B3" w:rsidRPr="00A839DD" w:rsidRDefault="003E42B3" w:rsidP="002A60C5">
      <w:pPr>
        <w:suppressAutoHyphens w:val="0"/>
        <w:autoSpaceDE/>
        <w:autoSpaceDN/>
        <w:adjustRightInd/>
        <w:textAlignment w:val="auto"/>
      </w:pPr>
    </w:p>
    <w:p w14:paraId="449EBB25" w14:textId="77777777" w:rsidR="003E42B3" w:rsidRPr="00A839DD" w:rsidRDefault="003E42B3" w:rsidP="002A60C5">
      <w:pPr>
        <w:suppressAutoHyphens w:val="0"/>
        <w:autoSpaceDE/>
        <w:autoSpaceDN/>
        <w:adjustRightInd/>
        <w:textAlignment w:val="auto"/>
      </w:pPr>
    </w:p>
    <w:p w14:paraId="42B33179" w14:textId="77777777" w:rsidR="003E42B3" w:rsidRPr="00A839DD" w:rsidRDefault="003E42B3" w:rsidP="002A60C5">
      <w:pPr>
        <w:suppressAutoHyphens w:val="0"/>
        <w:autoSpaceDE/>
        <w:autoSpaceDN/>
        <w:adjustRightInd/>
        <w:textAlignment w:val="auto"/>
      </w:pPr>
    </w:p>
    <w:p w14:paraId="47EBE783" w14:textId="77777777" w:rsidR="003E42B3" w:rsidRPr="00A839DD" w:rsidRDefault="003E42B3" w:rsidP="002A60C5">
      <w:pPr>
        <w:suppressAutoHyphens w:val="0"/>
        <w:autoSpaceDE/>
        <w:autoSpaceDN/>
        <w:adjustRightInd/>
        <w:textAlignment w:val="auto"/>
      </w:pPr>
    </w:p>
    <w:p w14:paraId="2F2C20CB" w14:textId="77777777" w:rsidR="00A6445E" w:rsidRPr="00A839DD" w:rsidRDefault="00A6445E" w:rsidP="002A60C5">
      <w:pPr>
        <w:suppressAutoHyphens w:val="0"/>
        <w:autoSpaceDE/>
        <w:autoSpaceDN/>
        <w:adjustRightInd/>
        <w:textAlignment w:val="auto"/>
      </w:pPr>
    </w:p>
    <w:p w14:paraId="612B1683" w14:textId="77777777" w:rsidR="00A6445E" w:rsidRPr="00A839DD" w:rsidRDefault="00A6445E" w:rsidP="002A60C5">
      <w:pPr>
        <w:suppressAutoHyphens w:val="0"/>
        <w:autoSpaceDE/>
        <w:autoSpaceDN/>
        <w:adjustRightInd/>
        <w:textAlignment w:val="auto"/>
      </w:pPr>
    </w:p>
    <w:p w14:paraId="4C7D7FCA" w14:textId="77777777" w:rsidR="00A6445E" w:rsidRPr="00A839DD" w:rsidRDefault="00A6445E" w:rsidP="002A60C5">
      <w:pPr>
        <w:suppressAutoHyphens w:val="0"/>
        <w:autoSpaceDE/>
        <w:autoSpaceDN/>
        <w:adjustRightInd/>
        <w:textAlignment w:val="auto"/>
      </w:pPr>
    </w:p>
    <w:p w14:paraId="547D6F35" w14:textId="77777777" w:rsidR="00A6445E" w:rsidRPr="00A839DD" w:rsidRDefault="00A6445E" w:rsidP="002A60C5">
      <w:pPr>
        <w:suppressAutoHyphens w:val="0"/>
        <w:autoSpaceDE/>
        <w:autoSpaceDN/>
        <w:adjustRightInd/>
        <w:textAlignment w:val="auto"/>
      </w:pPr>
    </w:p>
    <w:p w14:paraId="4DB5E7C8" w14:textId="77777777" w:rsidR="00A6445E" w:rsidRPr="00A839DD" w:rsidRDefault="00A6445E" w:rsidP="002A60C5">
      <w:pPr>
        <w:suppressAutoHyphens w:val="0"/>
        <w:autoSpaceDE/>
        <w:autoSpaceDN/>
        <w:adjustRightInd/>
        <w:textAlignment w:val="auto"/>
      </w:pPr>
    </w:p>
    <w:p w14:paraId="7EB2F1BC" w14:textId="77777777" w:rsidR="00A6445E" w:rsidRPr="00A839DD" w:rsidRDefault="00A6445E" w:rsidP="002A60C5">
      <w:pPr>
        <w:suppressAutoHyphens w:val="0"/>
        <w:autoSpaceDE/>
        <w:autoSpaceDN/>
        <w:adjustRightInd/>
        <w:textAlignment w:val="auto"/>
      </w:pPr>
    </w:p>
    <w:p w14:paraId="79EF81EB" w14:textId="77777777" w:rsidR="00A6445E" w:rsidRPr="00A839DD" w:rsidRDefault="00A6445E" w:rsidP="002A60C5">
      <w:pPr>
        <w:suppressAutoHyphens w:val="0"/>
        <w:autoSpaceDE/>
        <w:autoSpaceDN/>
        <w:adjustRightInd/>
        <w:textAlignment w:val="auto"/>
      </w:pPr>
    </w:p>
    <w:p w14:paraId="705C911E" w14:textId="77777777" w:rsidR="00A6445E" w:rsidRPr="00A839DD" w:rsidRDefault="00A6445E" w:rsidP="002A60C5">
      <w:pPr>
        <w:suppressAutoHyphens w:val="0"/>
        <w:autoSpaceDE/>
        <w:autoSpaceDN/>
        <w:adjustRightInd/>
        <w:textAlignment w:val="auto"/>
      </w:pPr>
    </w:p>
    <w:p w14:paraId="34FB535B" w14:textId="1FC69950" w:rsidR="00A6445E" w:rsidRPr="00A839DD" w:rsidRDefault="00A6445E" w:rsidP="002A60C5">
      <w:pPr>
        <w:suppressAutoHyphens w:val="0"/>
        <w:autoSpaceDE/>
        <w:autoSpaceDN/>
        <w:adjustRightInd/>
        <w:textAlignment w:val="auto"/>
        <w:sectPr w:rsidR="00A6445E" w:rsidRPr="00A839DD" w:rsidSect="00FB315B">
          <w:headerReference w:type="even" r:id="rId13"/>
          <w:headerReference w:type="default" r:id="rId14"/>
          <w:footerReference w:type="default" r:id="rId15"/>
          <w:headerReference w:type="first" r:id="rId16"/>
          <w:footerReference w:type="first" r:id="rId17"/>
          <w:pgSz w:w="12240" w:h="15840" w:code="1"/>
          <w:pgMar w:top="1985" w:right="1134" w:bottom="1418" w:left="1418" w:header="709" w:footer="709" w:gutter="0"/>
          <w:pgNumType w:fmt="lowerRoman"/>
          <w:cols w:space="708"/>
          <w:titlePg/>
          <w:docGrid w:linePitch="360"/>
        </w:sectPr>
      </w:pPr>
    </w:p>
    <w:p w14:paraId="45EFCAFD" w14:textId="77777777" w:rsidR="00A6445E" w:rsidRPr="00A839DD" w:rsidRDefault="00A6445E" w:rsidP="002A60C5">
      <w:pPr>
        <w:suppressAutoHyphens w:val="0"/>
        <w:autoSpaceDE/>
        <w:autoSpaceDN/>
        <w:adjustRightInd/>
        <w:textAlignment w:val="auto"/>
      </w:pPr>
    </w:p>
    <w:p w14:paraId="79B9904E" w14:textId="77777777" w:rsidR="003F2D5C" w:rsidRPr="00A839DD" w:rsidRDefault="003F2D5C" w:rsidP="002A60C5"/>
    <w:p w14:paraId="1E2D4C0A" w14:textId="77777777" w:rsidR="003F2D5C" w:rsidRPr="00A839DD" w:rsidRDefault="003F2D5C" w:rsidP="002A60C5"/>
    <w:p w14:paraId="63020520" w14:textId="77777777" w:rsidR="003F2D5C" w:rsidRPr="00A839DD" w:rsidRDefault="003F2D5C" w:rsidP="002A60C5"/>
    <w:p w14:paraId="4F84DA6F" w14:textId="77777777" w:rsidR="00265837" w:rsidRPr="00A839DD" w:rsidRDefault="00265837" w:rsidP="00845FF5">
      <w:pPr>
        <w:rPr>
          <w:rFonts w:cs="Arial"/>
          <w:color w:val="0F243E"/>
        </w:rPr>
      </w:pPr>
    </w:p>
    <w:p w14:paraId="031B68C6" w14:textId="77777777" w:rsidR="00265837" w:rsidRPr="00A839DD" w:rsidRDefault="00265837" w:rsidP="00845FF5">
      <w:pPr>
        <w:rPr>
          <w:rFonts w:cs="Arial"/>
          <w:color w:val="0F243E"/>
        </w:rPr>
      </w:pPr>
    </w:p>
    <w:p w14:paraId="5A27B5AF" w14:textId="77777777" w:rsidR="00265837" w:rsidRPr="00A839DD" w:rsidRDefault="00265837" w:rsidP="00845FF5">
      <w:pPr>
        <w:rPr>
          <w:rFonts w:cs="Arial"/>
          <w:color w:val="0F243E"/>
        </w:rPr>
      </w:pPr>
    </w:p>
    <w:p w14:paraId="6AA6AFE7" w14:textId="77777777" w:rsidR="00265837" w:rsidRPr="00A839DD" w:rsidRDefault="00265837" w:rsidP="00845FF5">
      <w:pPr>
        <w:rPr>
          <w:rFonts w:cs="Arial"/>
          <w:color w:val="0F243E"/>
        </w:rPr>
      </w:pPr>
    </w:p>
    <w:p w14:paraId="20A24444" w14:textId="77777777" w:rsidR="00EB61B5" w:rsidRDefault="00EB61B5" w:rsidP="00845FF5">
      <w:pPr>
        <w:rPr>
          <w:rFonts w:cs="Arial"/>
          <w:color w:val="0F243E"/>
        </w:rPr>
      </w:pPr>
    </w:p>
    <w:p w14:paraId="04A362AB" w14:textId="77777777" w:rsidR="00EB61B5" w:rsidRPr="00A839DD" w:rsidRDefault="00EB61B5" w:rsidP="00845FF5">
      <w:pPr>
        <w:rPr>
          <w:rFonts w:cs="Arial"/>
          <w:color w:val="0F243E"/>
        </w:rPr>
      </w:pPr>
    </w:p>
    <w:p w14:paraId="07B99487" w14:textId="77777777" w:rsidR="00265837" w:rsidRPr="00A839DD" w:rsidRDefault="00265837" w:rsidP="00845FF5">
      <w:pPr>
        <w:rPr>
          <w:rFonts w:cs="Arial"/>
          <w:color w:val="0F243E"/>
        </w:rPr>
      </w:pPr>
    </w:p>
    <w:p w14:paraId="408E1E00" w14:textId="78F84B22" w:rsidR="00845FF5" w:rsidRPr="00A839DD" w:rsidRDefault="00845FF5" w:rsidP="002A2862">
      <w:pPr>
        <w:spacing w:before="120" w:after="120"/>
        <w:rPr>
          <w:rFonts w:cs="Arial"/>
          <w:color w:val="953D89"/>
        </w:rPr>
      </w:pPr>
      <w:r w:rsidRPr="00A839DD">
        <w:rPr>
          <w:rFonts w:cs="Arial"/>
          <w:color w:val="953D89"/>
        </w:rPr>
        <w:t xml:space="preserve">Recherche, analyse et rédaction </w:t>
      </w:r>
    </w:p>
    <w:p w14:paraId="2721C8C2" w14:textId="308253CE" w:rsidR="00845FF5" w:rsidRPr="00A839DD" w:rsidRDefault="00845FF5" w:rsidP="00845FF5">
      <w:pPr>
        <w:tabs>
          <w:tab w:val="left" w:pos="709"/>
        </w:tabs>
        <w:ind w:left="709" w:hanging="709"/>
        <w:rPr>
          <w:rFonts w:cs="Arial"/>
          <w:b/>
          <w:bCs/>
        </w:rPr>
      </w:pPr>
      <w:r w:rsidRPr="00A839DD">
        <w:rPr>
          <w:rFonts w:cs="Arial"/>
          <w:i/>
          <w:iCs/>
        </w:rPr>
        <w:tab/>
      </w:r>
      <w:r w:rsidRPr="00A839DD">
        <w:rPr>
          <w:rFonts w:cs="Arial"/>
        </w:rPr>
        <w:t>Samuel BLOUIN, chercheur</w:t>
      </w:r>
    </w:p>
    <w:p w14:paraId="561F88DA" w14:textId="77777777" w:rsidR="00845FF5" w:rsidRPr="00A839DD" w:rsidRDefault="00845FF5" w:rsidP="00845FF5">
      <w:pPr>
        <w:tabs>
          <w:tab w:val="left" w:pos="709"/>
        </w:tabs>
        <w:ind w:left="709" w:hanging="709"/>
        <w:rPr>
          <w:rFonts w:cs="Arial"/>
          <w:b/>
          <w:bCs/>
        </w:rPr>
      </w:pPr>
      <w:r w:rsidRPr="00A839DD">
        <w:rPr>
          <w:rFonts w:cs="Arial"/>
        </w:rPr>
        <w:tab/>
        <w:t>Direction de la recherche</w:t>
      </w:r>
    </w:p>
    <w:p w14:paraId="12D1ECE3" w14:textId="77777777" w:rsidR="00845FF5" w:rsidRPr="00A839DD" w:rsidRDefault="00845FF5" w:rsidP="00845FF5">
      <w:pPr>
        <w:rPr>
          <w:rFonts w:cs="Arial"/>
          <w:b/>
          <w:bCs/>
        </w:rPr>
      </w:pPr>
    </w:p>
    <w:p w14:paraId="1A798434" w14:textId="77777777" w:rsidR="00845FF5" w:rsidRPr="00A839DD" w:rsidRDefault="00845FF5" w:rsidP="002A2862">
      <w:pPr>
        <w:spacing w:before="120" w:after="120"/>
        <w:rPr>
          <w:rFonts w:cs="Arial"/>
          <w:color w:val="953D89"/>
        </w:rPr>
      </w:pPr>
      <w:r w:rsidRPr="00A839DD">
        <w:rPr>
          <w:rFonts w:cs="Arial"/>
          <w:color w:val="953D89"/>
        </w:rPr>
        <w:t>Recherche et analyse</w:t>
      </w:r>
    </w:p>
    <w:p w14:paraId="42D17A29" w14:textId="027BF40A" w:rsidR="00845FF5" w:rsidRPr="00A839DD" w:rsidRDefault="00845FF5" w:rsidP="00845FF5">
      <w:pPr>
        <w:ind w:left="708"/>
      </w:pPr>
      <w:r w:rsidRPr="00A839DD">
        <w:t>Martín BERTOLOTTI, stagiaire</w:t>
      </w:r>
    </w:p>
    <w:p w14:paraId="7948445E" w14:textId="0E423011" w:rsidR="00845FF5" w:rsidRPr="00A839DD" w:rsidRDefault="00845FF5" w:rsidP="00845FF5">
      <w:pPr>
        <w:ind w:left="708"/>
      </w:pPr>
      <w:r w:rsidRPr="00A839DD">
        <w:t>Emma BOUFFARD, stagiaire</w:t>
      </w:r>
    </w:p>
    <w:p w14:paraId="6473C34E" w14:textId="048CA883" w:rsidR="00845FF5" w:rsidRPr="00A839DD" w:rsidRDefault="00845FF5" w:rsidP="00845FF5">
      <w:pPr>
        <w:tabs>
          <w:tab w:val="left" w:pos="709"/>
        </w:tabs>
        <w:ind w:left="709" w:hanging="709"/>
        <w:rPr>
          <w:rFonts w:cs="Arial"/>
        </w:rPr>
      </w:pPr>
      <w:r w:rsidRPr="00A839DD">
        <w:rPr>
          <w:rFonts w:cs="Arial"/>
        </w:rPr>
        <w:tab/>
      </w:r>
      <w:r w:rsidR="008F7FFB" w:rsidRPr="00A839DD">
        <w:rPr>
          <w:rFonts w:cs="Arial"/>
        </w:rPr>
        <w:t>Projet SAVIE-LGBTQ et Direction de la recherche</w:t>
      </w:r>
    </w:p>
    <w:p w14:paraId="48187C99" w14:textId="77777777" w:rsidR="00845FF5" w:rsidRPr="00A839DD" w:rsidRDefault="00845FF5" w:rsidP="00845FF5">
      <w:pPr>
        <w:tabs>
          <w:tab w:val="left" w:pos="709"/>
        </w:tabs>
        <w:ind w:left="709" w:hanging="709"/>
        <w:rPr>
          <w:rFonts w:cs="Arial"/>
        </w:rPr>
      </w:pPr>
    </w:p>
    <w:p w14:paraId="6E70DDAF" w14:textId="77777777" w:rsidR="00845FF5" w:rsidRPr="00A839DD" w:rsidRDefault="00845FF5" w:rsidP="002A2862">
      <w:pPr>
        <w:spacing w:before="120" w:after="120"/>
        <w:rPr>
          <w:rFonts w:cs="Arial"/>
          <w:color w:val="953D89"/>
        </w:rPr>
      </w:pPr>
      <w:r w:rsidRPr="00A839DD">
        <w:rPr>
          <w:rFonts w:cs="Arial"/>
          <w:color w:val="953D89"/>
        </w:rPr>
        <w:t>Collaboration à la recherche, à l’analyse et à la rédaction</w:t>
      </w:r>
    </w:p>
    <w:p w14:paraId="7AF5762F" w14:textId="10D37DF7" w:rsidR="00845FF5" w:rsidRPr="00A839DD" w:rsidRDefault="00845FF5" w:rsidP="00845FF5">
      <w:pPr>
        <w:ind w:left="708"/>
      </w:pPr>
      <w:r w:rsidRPr="00A839DD">
        <w:t>M</w:t>
      </w:r>
      <w:r w:rsidRPr="00A839DD">
        <w:rPr>
          <w:vertAlign w:val="superscript"/>
        </w:rPr>
        <w:t>e</w:t>
      </w:r>
      <w:r w:rsidRPr="00A839DD">
        <w:t xml:space="preserve"> Geneviève ST-LAURENT, conseillère juridique</w:t>
      </w:r>
    </w:p>
    <w:p w14:paraId="35C3F3C4" w14:textId="77777777" w:rsidR="00845FF5" w:rsidRPr="00A839DD" w:rsidRDefault="00845FF5" w:rsidP="00845FF5">
      <w:pPr>
        <w:ind w:left="708"/>
      </w:pPr>
      <w:r w:rsidRPr="00A839DD">
        <w:t>Direction de la recherche</w:t>
      </w:r>
    </w:p>
    <w:p w14:paraId="396B886F" w14:textId="77777777" w:rsidR="00845FF5" w:rsidRPr="00A839DD" w:rsidRDefault="00845FF5" w:rsidP="00845FF5">
      <w:pPr>
        <w:tabs>
          <w:tab w:val="left" w:pos="709"/>
        </w:tabs>
        <w:ind w:left="709" w:hanging="709"/>
        <w:rPr>
          <w:rFonts w:cs="Arial"/>
          <w:b/>
          <w:bCs/>
        </w:rPr>
      </w:pPr>
    </w:p>
    <w:p w14:paraId="6D5DE92E" w14:textId="77777777" w:rsidR="00845FF5" w:rsidRPr="00A839DD" w:rsidRDefault="00845FF5" w:rsidP="002A2862">
      <w:pPr>
        <w:spacing w:before="120" w:after="120"/>
        <w:rPr>
          <w:rFonts w:cs="Arial"/>
          <w:color w:val="953D89"/>
        </w:rPr>
      </w:pPr>
      <w:r w:rsidRPr="00A839DD">
        <w:rPr>
          <w:rFonts w:cs="Arial"/>
          <w:color w:val="953D89"/>
        </w:rPr>
        <w:t>Soutien à la recherche</w:t>
      </w:r>
    </w:p>
    <w:p w14:paraId="4680C188" w14:textId="77777777" w:rsidR="00845FF5" w:rsidRPr="00A839DD" w:rsidRDefault="00845FF5" w:rsidP="00845FF5">
      <w:pPr>
        <w:ind w:left="708"/>
      </w:pPr>
      <w:r w:rsidRPr="00A839DD">
        <w:t>Ramon AVILA, analyste de la gestion et des procédés administratifs</w:t>
      </w:r>
    </w:p>
    <w:p w14:paraId="548D679B" w14:textId="77777777" w:rsidR="00845FF5" w:rsidRPr="00A839DD" w:rsidRDefault="00845FF5" w:rsidP="00845FF5">
      <w:pPr>
        <w:ind w:left="708"/>
      </w:pPr>
      <w:r w:rsidRPr="00A839DD">
        <w:t>Direction des ressources informationnelles, matérielles et immobilières</w:t>
      </w:r>
    </w:p>
    <w:p w14:paraId="02084E5C" w14:textId="77777777" w:rsidR="00845FF5" w:rsidRPr="00A839DD" w:rsidRDefault="00845FF5" w:rsidP="00845FF5">
      <w:pPr>
        <w:ind w:left="708"/>
      </w:pPr>
    </w:p>
    <w:p w14:paraId="46C78844" w14:textId="13B2C317" w:rsidR="00845FF5" w:rsidRPr="00A839DD" w:rsidRDefault="00845FF5" w:rsidP="00845FF5">
      <w:pPr>
        <w:ind w:left="708"/>
      </w:pPr>
      <w:r w:rsidRPr="00A839DD">
        <w:t>Emmanuel BANCE, technicien à la recherche</w:t>
      </w:r>
    </w:p>
    <w:p w14:paraId="6FC36A99" w14:textId="77777777" w:rsidR="00845FF5" w:rsidRPr="00A839DD" w:rsidRDefault="00845FF5" w:rsidP="00845FF5">
      <w:pPr>
        <w:ind w:left="708"/>
      </w:pPr>
      <w:r w:rsidRPr="00A839DD">
        <w:t>Direction de la recherche</w:t>
      </w:r>
    </w:p>
    <w:p w14:paraId="36DD5DE1" w14:textId="77777777" w:rsidR="00845FF5" w:rsidRPr="00A839DD" w:rsidRDefault="00845FF5" w:rsidP="00845FF5">
      <w:pPr>
        <w:ind w:left="708"/>
      </w:pPr>
    </w:p>
    <w:p w14:paraId="088D5F9C" w14:textId="0EED23F1" w:rsidR="00845FF5" w:rsidRPr="00A839DD" w:rsidRDefault="00845FF5" w:rsidP="00845FF5">
      <w:pPr>
        <w:ind w:left="708"/>
      </w:pPr>
      <w:r w:rsidRPr="00A839DD">
        <w:t>Laura JULIEN, stagiaire</w:t>
      </w:r>
    </w:p>
    <w:p w14:paraId="32999773" w14:textId="77777777" w:rsidR="00845FF5" w:rsidRPr="00A839DD" w:rsidRDefault="00845FF5" w:rsidP="00845FF5">
      <w:pPr>
        <w:ind w:left="708"/>
      </w:pPr>
      <w:r w:rsidRPr="00A839DD">
        <w:t>Direction de la recherche</w:t>
      </w:r>
    </w:p>
    <w:p w14:paraId="25B0A662" w14:textId="77777777" w:rsidR="00711240" w:rsidRPr="00A839DD" w:rsidRDefault="00711240" w:rsidP="00711240"/>
    <w:p w14:paraId="3A848CA3" w14:textId="5A987C63" w:rsidR="00711240" w:rsidRPr="00A839DD" w:rsidRDefault="00711240" w:rsidP="002A2862">
      <w:pPr>
        <w:spacing w:before="120" w:after="120"/>
        <w:rPr>
          <w:rFonts w:cs="Arial"/>
          <w:color w:val="953D89"/>
        </w:rPr>
      </w:pPr>
      <w:r w:rsidRPr="00A839DD">
        <w:rPr>
          <w:rFonts w:cs="Arial"/>
          <w:color w:val="953D89"/>
        </w:rPr>
        <w:t>Soutien à l’analyse de données</w:t>
      </w:r>
    </w:p>
    <w:p w14:paraId="7DD73357" w14:textId="415EF906" w:rsidR="00711240" w:rsidRPr="00A839DD" w:rsidRDefault="002C46D4" w:rsidP="00711240">
      <w:pPr>
        <w:ind w:left="708"/>
      </w:pPr>
      <w:r w:rsidRPr="00A839DD">
        <w:t>Audrey ASSEMAN</w:t>
      </w:r>
      <w:r w:rsidR="00711240" w:rsidRPr="00A839DD">
        <w:t xml:space="preserve">, </w:t>
      </w:r>
      <w:r w:rsidRPr="00A839DD">
        <w:t>directrice</w:t>
      </w:r>
      <w:r w:rsidR="000E3693" w:rsidRPr="00A839DD">
        <w:t xml:space="preserve"> </w:t>
      </w:r>
    </w:p>
    <w:p w14:paraId="43D9900F" w14:textId="3085C2EA" w:rsidR="00711240" w:rsidRPr="00A839DD" w:rsidRDefault="00711240" w:rsidP="00711240">
      <w:pPr>
        <w:ind w:left="708"/>
      </w:pPr>
      <w:r w:rsidRPr="00A839DD">
        <w:t xml:space="preserve">Direction </w:t>
      </w:r>
      <w:r w:rsidR="000E3693" w:rsidRPr="00A839DD">
        <w:t>de l’accueil, de l’évaluation et de la médiation</w:t>
      </w:r>
    </w:p>
    <w:p w14:paraId="25103988" w14:textId="77777777" w:rsidR="009D65D2" w:rsidRPr="00A839DD" w:rsidRDefault="009D65D2" w:rsidP="00711240">
      <w:pPr>
        <w:ind w:left="708"/>
      </w:pPr>
    </w:p>
    <w:p w14:paraId="7CD1142E" w14:textId="6BEAA310" w:rsidR="009D65D2" w:rsidRPr="00A839DD" w:rsidRDefault="009D65D2" w:rsidP="00711240">
      <w:pPr>
        <w:ind w:left="708"/>
      </w:pPr>
      <w:r w:rsidRPr="00A839DD">
        <w:t>Diane PLANTE, analyste de la gestion et des procédés administratifs</w:t>
      </w:r>
    </w:p>
    <w:p w14:paraId="4A57BFD7" w14:textId="11BBC4B9" w:rsidR="009D65D2" w:rsidRPr="00A839DD" w:rsidRDefault="009D4C1A" w:rsidP="00711240">
      <w:pPr>
        <w:ind w:left="708"/>
      </w:pPr>
      <w:r w:rsidRPr="00A839DD">
        <w:t>Direction principale des opérations</w:t>
      </w:r>
    </w:p>
    <w:p w14:paraId="4953DDF5" w14:textId="77777777" w:rsidR="00845FF5" w:rsidRPr="00A839DD" w:rsidRDefault="00845FF5" w:rsidP="00D23FB9">
      <w:pPr>
        <w:tabs>
          <w:tab w:val="left" w:pos="709"/>
        </w:tabs>
        <w:rPr>
          <w:rFonts w:cs="Arial"/>
          <w:b/>
          <w:bCs/>
        </w:rPr>
      </w:pPr>
    </w:p>
    <w:p w14:paraId="3176EF46" w14:textId="77777777" w:rsidR="00845FF5" w:rsidRPr="00A839DD" w:rsidRDefault="00845FF5" w:rsidP="002A2862">
      <w:pPr>
        <w:spacing w:before="120" w:after="120"/>
        <w:rPr>
          <w:rFonts w:cs="Arial"/>
          <w:color w:val="953D89"/>
        </w:rPr>
      </w:pPr>
      <w:r w:rsidRPr="00A839DD">
        <w:rPr>
          <w:rFonts w:cs="Arial"/>
          <w:color w:val="953D89"/>
        </w:rPr>
        <w:t>Révision de texte et mise en page</w:t>
      </w:r>
    </w:p>
    <w:p w14:paraId="3AC62027" w14:textId="25C86455" w:rsidR="00845FF5" w:rsidRPr="00A839DD" w:rsidRDefault="00845FF5" w:rsidP="00845FF5">
      <w:pPr>
        <w:tabs>
          <w:tab w:val="left" w:pos="709"/>
        </w:tabs>
        <w:ind w:left="709" w:hanging="709"/>
        <w:rPr>
          <w:rFonts w:cs="Arial"/>
        </w:rPr>
      </w:pPr>
      <w:r w:rsidRPr="00A839DD">
        <w:rPr>
          <w:rFonts w:cs="Arial"/>
        </w:rPr>
        <w:tab/>
        <w:t>Sylvie DURAND, technicienne en administration</w:t>
      </w:r>
    </w:p>
    <w:p w14:paraId="5DCC5C32" w14:textId="77777777" w:rsidR="00845FF5" w:rsidRPr="00A839DD" w:rsidRDefault="00845FF5" w:rsidP="00845FF5">
      <w:pPr>
        <w:tabs>
          <w:tab w:val="left" w:pos="709"/>
        </w:tabs>
        <w:ind w:left="709" w:hanging="709"/>
        <w:rPr>
          <w:rFonts w:cs="Arial"/>
        </w:rPr>
      </w:pPr>
      <w:r w:rsidRPr="00A839DD">
        <w:rPr>
          <w:rFonts w:cs="Arial"/>
        </w:rPr>
        <w:tab/>
        <w:t>Direction de la recherche</w:t>
      </w:r>
    </w:p>
    <w:p w14:paraId="03F9D6D0" w14:textId="77777777" w:rsidR="00845FF5" w:rsidRPr="00A839DD" w:rsidRDefault="00845FF5" w:rsidP="00845FF5">
      <w:pPr>
        <w:tabs>
          <w:tab w:val="left" w:pos="709"/>
        </w:tabs>
        <w:ind w:left="709" w:hanging="709"/>
        <w:rPr>
          <w:rFonts w:cs="Arial"/>
        </w:rPr>
      </w:pPr>
    </w:p>
    <w:p w14:paraId="22B2AB94" w14:textId="77777777" w:rsidR="00845FF5" w:rsidRPr="00A839DD" w:rsidRDefault="00845FF5" w:rsidP="002A2862">
      <w:pPr>
        <w:spacing w:before="120" w:after="120"/>
        <w:rPr>
          <w:rFonts w:cs="Arial"/>
          <w:color w:val="953D89"/>
        </w:rPr>
      </w:pPr>
      <w:r w:rsidRPr="00A839DD">
        <w:rPr>
          <w:rFonts w:cs="Arial"/>
          <w:color w:val="953D89"/>
        </w:rPr>
        <w:t>Recherche dans les archives</w:t>
      </w:r>
    </w:p>
    <w:p w14:paraId="3B6D0137" w14:textId="76FC70DC" w:rsidR="00845FF5" w:rsidRPr="00A839DD" w:rsidRDefault="00845FF5" w:rsidP="00845FF5">
      <w:pPr>
        <w:rPr>
          <w:rFonts w:cs="Arial"/>
        </w:rPr>
      </w:pPr>
      <w:r w:rsidRPr="00A839DD">
        <w:rPr>
          <w:rFonts w:cs="Arial"/>
          <w:color w:val="953D89"/>
        </w:rPr>
        <w:tab/>
      </w:r>
      <w:r w:rsidRPr="00A839DD">
        <w:rPr>
          <w:rFonts w:cs="Arial"/>
        </w:rPr>
        <w:t>Aurélie LEBRUN, chercheuse (jusqu’en 2018)</w:t>
      </w:r>
    </w:p>
    <w:p w14:paraId="5FD47A83" w14:textId="77777777" w:rsidR="00845FF5" w:rsidRPr="00A839DD" w:rsidRDefault="00845FF5" w:rsidP="00845FF5">
      <w:pPr>
        <w:rPr>
          <w:rFonts w:cs="Arial"/>
        </w:rPr>
      </w:pPr>
      <w:r w:rsidRPr="00A839DD">
        <w:rPr>
          <w:rFonts w:cs="Arial"/>
        </w:rPr>
        <w:tab/>
        <w:t>Direction de la recherche</w:t>
      </w:r>
    </w:p>
    <w:p w14:paraId="756CE421" w14:textId="77777777" w:rsidR="00845FF5" w:rsidRPr="00A839DD" w:rsidRDefault="00845FF5" w:rsidP="00845FF5">
      <w:pPr>
        <w:tabs>
          <w:tab w:val="left" w:pos="709"/>
        </w:tabs>
        <w:rPr>
          <w:rFonts w:cs="Arial"/>
        </w:rPr>
      </w:pPr>
    </w:p>
    <w:p w14:paraId="6D78BF72" w14:textId="42B3884A" w:rsidR="00845FF5" w:rsidRPr="00A839DD" w:rsidRDefault="00845FF5" w:rsidP="002A2862">
      <w:pPr>
        <w:spacing w:before="120" w:after="120"/>
        <w:rPr>
          <w:rFonts w:cs="Arial"/>
          <w:color w:val="953D89"/>
        </w:rPr>
      </w:pPr>
      <w:r w:rsidRPr="00A839DD">
        <w:rPr>
          <w:rFonts w:cs="Arial"/>
          <w:color w:val="953D89"/>
        </w:rPr>
        <w:t>Conseil scientifique externe</w:t>
      </w:r>
      <w:r w:rsidR="008C117E" w:rsidRPr="00A839DD">
        <w:rPr>
          <w:rFonts w:cs="Arial"/>
          <w:color w:val="953D89"/>
        </w:rPr>
        <w:t xml:space="preserve"> – Projet de recherche partenariale SAVIE-LGBTQ</w:t>
      </w:r>
    </w:p>
    <w:p w14:paraId="4C556330" w14:textId="77D3843D" w:rsidR="00845FF5" w:rsidRPr="00A839DD" w:rsidRDefault="00845FF5" w:rsidP="00845FF5">
      <w:pPr>
        <w:ind w:firstLine="708"/>
        <w:rPr>
          <w:rFonts w:cs="Arial"/>
        </w:rPr>
      </w:pPr>
      <w:r w:rsidRPr="00A839DD">
        <w:rPr>
          <w:rFonts w:cs="Arial"/>
        </w:rPr>
        <w:t>Martin BLAIS</w:t>
      </w:r>
    </w:p>
    <w:p w14:paraId="02CAFC23" w14:textId="2339B4A3" w:rsidR="00845FF5" w:rsidRPr="00A839DD" w:rsidRDefault="00CB0863" w:rsidP="00845FF5">
      <w:pPr>
        <w:ind w:firstLine="708"/>
        <w:rPr>
          <w:rFonts w:cs="Arial"/>
        </w:rPr>
      </w:pPr>
      <w:r w:rsidRPr="00A839DD">
        <w:rPr>
          <w:rFonts w:cs="Arial"/>
        </w:rPr>
        <w:t xml:space="preserve">Professeur, </w:t>
      </w:r>
      <w:r w:rsidR="00845FF5" w:rsidRPr="00A839DD">
        <w:rPr>
          <w:rFonts w:cs="Arial"/>
        </w:rPr>
        <w:t>Département de sexologie</w:t>
      </w:r>
    </w:p>
    <w:p w14:paraId="35F42B92" w14:textId="0897ECEC" w:rsidR="00421CC3" w:rsidRPr="00A839DD" w:rsidRDefault="00421CC3" w:rsidP="00845FF5">
      <w:pPr>
        <w:ind w:firstLine="708"/>
        <w:rPr>
          <w:rFonts w:cs="Arial"/>
        </w:rPr>
      </w:pPr>
      <w:r w:rsidRPr="00A839DD">
        <w:rPr>
          <w:rFonts w:cs="Arial"/>
        </w:rPr>
        <w:t>Titulaire, Chaire de recherche sur la diversité sexuelle et la pluralité des genres</w:t>
      </w:r>
    </w:p>
    <w:p w14:paraId="46338436" w14:textId="400C788A" w:rsidR="005C263C" w:rsidRPr="00A839DD" w:rsidRDefault="005C263C" w:rsidP="00845FF5">
      <w:pPr>
        <w:ind w:firstLine="708"/>
        <w:rPr>
          <w:rFonts w:cs="Arial"/>
        </w:rPr>
      </w:pPr>
      <w:r w:rsidRPr="00A839DD">
        <w:rPr>
          <w:rFonts w:cs="Arial"/>
        </w:rPr>
        <w:t>Université du Québec à Montréal</w:t>
      </w:r>
    </w:p>
    <w:p w14:paraId="2B52D697" w14:textId="77777777" w:rsidR="00845FF5" w:rsidRPr="00A839DD" w:rsidRDefault="00845FF5" w:rsidP="00845FF5">
      <w:pPr>
        <w:ind w:firstLine="708"/>
        <w:rPr>
          <w:rFonts w:cs="Arial"/>
        </w:rPr>
      </w:pPr>
    </w:p>
    <w:p w14:paraId="23FF255D" w14:textId="0C328EB2" w:rsidR="00845FF5" w:rsidRPr="00A839DD" w:rsidRDefault="00845FF5" w:rsidP="00845FF5">
      <w:pPr>
        <w:ind w:firstLine="708"/>
        <w:rPr>
          <w:rFonts w:cs="Arial"/>
        </w:rPr>
      </w:pPr>
      <w:r w:rsidRPr="00A839DD">
        <w:rPr>
          <w:rFonts w:cs="Arial"/>
        </w:rPr>
        <w:t>Isabel CÔTÉ</w:t>
      </w:r>
    </w:p>
    <w:p w14:paraId="62E1D73C" w14:textId="77777777" w:rsidR="004A2C57" w:rsidRPr="00A839DD" w:rsidRDefault="00CB0863" w:rsidP="00845FF5">
      <w:pPr>
        <w:ind w:firstLine="708"/>
        <w:rPr>
          <w:rFonts w:cs="Arial"/>
        </w:rPr>
      </w:pPr>
      <w:r w:rsidRPr="00A839DD">
        <w:rPr>
          <w:rFonts w:cs="Arial"/>
        </w:rPr>
        <w:t xml:space="preserve">Professeure, </w:t>
      </w:r>
      <w:r w:rsidR="00845FF5" w:rsidRPr="00A839DD">
        <w:rPr>
          <w:rFonts w:cs="Arial"/>
        </w:rPr>
        <w:t>Département de travail social</w:t>
      </w:r>
    </w:p>
    <w:p w14:paraId="564D8503" w14:textId="77777777" w:rsidR="004A2C57" w:rsidRPr="00A839DD" w:rsidRDefault="004A2C57" w:rsidP="004A2C57">
      <w:pPr>
        <w:ind w:firstLine="708"/>
        <w:rPr>
          <w:rFonts w:cs="Arial"/>
        </w:rPr>
      </w:pPr>
      <w:r w:rsidRPr="00A839DD">
        <w:rPr>
          <w:rFonts w:cs="Arial"/>
        </w:rPr>
        <w:t>Titulaire, Chaire de recherche du Canada sur la procréation pour autrui et les liens familiaux</w:t>
      </w:r>
    </w:p>
    <w:p w14:paraId="0E4937B5" w14:textId="6D61FADD" w:rsidR="00845FF5" w:rsidRPr="00A839DD" w:rsidRDefault="00845FF5" w:rsidP="00845FF5">
      <w:pPr>
        <w:ind w:firstLine="708"/>
        <w:rPr>
          <w:rFonts w:cs="Arial"/>
        </w:rPr>
      </w:pPr>
      <w:r w:rsidRPr="00A839DD">
        <w:rPr>
          <w:rFonts w:cs="Arial"/>
        </w:rPr>
        <w:t>Université du Québec en Outaouais</w:t>
      </w:r>
    </w:p>
    <w:p w14:paraId="10F0B131" w14:textId="77777777" w:rsidR="00B17C11" w:rsidRPr="00A839DD" w:rsidRDefault="00B17C11" w:rsidP="009111D8">
      <w:pPr>
        <w:ind w:left="709"/>
      </w:pPr>
    </w:p>
    <w:p w14:paraId="5E4A0773" w14:textId="77777777" w:rsidR="00F816FC" w:rsidRPr="00A839DD" w:rsidRDefault="00F816FC" w:rsidP="002A60C5"/>
    <w:p w14:paraId="05EA3985" w14:textId="6789A17A" w:rsidR="00DA034A" w:rsidRPr="00A839DD" w:rsidRDefault="00DA034A" w:rsidP="00CF0B2D">
      <w:pPr>
        <w:jc w:val="center"/>
      </w:pPr>
      <w:r w:rsidRPr="00A839DD">
        <w:rPr>
          <w:noProof/>
        </w:rPr>
        <w:drawing>
          <wp:inline distT="0" distB="0" distL="0" distR="0" wp14:anchorId="05BEDB28" wp14:editId="0D72DEC9">
            <wp:extent cx="2267022" cy="1889185"/>
            <wp:effectExtent l="0" t="0" r="0" b="0"/>
            <wp:docPr id="1356959062" name="Image 20" descr="Logo de SAVIE-LGBTQ.">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9062" name="Image 20" descr="Logo de SAVIE-LGBTQ.">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0673" cy="1892228"/>
                    </a:xfrm>
                    <a:prstGeom prst="rect">
                      <a:avLst/>
                    </a:prstGeom>
                    <a:noFill/>
                    <a:ln>
                      <a:noFill/>
                    </a:ln>
                  </pic:spPr>
                </pic:pic>
              </a:graphicData>
            </a:graphic>
          </wp:inline>
        </w:drawing>
      </w:r>
    </w:p>
    <w:p w14:paraId="1B33909A" w14:textId="173C509F" w:rsidR="00CF0B2D" w:rsidRPr="00A839DD" w:rsidRDefault="00CF0B2D" w:rsidP="00DA034A"/>
    <w:p w14:paraId="200D2EEF" w14:textId="0A031B06" w:rsidR="00CF0B2D" w:rsidRPr="00A839DD" w:rsidRDefault="00CF0B2D" w:rsidP="00DA034A"/>
    <w:p w14:paraId="68A7B63C" w14:textId="4A0E37AA" w:rsidR="00CF0B2D" w:rsidRPr="00A839DD" w:rsidRDefault="00CF0B2D" w:rsidP="002A2862">
      <w:pPr>
        <w:jc w:val="center"/>
      </w:pPr>
      <w:r w:rsidRPr="00A839DD">
        <w:rPr>
          <w:noProof/>
        </w:rPr>
        <w:drawing>
          <wp:inline distT="0" distB="0" distL="0" distR="0" wp14:anchorId="475EF985" wp14:editId="52D073A6">
            <wp:extent cx="6004560" cy="734060"/>
            <wp:effectExtent l="0" t="0" r="0" b="0"/>
            <wp:docPr id="5" name="Image 2" descr="Logo du Conseil de recherche en sciences humaines du Canad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Logo du Conseil de recherche en sciences humaines du Canada.">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7343" cy="734400"/>
                    </a:xfrm>
                    <a:prstGeom prst="rect">
                      <a:avLst/>
                    </a:prstGeom>
                    <a:noFill/>
                    <a:ln>
                      <a:noFill/>
                    </a:ln>
                  </pic:spPr>
                </pic:pic>
              </a:graphicData>
            </a:graphic>
          </wp:inline>
        </w:drawing>
      </w:r>
    </w:p>
    <w:p w14:paraId="7A2C3BCD" w14:textId="5E179724" w:rsidR="00CF0B2D" w:rsidRPr="00A839DD" w:rsidRDefault="00CF0B2D" w:rsidP="00DA034A"/>
    <w:p w14:paraId="10BBC85C" w14:textId="77777777" w:rsidR="00CF0B2D" w:rsidRPr="00A839DD" w:rsidRDefault="00CF0B2D" w:rsidP="00DA034A"/>
    <w:p w14:paraId="6CF1497A" w14:textId="77777777" w:rsidR="00EB61B5" w:rsidRDefault="00EB61B5" w:rsidP="00DA034A"/>
    <w:p w14:paraId="65D0C2BA" w14:textId="77777777" w:rsidR="006A2C0B" w:rsidRDefault="006A2C0B" w:rsidP="002A2862">
      <w:pPr>
        <w:rPr>
          <w:b/>
          <w:bCs/>
        </w:rPr>
      </w:pPr>
    </w:p>
    <w:p w14:paraId="558DF1A4" w14:textId="77777777" w:rsidR="006A2C0B" w:rsidRDefault="006A2C0B" w:rsidP="002A2862">
      <w:pPr>
        <w:rPr>
          <w:b/>
          <w:bCs/>
        </w:rPr>
      </w:pPr>
    </w:p>
    <w:p w14:paraId="736B004F" w14:textId="77777777" w:rsidR="00EB61B5" w:rsidRPr="002A2862" w:rsidRDefault="00EB61B5" w:rsidP="002A2862">
      <w:pPr>
        <w:rPr>
          <w:b/>
          <w:bCs/>
        </w:rPr>
      </w:pPr>
      <w:r w:rsidRPr="002A2862">
        <w:rPr>
          <w:b/>
          <w:bCs/>
        </w:rPr>
        <w:t xml:space="preserve">Le projet de recherche partenariale </w:t>
      </w:r>
      <w:r w:rsidRPr="002A2862">
        <w:rPr>
          <w:b/>
          <w:bCs/>
          <w:i/>
          <w:iCs/>
        </w:rPr>
        <w:t>Savoirs sur l’inclusion et l’exclusion des personnes LGBTQ</w:t>
      </w:r>
      <w:r w:rsidRPr="002A2862">
        <w:rPr>
          <w:b/>
          <w:bCs/>
        </w:rPr>
        <w:t> (SAVIE-LGBTQ) a été financé par le Conseil de recherches en sciences humaines du Canada.</w:t>
      </w:r>
    </w:p>
    <w:p w14:paraId="2DDACFDC" w14:textId="623B21B9" w:rsidR="00EF1E1B" w:rsidRPr="00A839DD" w:rsidRDefault="00EF1E1B" w:rsidP="00EF1E1B">
      <w:pPr>
        <w:pStyle w:val="NormalWeb"/>
      </w:pPr>
    </w:p>
    <w:p w14:paraId="72E3B85C" w14:textId="77777777" w:rsidR="00F816FC" w:rsidRPr="00A839DD" w:rsidRDefault="00F816FC" w:rsidP="002A60C5">
      <w:pPr>
        <w:sectPr w:rsidR="00F816FC" w:rsidRPr="00A839DD" w:rsidSect="00FB315B">
          <w:headerReference w:type="even" r:id="rId20"/>
          <w:headerReference w:type="default" r:id="rId21"/>
          <w:headerReference w:type="first" r:id="rId22"/>
          <w:footerReference w:type="first" r:id="rId23"/>
          <w:type w:val="continuous"/>
          <w:pgSz w:w="12240" w:h="15840" w:code="1"/>
          <w:pgMar w:top="1985" w:right="1134" w:bottom="1418" w:left="1418" w:header="709" w:footer="709" w:gutter="0"/>
          <w:pgNumType w:fmt="lowerRoman"/>
          <w:cols w:space="708"/>
          <w:titlePg/>
          <w:docGrid w:linePitch="360"/>
        </w:sectPr>
      </w:pPr>
    </w:p>
    <w:p w14:paraId="1084C4B9" w14:textId="77777777" w:rsidR="00FA5D00" w:rsidRPr="00A839DD" w:rsidRDefault="00FA5D00" w:rsidP="006471A9">
      <w:pPr>
        <w:pStyle w:val="Titre"/>
      </w:pPr>
      <w:bookmarkStart w:id="1" w:name="_Toc194313963"/>
      <w:bookmarkStart w:id="2" w:name="_Toc195019407"/>
      <w:bookmarkStart w:id="3" w:name="_Toc229131238"/>
      <w:r w:rsidRPr="00A839DD">
        <w:lastRenderedPageBreak/>
        <w:t>À PROPOS DE LA COMMISSION DES DROITS</w:t>
      </w:r>
      <w:bookmarkEnd w:id="1"/>
      <w:bookmarkEnd w:id="2"/>
      <w:bookmarkEnd w:id="3"/>
    </w:p>
    <w:p w14:paraId="507BA208" w14:textId="77777777" w:rsidR="00FA5D00" w:rsidRPr="00A839DD" w:rsidRDefault="00FA5D00" w:rsidP="002A60C5">
      <w:pPr>
        <w:rPr>
          <w:b/>
          <w:bCs/>
          <w:color w:val="953D89"/>
          <w:szCs w:val="24"/>
        </w:rPr>
      </w:pPr>
    </w:p>
    <w:p w14:paraId="3203E8EB" w14:textId="77777777" w:rsidR="00FA5D00" w:rsidRPr="00A839DD" w:rsidRDefault="00FA5D00" w:rsidP="002A60C5">
      <w:pPr>
        <w:rPr>
          <w:b/>
          <w:bCs/>
          <w:color w:val="953D89"/>
          <w:szCs w:val="24"/>
        </w:rPr>
      </w:pPr>
    </w:p>
    <w:p w14:paraId="5B0B5B4F" w14:textId="77777777" w:rsidR="00FA5D00" w:rsidRPr="00A839DD" w:rsidRDefault="00FA5D00" w:rsidP="006471A9">
      <w:pPr>
        <w:pStyle w:val="Titre"/>
      </w:pPr>
      <w:bookmarkStart w:id="4" w:name="_Toc194313964"/>
      <w:bookmarkStart w:id="5" w:name="_Toc195019408"/>
      <w:bookmarkStart w:id="6" w:name="_Toc216184176"/>
      <w:bookmarkStart w:id="7" w:name="_Toc218777570"/>
      <w:bookmarkStart w:id="8" w:name="_Toc229131239"/>
      <w:r w:rsidRPr="00A839DD">
        <w:t>Mission et responsabilités</w:t>
      </w:r>
      <w:bookmarkEnd w:id="4"/>
      <w:bookmarkEnd w:id="5"/>
      <w:bookmarkEnd w:id="6"/>
      <w:bookmarkEnd w:id="7"/>
      <w:bookmarkEnd w:id="8"/>
    </w:p>
    <w:p w14:paraId="3452D431" w14:textId="77777777" w:rsidR="009F2145" w:rsidRPr="00A839DD" w:rsidRDefault="009F2145" w:rsidP="0006339A">
      <w:pPr>
        <w:pStyle w:val="Paragraphe"/>
      </w:pPr>
      <w:r w:rsidRPr="00A839DD">
        <w:t xml:space="preserve">La Commission des droits de la personne et des droits de la jeunesse est constituée par la </w:t>
      </w:r>
      <w:r w:rsidRPr="00A839DD">
        <w:rPr>
          <w:i/>
        </w:rPr>
        <w:t>Charte des droits et libertés de la personne</w:t>
      </w:r>
      <w:r w:rsidRPr="00A839DD">
        <w:t xml:space="preserve">. La Commission des droits est un organisme indépendant du gouvernement et remplit sa mission au seul bénéfice de la population et dans l’intérêt du public. </w:t>
      </w:r>
    </w:p>
    <w:p w14:paraId="68A335DD" w14:textId="77777777" w:rsidR="009F2145" w:rsidRPr="0084279C" w:rsidRDefault="009F2145" w:rsidP="0006339A">
      <w:pPr>
        <w:pStyle w:val="Paragraphe"/>
      </w:pPr>
      <w:r w:rsidRPr="0084279C">
        <w:t xml:space="preserve">Forte de son indépendance et de son expertise, la Commission des droits a pour mission de veiller au respect des principes énoncés dans la </w:t>
      </w:r>
      <w:r w:rsidRPr="0084279C">
        <w:rPr>
          <w:i/>
        </w:rPr>
        <w:t>Charte des droits et libertés de la personne</w:t>
      </w:r>
      <w:r w:rsidRPr="0084279C">
        <w:t xml:space="preserve"> du Québec et d’en assurer la promotion. Elle assure aussi la protection de l’intérêt de l’enfant, ainsi que le respect et la promotion des droits qui lui sont reconnus par la </w:t>
      </w:r>
      <w:r w:rsidRPr="0084279C">
        <w:rPr>
          <w:i/>
        </w:rPr>
        <w:t>Loi sur la protection de la jeunesse</w:t>
      </w:r>
      <w:r w:rsidRPr="0084279C">
        <w:t xml:space="preserve">. Elle veille également à l’application de la </w:t>
      </w:r>
      <w:r w:rsidRPr="0084279C">
        <w:rPr>
          <w:i/>
        </w:rPr>
        <w:t>Loi sur l’accès à l’égalité en emploi dans des organismes publics</w:t>
      </w:r>
      <w:r w:rsidRPr="0084279C">
        <w:t>.</w:t>
      </w:r>
    </w:p>
    <w:p w14:paraId="585645DC" w14:textId="77777777" w:rsidR="009F2145" w:rsidRPr="00A839DD" w:rsidRDefault="009F2145" w:rsidP="0006339A">
      <w:pPr>
        <w:pStyle w:val="Paragraphe"/>
      </w:pPr>
      <w:r w:rsidRPr="00A839DD">
        <w:t>La Commission des droits est l’institution clé pour la défense d’une société juste et égalitaire. Elle assure des services accessibles et efficaces et ses actions visent des retombées concrètes et des impacts significatifs pour toutes et tous, dans une perspective de cohésion sociale.</w:t>
      </w:r>
    </w:p>
    <w:p w14:paraId="7D4CC38F" w14:textId="77777777" w:rsidR="00B17C11" w:rsidRPr="00A839DD" w:rsidRDefault="00B17C11" w:rsidP="009F2145"/>
    <w:p w14:paraId="18D85498" w14:textId="77777777" w:rsidR="00F816FC" w:rsidRPr="00A839DD" w:rsidRDefault="00F816FC" w:rsidP="002A60C5"/>
    <w:p w14:paraId="4240A889" w14:textId="77777777" w:rsidR="00FA5D00" w:rsidRPr="00A839DD" w:rsidRDefault="00FA5D00" w:rsidP="002A60C5">
      <w:pPr>
        <w:sectPr w:rsidR="00FA5D00" w:rsidRPr="00A839DD" w:rsidSect="00FB315B">
          <w:pgSz w:w="12240" w:h="15840" w:code="1"/>
          <w:pgMar w:top="1985" w:right="1134" w:bottom="1418" w:left="1418" w:header="709" w:footer="709" w:gutter="0"/>
          <w:pgNumType w:fmt="lowerRoman"/>
          <w:cols w:space="708"/>
          <w:docGrid w:linePitch="360"/>
        </w:sectPr>
      </w:pPr>
    </w:p>
    <w:p w14:paraId="3F04CFCC" w14:textId="149B4120" w:rsidR="00FA5D00" w:rsidRPr="00A839DD" w:rsidRDefault="00787EBB" w:rsidP="006471A9">
      <w:pPr>
        <w:pStyle w:val="Titre"/>
      </w:pPr>
      <w:bookmarkStart w:id="9" w:name="_Toc194313965"/>
      <w:bookmarkStart w:id="10" w:name="_Toc195019409"/>
      <w:bookmarkStart w:id="11" w:name="_Toc229131240"/>
      <w:r w:rsidRPr="00A839DD">
        <w:lastRenderedPageBreak/>
        <w:t>Table des matières</w:t>
      </w:r>
      <w:bookmarkEnd w:id="9"/>
      <w:bookmarkEnd w:id="10"/>
      <w:bookmarkEnd w:id="11"/>
    </w:p>
    <w:p w14:paraId="79B1829E" w14:textId="77777777" w:rsidR="00480299" w:rsidRPr="00A839DD" w:rsidRDefault="00480299" w:rsidP="002A60C5">
      <w:pPr>
        <w:rPr>
          <w:rFonts w:asciiTheme="minorHAnsi" w:hAnsiTheme="minorHAnsi"/>
          <w:sz w:val="21"/>
          <w:szCs w:val="21"/>
        </w:rPr>
      </w:pPr>
    </w:p>
    <w:p w14:paraId="25CBA907" w14:textId="4A51F6F9" w:rsidR="00B06AAE" w:rsidRPr="00711919" w:rsidRDefault="00B06AAE" w:rsidP="00B06AAE">
      <w:pPr>
        <w:pStyle w:val="TM1"/>
        <w:rPr>
          <w:rFonts w:asciiTheme="minorHAnsi" w:eastAsiaTheme="minorEastAsia" w:hAnsiTheme="minorHAnsi"/>
          <w:b w:val="0"/>
          <w:bCs w:val="0"/>
          <w:color w:val="auto"/>
          <w:kern w:val="2"/>
          <w:lang w:eastAsia="fr-CA"/>
          <w14:ligatures w14:val="standardContextual"/>
        </w:rPr>
      </w:pPr>
      <w:r w:rsidRPr="00711919">
        <w:rPr>
          <w:rFonts w:asciiTheme="minorHAnsi" w:hAnsiTheme="minorHAnsi"/>
          <w:color w:val="0F243E"/>
        </w:rPr>
        <w:fldChar w:fldCharType="begin"/>
      </w:r>
      <w:r w:rsidRPr="00711919">
        <w:rPr>
          <w:rFonts w:asciiTheme="minorHAnsi" w:hAnsiTheme="minorHAnsi"/>
          <w:color w:val="0F243E"/>
        </w:rPr>
        <w:instrText xml:space="preserve"> TOC \o "1-4" \h \z \u </w:instrText>
      </w:r>
      <w:r w:rsidRPr="00711919">
        <w:rPr>
          <w:rFonts w:asciiTheme="minorHAnsi" w:hAnsiTheme="minorHAnsi"/>
          <w:color w:val="0F243E"/>
        </w:rPr>
        <w:fldChar w:fldCharType="separate"/>
      </w:r>
    </w:p>
    <w:p w14:paraId="11203595" w14:textId="3D224DBA" w:rsidR="00B06AAE" w:rsidRPr="00711919" w:rsidRDefault="00B06AAE">
      <w:pPr>
        <w:pStyle w:val="TM1"/>
        <w:rPr>
          <w:rStyle w:val="Lienhypertexte"/>
          <w:rFonts w:asciiTheme="minorHAnsi" w:hAnsiTheme="minorHAnsi"/>
          <w:color w:val="001042"/>
        </w:rPr>
      </w:pPr>
      <w:hyperlink w:anchor="_Toc229131241" w:history="1">
        <w:r w:rsidRPr="00711919">
          <w:rPr>
            <w:rStyle w:val="Lienhypertexte"/>
            <w:rFonts w:asciiTheme="minorHAnsi" w:hAnsiTheme="minorHAnsi"/>
            <w:color w:val="001042"/>
          </w:rPr>
          <w:t>Message de la présidente</w:t>
        </w:r>
        <w:r w:rsidRPr="003A64E0">
          <w:rPr>
            <w:rFonts w:asciiTheme="minorHAnsi" w:hAnsiTheme="minorHAnsi"/>
            <w:b w:val="0"/>
            <w:bCs w:val="0"/>
            <w:webHidden/>
            <w:color w:val="001042"/>
          </w:rPr>
          <w:tab/>
        </w:r>
        <w:r w:rsidRPr="003A64E0">
          <w:rPr>
            <w:rFonts w:asciiTheme="minorHAnsi" w:hAnsiTheme="minorHAnsi"/>
            <w:b w:val="0"/>
            <w:bCs w:val="0"/>
            <w:webHidden/>
            <w:color w:val="001042"/>
          </w:rPr>
          <w:fldChar w:fldCharType="begin"/>
        </w:r>
        <w:r w:rsidRPr="003A64E0">
          <w:rPr>
            <w:rFonts w:asciiTheme="minorHAnsi" w:hAnsiTheme="minorHAnsi"/>
            <w:b w:val="0"/>
            <w:bCs w:val="0"/>
            <w:webHidden/>
            <w:color w:val="001042"/>
          </w:rPr>
          <w:instrText xml:space="preserve"> PAGEREF _Toc229131241 \h </w:instrText>
        </w:r>
        <w:r w:rsidRPr="003A64E0">
          <w:rPr>
            <w:rFonts w:asciiTheme="minorHAnsi" w:hAnsiTheme="minorHAnsi"/>
            <w:b w:val="0"/>
            <w:bCs w:val="0"/>
            <w:webHidden/>
            <w:color w:val="001042"/>
          </w:rPr>
        </w:r>
        <w:r w:rsidRPr="003A64E0">
          <w:rPr>
            <w:rFonts w:asciiTheme="minorHAnsi" w:hAnsiTheme="minorHAnsi"/>
            <w:b w:val="0"/>
            <w:bCs w:val="0"/>
            <w:webHidden/>
            <w:color w:val="001042"/>
          </w:rPr>
          <w:fldChar w:fldCharType="separate"/>
        </w:r>
        <w:r w:rsidR="00FC231E">
          <w:rPr>
            <w:rFonts w:asciiTheme="minorHAnsi" w:hAnsiTheme="minorHAnsi"/>
            <w:b w:val="0"/>
            <w:bCs w:val="0"/>
            <w:webHidden/>
            <w:color w:val="001042"/>
          </w:rPr>
          <w:t>ix</w:t>
        </w:r>
        <w:r w:rsidRPr="003A64E0">
          <w:rPr>
            <w:rFonts w:asciiTheme="minorHAnsi" w:hAnsiTheme="minorHAnsi"/>
            <w:b w:val="0"/>
            <w:bCs w:val="0"/>
            <w:webHidden/>
            <w:color w:val="001042"/>
          </w:rPr>
          <w:fldChar w:fldCharType="end"/>
        </w:r>
      </w:hyperlink>
    </w:p>
    <w:p w14:paraId="0566DBF3" w14:textId="77777777" w:rsidR="00B06AAE" w:rsidRPr="00711919" w:rsidRDefault="00B06AAE" w:rsidP="00B06AAE">
      <w:pPr>
        <w:rPr>
          <w:rFonts w:asciiTheme="minorHAnsi" w:hAnsiTheme="minorHAnsi"/>
          <w:noProof/>
          <w:color w:val="001042"/>
          <w:lang w:eastAsia="fr-CA"/>
        </w:rPr>
      </w:pPr>
    </w:p>
    <w:p w14:paraId="1BB445E9" w14:textId="1819E4ED" w:rsidR="00B06AAE" w:rsidRPr="00711919" w:rsidRDefault="00B06AAE">
      <w:pPr>
        <w:pStyle w:val="TM1"/>
        <w:rPr>
          <w:rStyle w:val="Lienhypertexte"/>
          <w:rFonts w:asciiTheme="minorHAnsi" w:hAnsiTheme="minorHAnsi"/>
          <w:color w:val="001042"/>
        </w:rPr>
      </w:pPr>
      <w:hyperlink w:anchor="_Toc229131242" w:history="1">
        <w:r w:rsidRPr="00711919">
          <w:rPr>
            <w:rStyle w:val="Lienhypertexte"/>
            <w:rFonts w:asciiTheme="minorHAnsi" w:hAnsiTheme="minorHAnsi"/>
            <w:color w:val="001042"/>
          </w:rPr>
          <w:t>Message de la direction du projet SAVIE-LGBTQ</w:t>
        </w:r>
        <w:r w:rsidRPr="003A64E0">
          <w:rPr>
            <w:rFonts w:asciiTheme="minorHAnsi" w:hAnsiTheme="minorHAnsi"/>
            <w:b w:val="0"/>
            <w:bCs w:val="0"/>
            <w:webHidden/>
            <w:color w:val="001042"/>
          </w:rPr>
          <w:tab/>
        </w:r>
        <w:r w:rsidRPr="003A64E0">
          <w:rPr>
            <w:rFonts w:asciiTheme="minorHAnsi" w:hAnsiTheme="minorHAnsi"/>
            <w:b w:val="0"/>
            <w:bCs w:val="0"/>
            <w:webHidden/>
            <w:color w:val="001042"/>
          </w:rPr>
          <w:fldChar w:fldCharType="begin"/>
        </w:r>
        <w:r w:rsidRPr="003A64E0">
          <w:rPr>
            <w:rFonts w:asciiTheme="minorHAnsi" w:hAnsiTheme="minorHAnsi"/>
            <w:b w:val="0"/>
            <w:bCs w:val="0"/>
            <w:webHidden/>
            <w:color w:val="001042"/>
          </w:rPr>
          <w:instrText xml:space="preserve"> PAGEREF _Toc229131242 \h </w:instrText>
        </w:r>
        <w:r w:rsidRPr="003A64E0">
          <w:rPr>
            <w:rFonts w:asciiTheme="minorHAnsi" w:hAnsiTheme="minorHAnsi"/>
            <w:b w:val="0"/>
            <w:bCs w:val="0"/>
            <w:webHidden/>
            <w:color w:val="001042"/>
          </w:rPr>
        </w:r>
        <w:r w:rsidRPr="003A64E0">
          <w:rPr>
            <w:rFonts w:asciiTheme="minorHAnsi" w:hAnsiTheme="minorHAnsi"/>
            <w:b w:val="0"/>
            <w:bCs w:val="0"/>
            <w:webHidden/>
            <w:color w:val="001042"/>
          </w:rPr>
          <w:fldChar w:fldCharType="separate"/>
        </w:r>
        <w:r w:rsidR="00FC231E">
          <w:rPr>
            <w:rFonts w:asciiTheme="minorHAnsi" w:hAnsiTheme="minorHAnsi"/>
            <w:b w:val="0"/>
            <w:bCs w:val="0"/>
            <w:webHidden/>
            <w:color w:val="001042"/>
          </w:rPr>
          <w:t>x</w:t>
        </w:r>
        <w:r w:rsidRPr="003A64E0">
          <w:rPr>
            <w:rFonts w:asciiTheme="minorHAnsi" w:hAnsiTheme="minorHAnsi"/>
            <w:b w:val="0"/>
            <w:bCs w:val="0"/>
            <w:webHidden/>
            <w:color w:val="001042"/>
          </w:rPr>
          <w:fldChar w:fldCharType="end"/>
        </w:r>
      </w:hyperlink>
    </w:p>
    <w:p w14:paraId="7E738F19" w14:textId="77777777" w:rsidR="00711919" w:rsidRPr="00711919" w:rsidRDefault="00711919" w:rsidP="00711919">
      <w:pPr>
        <w:rPr>
          <w:rFonts w:asciiTheme="minorHAnsi" w:hAnsiTheme="minorHAnsi"/>
          <w:noProof/>
          <w:color w:val="001042"/>
          <w:lang w:eastAsia="fr-CA"/>
        </w:rPr>
      </w:pPr>
    </w:p>
    <w:p w14:paraId="6DEAB8A2" w14:textId="7320C704" w:rsidR="00B06AAE" w:rsidRPr="00711919" w:rsidRDefault="00B06AAE">
      <w:pPr>
        <w:pStyle w:val="TM1"/>
        <w:rPr>
          <w:rStyle w:val="Lienhypertexte"/>
          <w:rFonts w:asciiTheme="minorHAnsi" w:hAnsiTheme="minorHAnsi"/>
          <w:color w:val="001042"/>
        </w:rPr>
      </w:pPr>
      <w:hyperlink w:anchor="_Toc229131243" w:history="1">
        <w:r w:rsidRPr="00711919">
          <w:rPr>
            <w:rStyle w:val="Lienhypertexte"/>
            <w:rFonts w:asciiTheme="minorHAnsi" w:hAnsiTheme="minorHAnsi"/>
            <w:color w:val="001042"/>
          </w:rPr>
          <w:t>Sommaire</w:t>
        </w:r>
        <w:r w:rsidRPr="003A64E0">
          <w:rPr>
            <w:rFonts w:asciiTheme="minorHAnsi" w:hAnsiTheme="minorHAnsi"/>
            <w:b w:val="0"/>
            <w:bCs w:val="0"/>
            <w:webHidden/>
            <w:color w:val="001042"/>
          </w:rPr>
          <w:tab/>
        </w:r>
        <w:r w:rsidRPr="003A64E0">
          <w:rPr>
            <w:rFonts w:asciiTheme="minorHAnsi" w:hAnsiTheme="minorHAnsi"/>
            <w:b w:val="0"/>
            <w:bCs w:val="0"/>
            <w:webHidden/>
            <w:color w:val="001042"/>
          </w:rPr>
          <w:fldChar w:fldCharType="begin"/>
        </w:r>
        <w:r w:rsidRPr="003A64E0">
          <w:rPr>
            <w:rFonts w:asciiTheme="minorHAnsi" w:hAnsiTheme="minorHAnsi"/>
            <w:b w:val="0"/>
            <w:bCs w:val="0"/>
            <w:webHidden/>
            <w:color w:val="001042"/>
          </w:rPr>
          <w:instrText xml:space="preserve"> PAGEREF _Toc229131243 \h </w:instrText>
        </w:r>
        <w:r w:rsidRPr="003A64E0">
          <w:rPr>
            <w:rFonts w:asciiTheme="minorHAnsi" w:hAnsiTheme="minorHAnsi"/>
            <w:b w:val="0"/>
            <w:bCs w:val="0"/>
            <w:webHidden/>
            <w:color w:val="001042"/>
          </w:rPr>
        </w:r>
        <w:r w:rsidRPr="003A64E0">
          <w:rPr>
            <w:rFonts w:asciiTheme="minorHAnsi" w:hAnsiTheme="minorHAnsi"/>
            <w:b w:val="0"/>
            <w:bCs w:val="0"/>
            <w:webHidden/>
            <w:color w:val="001042"/>
          </w:rPr>
          <w:fldChar w:fldCharType="separate"/>
        </w:r>
        <w:r w:rsidR="00FC231E">
          <w:rPr>
            <w:rFonts w:asciiTheme="minorHAnsi" w:hAnsiTheme="minorHAnsi"/>
            <w:b w:val="0"/>
            <w:bCs w:val="0"/>
            <w:webHidden/>
            <w:color w:val="001042"/>
          </w:rPr>
          <w:t>xi</w:t>
        </w:r>
        <w:r w:rsidRPr="003A64E0">
          <w:rPr>
            <w:rFonts w:asciiTheme="minorHAnsi" w:hAnsiTheme="minorHAnsi"/>
            <w:b w:val="0"/>
            <w:bCs w:val="0"/>
            <w:webHidden/>
            <w:color w:val="001042"/>
          </w:rPr>
          <w:fldChar w:fldCharType="end"/>
        </w:r>
      </w:hyperlink>
    </w:p>
    <w:p w14:paraId="3517F751" w14:textId="77777777" w:rsidR="00711919" w:rsidRPr="00711919" w:rsidRDefault="00711919" w:rsidP="00711919">
      <w:pPr>
        <w:rPr>
          <w:rFonts w:asciiTheme="minorHAnsi" w:hAnsiTheme="minorHAnsi"/>
          <w:noProof/>
          <w:color w:val="001042"/>
          <w:lang w:eastAsia="fr-CA"/>
        </w:rPr>
      </w:pPr>
    </w:p>
    <w:p w14:paraId="60BA1982" w14:textId="3F5B9636" w:rsidR="00B06AAE" w:rsidRPr="00711919" w:rsidRDefault="00B06AAE">
      <w:pPr>
        <w:pStyle w:val="TM1"/>
        <w:rPr>
          <w:rStyle w:val="Lienhypertexte"/>
          <w:rFonts w:asciiTheme="minorHAnsi" w:hAnsiTheme="minorHAnsi"/>
          <w:color w:val="001042"/>
        </w:rPr>
      </w:pPr>
      <w:hyperlink w:anchor="_Toc229131244" w:history="1">
        <w:r w:rsidRPr="00711919">
          <w:rPr>
            <w:rStyle w:val="Lienhypertexte"/>
            <w:rFonts w:asciiTheme="minorHAnsi" w:hAnsiTheme="minorHAnsi"/>
            <w:color w:val="001042"/>
          </w:rPr>
          <w:t>1</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Contexte de la recherche</w:t>
        </w:r>
        <w:r w:rsidRPr="003A64E0">
          <w:rPr>
            <w:rFonts w:asciiTheme="minorHAnsi" w:hAnsiTheme="minorHAnsi"/>
            <w:b w:val="0"/>
            <w:bCs w:val="0"/>
            <w:webHidden/>
            <w:color w:val="001042"/>
          </w:rPr>
          <w:tab/>
        </w:r>
        <w:r w:rsidRPr="003A64E0">
          <w:rPr>
            <w:rFonts w:asciiTheme="minorHAnsi" w:hAnsiTheme="minorHAnsi"/>
            <w:b w:val="0"/>
            <w:bCs w:val="0"/>
            <w:webHidden/>
            <w:color w:val="001042"/>
          </w:rPr>
          <w:fldChar w:fldCharType="begin"/>
        </w:r>
        <w:r w:rsidRPr="003A64E0">
          <w:rPr>
            <w:rFonts w:asciiTheme="minorHAnsi" w:hAnsiTheme="minorHAnsi"/>
            <w:b w:val="0"/>
            <w:bCs w:val="0"/>
            <w:webHidden/>
            <w:color w:val="001042"/>
          </w:rPr>
          <w:instrText xml:space="preserve"> PAGEREF _Toc229131244 \h </w:instrText>
        </w:r>
        <w:r w:rsidRPr="003A64E0">
          <w:rPr>
            <w:rFonts w:asciiTheme="minorHAnsi" w:hAnsiTheme="minorHAnsi"/>
            <w:b w:val="0"/>
            <w:bCs w:val="0"/>
            <w:webHidden/>
            <w:color w:val="001042"/>
          </w:rPr>
        </w:r>
        <w:r w:rsidRPr="003A64E0">
          <w:rPr>
            <w:rFonts w:asciiTheme="minorHAnsi" w:hAnsiTheme="minorHAnsi"/>
            <w:b w:val="0"/>
            <w:bCs w:val="0"/>
            <w:webHidden/>
            <w:color w:val="001042"/>
          </w:rPr>
          <w:fldChar w:fldCharType="separate"/>
        </w:r>
        <w:r w:rsidR="00FC231E">
          <w:rPr>
            <w:rFonts w:asciiTheme="minorHAnsi" w:hAnsiTheme="minorHAnsi"/>
            <w:b w:val="0"/>
            <w:bCs w:val="0"/>
            <w:webHidden/>
            <w:color w:val="001042"/>
          </w:rPr>
          <w:t>1</w:t>
        </w:r>
        <w:r w:rsidRPr="003A64E0">
          <w:rPr>
            <w:rFonts w:asciiTheme="minorHAnsi" w:hAnsiTheme="minorHAnsi"/>
            <w:b w:val="0"/>
            <w:bCs w:val="0"/>
            <w:webHidden/>
            <w:color w:val="001042"/>
          </w:rPr>
          <w:fldChar w:fldCharType="end"/>
        </w:r>
      </w:hyperlink>
    </w:p>
    <w:p w14:paraId="508095EC" w14:textId="77777777" w:rsidR="00711919" w:rsidRPr="00711919" w:rsidRDefault="00711919" w:rsidP="00711919">
      <w:pPr>
        <w:rPr>
          <w:rFonts w:asciiTheme="minorHAnsi" w:hAnsiTheme="minorHAnsi"/>
          <w:noProof/>
          <w:color w:val="001042"/>
          <w:lang w:eastAsia="fr-CA"/>
        </w:rPr>
      </w:pPr>
    </w:p>
    <w:p w14:paraId="5E717767" w14:textId="50F52DFD" w:rsidR="00B06AAE" w:rsidRPr="00711919" w:rsidRDefault="00B06AAE">
      <w:pPr>
        <w:pStyle w:val="TM2"/>
        <w:rPr>
          <w:rFonts w:eastAsiaTheme="minorEastAsia"/>
          <w:bCs w:val="0"/>
          <w:color w:val="001042"/>
          <w:kern w:val="2"/>
          <w:lang w:eastAsia="fr-CA"/>
          <w14:ligatures w14:val="standardContextual"/>
        </w:rPr>
      </w:pPr>
      <w:hyperlink w:anchor="_Toc229131245" w:history="1">
        <w:r w:rsidRPr="00711919">
          <w:rPr>
            <w:rStyle w:val="Lienhypertexte"/>
            <w:color w:val="001042"/>
          </w:rPr>
          <w:t>1.1</w:t>
        </w:r>
        <w:r w:rsidRPr="00711919">
          <w:rPr>
            <w:rFonts w:eastAsiaTheme="minorEastAsia"/>
            <w:bCs w:val="0"/>
            <w:color w:val="001042"/>
            <w:kern w:val="2"/>
            <w:lang w:eastAsia="fr-CA"/>
            <w14:ligatures w14:val="standardContextual"/>
          </w:rPr>
          <w:tab/>
        </w:r>
        <w:r w:rsidRPr="00711919">
          <w:rPr>
            <w:rStyle w:val="Lienhypertexte"/>
            <w:color w:val="001042"/>
          </w:rPr>
          <w:t>Le partenariat de recherche SAVIE-LGBTQ</w:t>
        </w:r>
        <w:r w:rsidRPr="00711919">
          <w:rPr>
            <w:webHidden/>
            <w:color w:val="001042"/>
          </w:rPr>
          <w:tab/>
        </w:r>
        <w:r w:rsidRPr="00711919">
          <w:rPr>
            <w:webHidden/>
            <w:color w:val="001042"/>
          </w:rPr>
          <w:fldChar w:fldCharType="begin"/>
        </w:r>
        <w:r w:rsidRPr="00711919">
          <w:rPr>
            <w:webHidden/>
            <w:color w:val="001042"/>
          </w:rPr>
          <w:instrText xml:space="preserve"> PAGEREF _Toc229131245 \h </w:instrText>
        </w:r>
        <w:r w:rsidRPr="00711919">
          <w:rPr>
            <w:webHidden/>
            <w:color w:val="001042"/>
          </w:rPr>
        </w:r>
        <w:r w:rsidRPr="00711919">
          <w:rPr>
            <w:webHidden/>
            <w:color w:val="001042"/>
          </w:rPr>
          <w:fldChar w:fldCharType="separate"/>
        </w:r>
        <w:r w:rsidR="00FC231E">
          <w:rPr>
            <w:webHidden/>
            <w:color w:val="001042"/>
          </w:rPr>
          <w:t>1</w:t>
        </w:r>
        <w:r w:rsidRPr="00711919">
          <w:rPr>
            <w:webHidden/>
            <w:color w:val="001042"/>
          </w:rPr>
          <w:fldChar w:fldCharType="end"/>
        </w:r>
      </w:hyperlink>
    </w:p>
    <w:p w14:paraId="41FE88D4" w14:textId="2D75E14E" w:rsidR="00B06AAE" w:rsidRPr="00711919" w:rsidRDefault="00B06AAE">
      <w:pPr>
        <w:pStyle w:val="TM2"/>
        <w:rPr>
          <w:rFonts w:eastAsiaTheme="minorEastAsia"/>
          <w:bCs w:val="0"/>
          <w:color w:val="001042"/>
          <w:kern w:val="2"/>
          <w:lang w:eastAsia="fr-CA"/>
          <w14:ligatures w14:val="standardContextual"/>
        </w:rPr>
      </w:pPr>
      <w:hyperlink w:anchor="_Toc229131246" w:history="1">
        <w:r w:rsidRPr="00711919">
          <w:rPr>
            <w:rStyle w:val="Lienhypertexte"/>
            <w:color w:val="001042"/>
          </w:rPr>
          <w:t>1.2</w:t>
        </w:r>
        <w:r w:rsidRPr="00711919">
          <w:rPr>
            <w:rFonts w:eastAsiaTheme="minorEastAsia"/>
            <w:bCs w:val="0"/>
            <w:color w:val="001042"/>
            <w:kern w:val="2"/>
            <w:lang w:eastAsia="fr-CA"/>
            <w14:ligatures w14:val="standardContextual"/>
          </w:rPr>
          <w:tab/>
        </w:r>
        <w:r w:rsidRPr="00711919">
          <w:rPr>
            <w:rStyle w:val="Lienhypertexte"/>
            <w:color w:val="001042"/>
          </w:rPr>
          <w:t>La Commission dans une société qui a changé et qui continue d’évoluer</w:t>
        </w:r>
        <w:r w:rsidRPr="00711919">
          <w:rPr>
            <w:webHidden/>
            <w:color w:val="001042"/>
          </w:rPr>
          <w:tab/>
        </w:r>
        <w:r w:rsidRPr="00711919">
          <w:rPr>
            <w:webHidden/>
            <w:color w:val="001042"/>
          </w:rPr>
          <w:fldChar w:fldCharType="begin"/>
        </w:r>
        <w:r w:rsidRPr="00711919">
          <w:rPr>
            <w:webHidden/>
            <w:color w:val="001042"/>
          </w:rPr>
          <w:instrText xml:space="preserve"> PAGEREF _Toc229131246 \h </w:instrText>
        </w:r>
        <w:r w:rsidRPr="00711919">
          <w:rPr>
            <w:webHidden/>
            <w:color w:val="001042"/>
          </w:rPr>
        </w:r>
        <w:r w:rsidRPr="00711919">
          <w:rPr>
            <w:webHidden/>
            <w:color w:val="001042"/>
          </w:rPr>
          <w:fldChar w:fldCharType="separate"/>
        </w:r>
        <w:r w:rsidR="00FC231E">
          <w:rPr>
            <w:webHidden/>
            <w:color w:val="001042"/>
          </w:rPr>
          <w:t>2</w:t>
        </w:r>
        <w:r w:rsidRPr="00711919">
          <w:rPr>
            <w:webHidden/>
            <w:color w:val="001042"/>
          </w:rPr>
          <w:fldChar w:fldCharType="end"/>
        </w:r>
      </w:hyperlink>
    </w:p>
    <w:p w14:paraId="5CD401C2" w14:textId="74CBD3A0" w:rsidR="00B06AAE" w:rsidRPr="00711919" w:rsidRDefault="00B06AAE">
      <w:pPr>
        <w:pStyle w:val="TM2"/>
        <w:rPr>
          <w:rStyle w:val="Lienhypertexte"/>
          <w:color w:val="001042"/>
        </w:rPr>
      </w:pPr>
      <w:hyperlink w:anchor="_Toc229131247" w:history="1">
        <w:r w:rsidRPr="00711919">
          <w:rPr>
            <w:rStyle w:val="Lienhypertexte"/>
            <w:color w:val="001042"/>
          </w:rPr>
          <w:t>1.3</w:t>
        </w:r>
        <w:r w:rsidRPr="00711919">
          <w:rPr>
            <w:rFonts w:eastAsiaTheme="minorEastAsia"/>
            <w:bCs w:val="0"/>
            <w:color w:val="001042"/>
            <w:kern w:val="2"/>
            <w:lang w:eastAsia="fr-CA"/>
            <w14:ligatures w14:val="standardContextual"/>
          </w:rPr>
          <w:tab/>
        </w:r>
        <w:r w:rsidRPr="00711919">
          <w:rPr>
            <w:rStyle w:val="Lienhypertexte"/>
            <w:color w:val="001042"/>
          </w:rPr>
          <w:t>Le contexte actuel : des avancées encore récentes et des reculs avérés</w:t>
        </w:r>
        <w:r w:rsidRPr="00711919">
          <w:rPr>
            <w:webHidden/>
            <w:color w:val="001042"/>
          </w:rPr>
          <w:tab/>
        </w:r>
        <w:r w:rsidRPr="00711919">
          <w:rPr>
            <w:webHidden/>
            <w:color w:val="001042"/>
          </w:rPr>
          <w:fldChar w:fldCharType="begin"/>
        </w:r>
        <w:r w:rsidRPr="00711919">
          <w:rPr>
            <w:webHidden/>
            <w:color w:val="001042"/>
          </w:rPr>
          <w:instrText xml:space="preserve"> PAGEREF _Toc229131247 \h </w:instrText>
        </w:r>
        <w:r w:rsidRPr="00711919">
          <w:rPr>
            <w:webHidden/>
            <w:color w:val="001042"/>
          </w:rPr>
        </w:r>
        <w:r w:rsidRPr="00711919">
          <w:rPr>
            <w:webHidden/>
            <w:color w:val="001042"/>
          </w:rPr>
          <w:fldChar w:fldCharType="separate"/>
        </w:r>
        <w:r w:rsidR="00FC231E">
          <w:rPr>
            <w:webHidden/>
            <w:color w:val="001042"/>
          </w:rPr>
          <w:t>4</w:t>
        </w:r>
        <w:r w:rsidRPr="00711919">
          <w:rPr>
            <w:webHidden/>
            <w:color w:val="001042"/>
          </w:rPr>
          <w:fldChar w:fldCharType="end"/>
        </w:r>
      </w:hyperlink>
    </w:p>
    <w:p w14:paraId="7109199B" w14:textId="77777777" w:rsidR="00711919" w:rsidRPr="00711919" w:rsidRDefault="00711919" w:rsidP="00711919">
      <w:pPr>
        <w:rPr>
          <w:rFonts w:asciiTheme="minorHAnsi" w:hAnsiTheme="minorHAnsi"/>
          <w:noProof/>
          <w:color w:val="001042"/>
          <w:lang w:eastAsia="fr-CA"/>
        </w:rPr>
      </w:pPr>
    </w:p>
    <w:p w14:paraId="76F22129" w14:textId="77777777" w:rsidR="00711919" w:rsidRPr="00711919" w:rsidRDefault="00711919" w:rsidP="00711919">
      <w:pPr>
        <w:rPr>
          <w:rFonts w:asciiTheme="minorHAnsi" w:hAnsiTheme="minorHAnsi"/>
          <w:noProof/>
          <w:color w:val="001042"/>
          <w:lang w:eastAsia="fr-CA"/>
        </w:rPr>
      </w:pPr>
    </w:p>
    <w:p w14:paraId="4C545A06" w14:textId="167ACBA8" w:rsidR="00B06AAE" w:rsidRPr="00711919" w:rsidRDefault="00B06AAE">
      <w:pPr>
        <w:pStyle w:val="TM1"/>
        <w:rPr>
          <w:rStyle w:val="Lienhypertexte"/>
          <w:rFonts w:asciiTheme="minorHAnsi" w:hAnsiTheme="minorHAnsi"/>
          <w:color w:val="001042"/>
        </w:rPr>
      </w:pPr>
      <w:hyperlink w:anchor="_Toc229131248" w:history="1">
        <w:r w:rsidRPr="00711919">
          <w:rPr>
            <w:rStyle w:val="Lienhypertexte"/>
            <w:rFonts w:asciiTheme="minorHAnsi" w:hAnsiTheme="minorHAnsi"/>
            <w:color w:val="001042"/>
          </w:rPr>
          <w:t>2</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Pourquoi s’intéresser à l’emploi</w:t>
        </w:r>
        <w:r w:rsidRPr="00711919">
          <w:rPr>
            <w:rStyle w:val="Lienhypertexte"/>
            <w:rFonts w:ascii="Arial" w:hAnsi="Arial" w:cs="Arial"/>
            <w:color w:val="001042"/>
          </w:rPr>
          <w:t> </w:t>
        </w:r>
        <w:r w:rsidRPr="00711919">
          <w:rPr>
            <w:rStyle w:val="Lienhypertexte"/>
            <w:rFonts w:asciiTheme="minorHAnsi" w:hAnsiTheme="minorHAnsi"/>
            <w:color w:val="001042"/>
          </w:rPr>
          <w:t>?</w:t>
        </w:r>
        <w:r w:rsidRPr="003A64E0">
          <w:rPr>
            <w:rFonts w:asciiTheme="minorHAnsi" w:hAnsiTheme="minorHAnsi"/>
            <w:b w:val="0"/>
            <w:bCs w:val="0"/>
            <w:webHidden/>
            <w:color w:val="001042"/>
          </w:rPr>
          <w:tab/>
        </w:r>
        <w:r w:rsidRPr="003A64E0">
          <w:rPr>
            <w:rFonts w:asciiTheme="minorHAnsi" w:hAnsiTheme="minorHAnsi"/>
            <w:b w:val="0"/>
            <w:bCs w:val="0"/>
            <w:webHidden/>
            <w:color w:val="001042"/>
          </w:rPr>
          <w:fldChar w:fldCharType="begin"/>
        </w:r>
        <w:r w:rsidRPr="003A64E0">
          <w:rPr>
            <w:rFonts w:asciiTheme="minorHAnsi" w:hAnsiTheme="minorHAnsi"/>
            <w:b w:val="0"/>
            <w:bCs w:val="0"/>
            <w:webHidden/>
            <w:color w:val="001042"/>
          </w:rPr>
          <w:instrText xml:space="preserve"> PAGEREF _Toc229131248 \h </w:instrText>
        </w:r>
        <w:r w:rsidRPr="003A64E0">
          <w:rPr>
            <w:rFonts w:asciiTheme="minorHAnsi" w:hAnsiTheme="minorHAnsi"/>
            <w:b w:val="0"/>
            <w:bCs w:val="0"/>
            <w:webHidden/>
            <w:color w:val="001042"/>
          </w:rPr>
        </w:r>
        <w:r w:rsidRPr="003A64E0">
          <w:rPr>
            <w:rFonts w:asciiTheme="minorHAnsi" w:hAnsiTheme="minorHAnsi"/>
            <w:b w:val="0"/>
            <w:bCs w:val="0"/>
            <w:webHidden/>
            <w:color w:val="001042"/>
          </w:rPr>
          <w:fldChar w:fldCharType="separate"/>
        </w:r>
        <w:r w:rsidR="00FC231E">
          <w:rPr>
            <w:rFonts w:asciiTheme="minorHAnsi" w:hAnsiTheme="minorHAnsi"/>
            <w:b w:val="0"/>
            <w:bCs w:val="0"/>
            <w:webHidden/>
            <w:color w:val="001042"/>
          </w:rPr>
          <w:t>7</w:t>
        </w:r>
        <w:r w:rsidRPr="003A64E0">
          <w:rPr>
            <w:rFonts w:asciiTheme="minorHAnsi" w:hAnsiTheme="minorHAnsi"/>
            <w:b w:val="0"/>
            <w:bCs w:val="0"/>
            <w:webHidden/>
            <w:color w:val="001042"/>
          </w:rPr>
          <w:fldChar w:fldCharType="end"/>
        </w:r>
      </w:hyperlink>
    </w:p>
    <w:p w14:paraId="0D411350" w14:textId="77777777" w:rsidR="00711919" w:rsidRPr="00711919" w:rsidRDefault="00711919" w:rsidP="00711919">
      <w:pPr>
        <w:rPr>
          <w:rFonts w:asciiTheme="minorHAnsi" w:hAnsiTheme="minorHAnsi"/>
          <w:noProof/>
          <w:color w:val="001042"/>
          <w:lang w:eastAsia="fr-CA"/>
        </w:rPr>
      </w:pPr>
    </w:p>
    <w:p w14:paraId="5B0E7D42" w14:textId="220F27C7" w:rsidR="00B06AAE" w:rsidRPr="00711919" w:rsidRDefault="00B06AAE">
      <w:pPr>
        <w:pStyle w:val="TM2"/>
        <w:rPr>
          <w:rFonts w:eastAsiaTheme="minorEastAsia"/>
          <w:bCs w:val="0"/>
          <w:color w:val="001042"/>
          <w:kern w:val="2"/>
          <w:lang w:eastAsia="fr-CA"/>
          <w14:ligatures w14:val="standardContextual"/>
        </w:rPr>
      </w:pPr>
      <w:hyperlink w:anchor="_Toc229131249" w:history="1">
        <w:r w:rsidRPr="00711919">
          <w:rPr>
            <w:rStyle w:val="Lienhypertexte"/>
            <w:color w:val="001042"/>
          </w:rPr>
          <w:t>2.1</w:t>
        </w:r>
        <w:r w:rsidRPr="00711919">
          <w:rPr>
            <w:rFonts w:eastAsiaTheme="minorEastAsia"/>
            <w:bCs w:val="0"/>
            <w:color w:val="001042"/>
            <w:kern w:val="2"/>
            <w:lang w:eastAsia="fr-CA"/>
            <w14:ligatures w14:val="standardContextual"/>
          </w:rPr>
          <w:tab/>
        </w:r>
        <w:r w:rsidRPr="00711919">
          <w:rPr>
            <w:rStyle w:val="Lienhypertexte"/>
            <w:color w:val="001042"/>
          </w:rPr>
          <w:t>Parce que la Charte garantit les droits des personnes LGBTQ+ au travail</w:t>
        </w:r>
        <w:r w:rsidRPr="00711919">
          <w:rPr>
            <w:webHidden/>
            <w:color w:val="001042"/>
          </w:rPr>
          <w:tab/>
        </w:r>
        <w:r w:rsidRPr="00711919">
          <w:rPr>
            <w:webHidden/>
            <w:color w:val="001042"/>
          </w:rPr>
          <w:fldChar w:fldCharType="begin"/>
        </w:r>
        <w:r w:rsidRPr="00711919">
          <w:rPr>
            <w:webHidden/>
            <w:color w:val="001042"/>
          </w:rPr>
          <w:instrText xml:space="preserve"> PAGEREF _Toc229131249 \h </w:instrText>
        </w:r>
        <w:r w:rsidRPr="00711919">
          <w:rPr>
            <w:webHidden/>
            <w:color w:val="001042"/>
          </w:rPr>
        </w:r>
        <w:r w:rsidRPr="00711919">
          <w:rPr>
            <w:webHidden/>
            <w:color w:val="001042"/>
          </w:rPr>
          <w:fldChar w:fldCharType="separate"/>
        </w:r>
        <w:r w:rsidR="00FC231E">
          <w:rPr>
            <w:webHidden/>
            <w:color w:val="001042"/>
          </w:rPr>
          <w:t>7</w:t>
        </w:r>
        <w:r w:rsidRPr="00711919">
          <w:rPr>
            <w:webHidden/>
            <w:color w:val="001042"/>
          </w:rPr>
          <w:fldChar w:fldCharType="end"/>
        </w:r>
      </w:hyperlink>
    </w:p>
    <w:p w14:paraId="55E82817" w14:textId="05073984" w:rsidR="00B06AAE" w:rsidRPr="00711919" w:rsidRDefault="00B06AAE">
      <w:pPr>
        <w:pStyle w:val="TM2"/>
        <w:rPr>
          <w:rFonts w:eastAsiaTheme="minorEastAsia"/>
          <w:bCs w:val="0"/>
          <w:color w:val="001042"/>
          <w:kern w:val="2"/>
          <w:lang w:eastAsia="fr-CA"/>
          <w14:ligatures w14:val="standardContextual"/>
        </w:rPr>
      </w:pPr>
      <w:hyperlink w:anchor="_Toc229131250" w:history="1">
        <w:r w:rsidRPr="00711919">
          <w:rPr>
            <w:rStyle w:val="Lienhypertexte"/>
            <w:color w:val="001042"/>
          </w:rPr>
          <w:t>2.2</w:t>
        </w:r>
        <w:r w:rsidRPr="00711919">
          <w:rPr>
            <w:rFonts w:eastAsiaTheme="minorEastAsia"/>
            <w:bCs w:val="0"/>
            <w:color w:val="001042"/>
            <w:kern w:val="2"/>
            <w:lang w:eastAsia="fr-CA"/>
            <w14:ligatures w14:val="standardContextual"/>
          </w:rPr>
          <w:tab/>
        </w:r>
        <w:r w:rsidRPr="00711919">
          <w:rPr>
            <w:rStyle w:val="Lienhypertexte"/>
            <w:color w:val="001042"/>
          </w:rPr>
          <w:t>Parce que le travail est le secteur pour lequel la Commission reçoit le plus de plaintes</w:t>
        </w:r>
        <w:r w:rsidRPr="00711919">
          <w:rPr>
            <w:webHidden/>
            <w:color w:val="001042"/>
          </w:rPr>
          <w:tab/>
        </w:r>
        <w:r w:rsidRPr="00711919">
          <w:rPr>
            <w:webHidden/>
            <w:color w:val="001042"/>
          </w:rPr>
          <w:fldChar w:fldCharType="begin"/>
        </w:r>
        <w:r w:rsidRPr="00711919">
          <w:rPr>
            <w:webHidden/>
            <w:color w:val="001042"/>
          </w:rPr>
          <w:instrText xml:space="preserve"> PAGEREF _Toc229131250 \h </w:instrText>
        </w:r>
        <w:r w:rsidRPr="00711919">
          <w:rPr>
            <w:webHidden/>
            <w:color w:val="001042"/>
          </w:rPr>
        </w:r>
        <w:r w:rsidRPr="00711919">
          <w:rPr>
            <w:webHidden/>
            <w:color w:val="001042"/>
          </w:rPr>
          <w:fldChar w:fldCharType="separate"/>
        </w:r>
        <w:r w:rsidR="00FC231E">
          <w:rPr>
            <w:webHidden/>
            <w:color w:val="001042"/>
          </w:rPr>
          <w:t>8</w:t>
        </w:r>
        <w:r w:rsidRPr="00711919">
          <w:rPr>
            <w:webHidden/>
            <w:color w:val="001042"/>
          </w:rPr>
          <w:fldChar w:fldCharType="end"/>
        </w:r>
      </w:hyperlink>
    </w:p>
    <w:p w14:paraId="4656CF66" w14:textId="28EDFF27" w:rsidR="00B06AAE" w:rsidRPr="00711919" w:rsidRDefault="00B06AAE">
      <w:pPr>
        <w:pStyle w:val="TM2"/>
        <w:rPr>
          <w:rFonts w:eastAsiaTheme="minorEastAsia"/>
          <w:bCs w:val="0"/>
          <w:color w:val="001042"/>
          <w:kern w:val="2"/>
          <w:lang w:eastAsia="fr-CA"/>
          <w14:ligatures w14:val="standardContextual"/>
        </w:rPr>
      </w:pPr>
      <w:hyperlink w:anchor="_Toc229131251" w:history="1">
        <w:r w:rsidRPr="00711919">
          <w:rPr>
            <w:rStyle w:val="Lienhypertexte"/>
            <w:color w:val="001042"/>
          </w:rPr>
          <w:t>2.3</w:t>
        </w:r>
        <w:r w:rsidRPr="00711919">
          <w:rPr>
            <w:rFonts w:eastAsiaTheme="minorEastAsia"/>
            <w:bCs w:val="0"/>
            <w:color w:val="001042"/>
            <w:kern w:val="2"/>
            <w:lang w:eastAsia="fr-CA"/>
            <w14:ligatures w14:val="standardContextual"/>
          </w:rPr>
          <w:tab/>
        </w:r>
        <w:r w:rsidRPr="00711919">
          <w:rPr>
            <w:rStyle w:val="Lienhypertexte"/>
            <w:color w:val="001042"/>
          </w:rPr>
          <w:t>Parce que le travail occupe une place majeure dans la vie des personnes</w:t>
        </w:r>
        <w:r w:rsidRPr="00711919">
          <w:rPr>
            <w:webHidden/>
            <w:color w:val="001042"/>
          </w:rPr>
          <w:tab/>
        </w:r>
        <w:r w:rsidRPr="00711919">
          <w:rPr>
            <w:webHidden/>
            <w:color w:val="001042"/>
          </w:rPr>
          <w:fldChar w:fldCharType="begin"/>
        </w:r>
        <w:r w:rsidRPr="00711919">
          <w:rPr>
            <w:webHidden/>
            <w:color w:val="001042"/>
          </w:rPr>
          <w:instrText xml:space="preserve"> PAGEREF _Toc229131251 \h </w:instrText>
        </w:r>
        <w:r w:rsidRPr="00711919">
          <w:rPr>
            <w:webHidden/>
            <w:color w:val="001042"/>
          </w:rPr>
        </w:r>
        <w:r w:rsidRPr="00711919">
          <w:rPr>
            <w:webHidden/>
            <w:color w:val="001042"/>
          </w:rPr>
          <w:fldChar w:fldCharType="separate"/>
        </w:r>
        <w:r w:rsidR="00FC231E">
          <w:rPr>
            <w:webHidden/>
            <w:color w:val="001042"/>
          </w:rPr>
          <w:t>9</w:t>
        </w:r>
        <w:r w:rsidRPr="00711919">
          <w:rPr>
            <w:webHidden/>
            <w:color w:val="001042"/>
          </w:rPr>
          <w:fldChar w:fldCharType="end"/>
        </w:r>
      </w:hyperlink>
    </w:p>
    <w:p w14:paraId="0B5F5C1E" w14:textId="2560BF55" w:rsidR="00B06AAE" w:rsidRPr="00711919" w:rsidRDefault="00B06AAE">
      <w:pPr>
        <w:pStyle w:val="TM2"/>
        <w:rPr>
          <w:rStyle w:val="Lienhypertexte"/>
          <w:color w:val="001042"/>
        </w:rPr>
      </w:pPr>
      <w:hyperlink w:anchor="_Toc229131252" w:history="1">
        <w:r w:rsidRPr="00711919">
          <w:rPr>
            <w:rStyle w:val="Lienhypertexte"/>
            <w:color w:val="001042"/>
          </w:rPr>
          <w:t>2.4</w:t>
        </w:r>
        <w:r w:rsidRPr="00711919">
          <w:rPr>
            <w:rFonts w:eastAsiaTheme="minorEastAsia"/>
            <w:bCs w:val="0"/>
            <w:color w:val="001042"/>
            <w:kern w:val="2"/>
            <w:lang w:eastAsia="fr-CA"/>
            <w14:ligatures w14:val="standardContextual"/>
          </w:rPr>
          <w:tab/>
        </w:r>
        <w:r w:rsidRPr="00711919">
          <w:rPr>
            <w:rStyle w:val="Lienhypertexte"/>
            <w:color w:val="001042"/>
          </w:rPr>
          <w:t>Parce que le travail préoccupe les groupes de personnes concernées</w:t>
        </w:r>
        <w:r w:rsidRPr="00711919">
          <w:rPr>
            <w:webHidden/>
            <w:color w:val="001042"/>
          </w:rPr>
          <w:tab/>
        </w:r>
        <w:r w:rsidRPr="00711919">
          <w:rPr>
            <w:webHidden/>
            <w:color w:val="001042"/>
          </w:rPr>
          <w:fldChar w:fldCharType="begin"/>
        </w:r>
        <w:r w:rsidRPr="00711919">
          <w:rPr>
            <w:webHidden/>
            <w:color w:val="001042"/>
          </w:rPr>
          <w:instrText xml:space="preserve"> PAGEREF _Toc229131252 \h </w:instrText>
        </w:r>
        <w:r w:rsidRPr="00711919">
          <w:rPr>
            <w:webHidden/>
            <w:color w:val="001042"/>
          </w:rPr>
        </w:r>
        <w:r w:rsidRPr="00711919">
          <w:rPr>
            <w:webHidden/>
            <w:color w:val="001042"/>
          </w:rPr>
          <w:fldChar w:fldCharType="separate"/>
        </w:r>
        <w:r w:rsidR="00FC231E">
          <w:rPr>
            <w:webHidden/>
            <w:color w:val="001042"/>
          </w:rPr>
          <w:t>10</w:t>
        </w:r>
        <w:r w:rsidRPr="00711919">
          <w:rPr>
            <w:webHidden/>
            <w:color w:val="001042"/>
          </w:rPr>
          <w:fldChar w:fldCharType="end"/>
        </w:r>
      </w:hyperlink>
    </w:p>
    <w:p w14:paraId="3F43E4B1" w14:textId="77777777" w:rsidR="00711919" w:rsidRPr="00711919" w:rsidRDefault="00711919" w:rsidP="00711919">
      <w:pPr>
        <w:rPr>
          <w:rFonts w:asciiTheme="minorHAnsi" w:hAnsiTheme="minorHAnsi"/>
          <w:noProof/>
          <w:color w:val="001042"/>
          <w:lang w:eastAsia="fr-CA"/>
        </w:rPr>
      </w:pPr>
    </w:p>
    <w:p w14:paraId="361193F8" w14:textId="77777777" w:rsidR="00711919" w:rsidRPr="00711919" w:rsidRDefault="00711919" w:rsidP="00711919">
      <w:pPr>
        <w:rPr>
          <w:rFonts w:asciiTheme="minorHAnsi" w:hAnsiTheme="minorHAnsi"/>
          <w:noProof/>
          <w:color w:val="001042"/>
          <w:lang w:eastAsia="fr-CA"/>
        </w:rPr>
      </w:pPr>
    </w:p>
    <w:p w14:paraId="645D9921" w14:textId="74571406" w:rsidR="00B06AAE" w:rsidRPr="00711919" w:rsidRDefault="00B06AAE">
      <w:pPr>
        <w:pStyle w:val="TM1"/>
        <w:rPr>
          <w:rStyle w:val="Lienhypertexte"/>
          <w:rFonts w:asciiTheme="minorHAnsi" w:hAnsiTheme="minorHAnsi"/>
          <w:color w:val="001042"/>
        </w:rPr>
      </w:pPr>
      <w:hyperlink w:anchor="_Toc229131253" w:history="1">
        <w:r w:rsidRPr="00711919">
          <w:rPr>
            <w:rStyle w:val="Lienhypertexte"/>
            <w:rFonts w:asciiTheme="minorHAnsi" w:hAnsiTheme="minorHAnsi"/>
            <w:color w:val="001042"/>
          </w:rPr>
          <w:t>3</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État des connaissances : des discriminations qui persistent</w:t>
        </w:r>
        <w:r w:rsidRPr="003A64E0">
          <w:rPr>
            <w:rFonts w:asciiTheme="minorHAnsi" w:hAnsiTheme="minorHAnsi"/>
            <w:b w:val="0"/>
            <w:bCs w:val="0"/>
            <w:webHidden/>
            <w:color w:val="001042"/>
          </w:rPr>
          <w:tab/>
        </w:r>
        <w:r w:rsidRPr="003A64E0">
          <w:rPr>
            <w:rFonts w:asciiTheme="minorHAnsi" w:hAnsiTheme="minorHAnsi"/>
            <w:b w:val="0"/>
            <w:bCs w:val="0"/>
            <w:webHidden/>
            <w:color w:val="001042"/>
          </w:rPr>
          <w:fldChar w:fldCharType="begin"/>
        </w:r>
        <w:r w:rsidRPr="003A64E0">
          <w:rPr>
            <w:rFonts w:asciiTheme="minorHAnsi" w:hAnsiTheme="minorHAnsi"/>
            <w:b w:val="0"/>
            <w:bCs w:val="0"/>
            <w:webHidden/>
            <w:color w:val="001042"/>
          </w:rPr>
          <w:instrText xml:space="preserve"> PAGEREF _Toc229131253 \h </w:instrText>
        </w:r>
        <w:r w:rsidRPr="003A64E0">
          <w:rPr>
            <w:rFonts w:asciiTheme="minorHAnsi" w:hAnsiTheme="minorHAnsi"/>
            <w:b w:val="0"/>
            <w:bCs w:val="0"/>
            <w:webHidden/>
            <w:color w:val="001042"/>
          </w:rPr>
        </w:r>
        <w:r w:rsidRPr="003A64E0">
          <w:rPr>
            <w:rFonts w:asciiTheme="minorHAnsi" w:hAnsiTheme="minorHAnsi"/>
            <w:b w:val="0"/>
            <w:bCs w:val="0"/>
            <w:webHidden/>
            <w:color w:val="001042"/>
          </w:rPr>
          <w:fldChar w:fldCharType="separate"/>
        </w:r>
        <w:r w:rsidR="00FC231E">
          <w:rPr>
            <w:rFonts w:asciiTheme="minorHAnsi" w:hAnsiTheme="minorHAnsi"/>
            <w:b w:val="0"/>
            <w:bCs w:val="0"/>
            <w:webHidden/>
            <w:color w:val="001042"/>
          </w:rPr>
          <w:t>14</w:t>
        </w:r>
        <w:r w:rsidRPr="003A64E0">
          <w:rPr>
            <w:rFonts w:asciiTheme="minorHAnsi" w:hAnsiTheme="minorHAnsi"/>
            <w:b w:val="0"/>
            <w:bCs w:val="0"/>
            <w:webHidden/>
            <w:color w:val="001042"/>
          </w:rPr>
          <w:fldChar w:fldCharType="end"/>
        </w:r>
      </w:hyperlink>
    </w:p>
    <w:p w14:paraId="763A22B4" w14:textId="77777777" w:rsidR="00711919" w:rsidRPr="00711919" w:rsidRDefault="00711919" w:rsidP="00711919">
      <w:pPr>
        <w:rPr>
          <w:rFonts w:asciiTheme="minorHAnsi" w:hAnsiTheme="minorHAnsi"/>
          <w:noProof/>
          <w:color w:val="001042"/>
          <w:lang w:eastAsia="fr-CA"/>
        </w:rPr>
      </w:pPr>
    </w:p>
    <w:p w14:paraId="75C86399" w14:textId="10290FE6" w:rsidR="00B06AAE" w:rsidRPr="00711919" w:rsidRDefault="00B06AAE">
      <w:pPr>
        <w:pStyle w:val="TM2"/>
        <w:rPr>
          <w:rFonts w:eastAsiaTheme="minorEastAsia"/>
          <w:bCs w:val="0"/>
          <w:color w:val="001042"/>
          <w:kern w:val="2"/>
          <w:lang w:eastAsia="fr-CA"/>
          <w14:ligatures w14:val="standardContextual"/>
        </w:rPr>
      </w:pPr>
      <w:hyperlink w:anchor="_Toc229131254" w:history="1">
        <w:r w:rsidRPr="00711919">
          <w:rPr>
            <w:rStyle w:val="Lienhypertexte"/>
            <w:color w:val="001042"/>
          </w:rPr>
          <w:t>3.1</w:t>
        </w:r>
        <w:r w:rsidRPr="00711919">
          <w:rPr>
            <w:rFonts w:eastAsiaTheme="minorEastAsia"/>
            <w:bCs w:val="0"/>
            <w:color w:val="001042"/>
            <w:kern w:val="2"/>
            <w:lang w:eastAsia="fr-CA"/>
            <w14:ligatures w14:val="standardContextual"/>
          </w:rPr>
          <w:tab/>
        </w:r>
        <w:r w:rsidRPr="00711919">
          <w:rPr>
            <w:rStyle w:val="Lienhypertexte"/>
            <w:color w:val="001042"/>
          </w:rPr>
          <w:t>Les personnes LGBTQ+ continuent d’être désavantagées sur le marché du travail</w:t>
        </w:r>
        <w:r w:rsidRPr="00711919">
          <w:rPr>
            <w:webHidden/>
            <w:color w:val="001042"/>
          </w:rPr>
          <w:tab/>
        </w:r>
        <w:r w:rsidRPr="00711919">
          <w:rPr>
            <w:webHidden/>
            <w:color w:val="001042"/>
          </w:rPr>
          <w:fldChar w:fldCharType="begin"/>
        </w:r>
        <w:r w:rsidRPr="00711919">
          <w:rPr>
            <w:webHidden/>
            <w:color w:val="001042"/>
          </w:rPr>
          <w:instrText xml:space="preserve"> PAGEREF _Toc229131254 \h </w:instrText>
        </w:r>
        <w:r w:rsidRPr="00711919">
          <w:rPr>
            <w:webHidden/>
            <w:color w:val="001042"/>
          </w:rPr>
        </w:r>
        <w:r w:rsidRPr="00711919">
          <w:rPr>
            <w:webHidden/>
            <w:color w:val="001042"/>
          </w:rPr>
          <w:fldChar w:fldCharType="separate"/>
        </w:r>
        <w:r w:rsidR="00FC231E">
          <w:rPr>
            <w:webHidden/>
            <w:color w:val="001042"/>
          </w:rPr>
          <w:t>15</w:t>
        </w:r>
        <w:r w:rsidRPr="00711919">
          <w:rPr>
            <w:webHidden/>
            <w:color w:val="001042"/>
          </w:rPr>
          <w:fldChar w:fldCharType="end"/>
        </w:r>
      </w:hyperlink>
    </w:p>
    <w:p w14:paraId="23A1D1E8" w14:textId="33DA4324" w:rsidR="00B06AAE" w:rsidRPr="00711919" w:rsidRDefault="00B06AAE">
      <w:pPr>
        <w:pStyle w:val="TM2"/>
        <w:rPr>
          <w:rFonts w:eastAsiaTheme="minorEastAsia"/>
          <w:bCs w:val="0"/>
          <w:color w:val="001042"/>
          <w:kern w:val="2"/>
          <w:lang w:eastAsia="fr-CA"/>
          <w14:ligatures w14:val="standardContextual"/>
        </w:rPr>
      </w:pPr>
      <w:hyperlink w:anchor="_Toc229131255" w:history="1">
        <w:r w:rsidRPr="00711919">
          <w:rPr>
            <w:rStyle w:val="Lienhypertexte"/>
            <w:color w:val="001042"/>
          </w:rPr>
          <w:t>3.2</w:t>
        </w:r>
        <w:r w:rsidRPr="00711919">
          <w:rPr>
            <w:rFonts w:eastAsiaTheme="minorEastAsia"/>
            <w:bCs w:val="0"/>
            <w:color w:val="001042"/>
            <w:kern w:val="2"/>
            <w:lang w:eastAsia="fr-CA"/>
            <w14:ligatures w14:val="standardContextual"/>
          </w:rPr>
          <w:tab/>
        </w:r>
        <w:r w:rsidRPr="00711919">
          <w:rPr>
            <w:rStyle w:val="Lienhypertexte"/>
            <w:color w:val="001042"/>
          </w:rPr>
          <w:t>Les normes de genre et de sexualité façonnent les milieux de travail</w:t>
        </w:r>
        <w:r w:rsidRPr="00711919">
          <w:rPr>
            <w:webHidden/>
            <w:color w:val="001042"/>
          </w:rPr>
          <w:tab/>
        </w:r>
        <w:r w:rsidRPr="00711919">
          <w:rPr>
            <w:webHidden/>
            <w:color w:val="001042"/>
          </w:rPr>
          <w:fldChar w:fldCharType="begin"/>
        </w:r>
        <w:r w:rsidRPr="00711919">
          <w:rPr>
            <w:webHidden/>
            <w:color w:val="001042"/>
          </w:rPr>
          <w:instrText xml:space="preserve"> PAGEREF _Toc229131255 \h </w:instrText>
        </w:r>
        <w:r w:rsidRPr="00711919">
          <w:rPr>
            <w:webHidden/>
            <w:color w:val="001042"/>
          </w:rPr>
        </w:r>
        <w:r w:rsidRPr="00711919">
          <w:rPr>
            <w:webHidden/>
            <w:color w:val="001042"/>
          </w:rPr>
          <w:fldChar w:fldCharType="separate"/>
        </w:r>
        <w:r w:rsidR="00FC231E">
          <w:rPr>
            <w:webHidden/>
            <w:color w:val="001042"/>
          </w:rPr>
          <w:t>16</w:t>
        </w:r>
        <w:r w:rsidRPr="00711919">
          <w:rPr>
            <w:webHidden/>
            <w:color w:val="001042"/>
          </w:rPr>
          <w:fldChar w:fldCharType="end"/>
        </w:r>
      </w:hyperlink>
    </w:p>
    <w:p w14:paraId="11FE655C" w14:textId="319DECF4" w:rsidR="00B06AAE" w:rsidRPr="00711919" w:rsidRDefault="00B06AAE">
      <w:pPr>
        <w:pStyle w:val="TM2"/>
        <w:rPr>
          <w:rFonts w:eastAsiaTheme="minorEastAsia"/>
          <w:bCs w:val="0"/>
          <w:color w:val="001042"/>
          <w:kern w:val="2"/>
          <w:lang w:eastAsia="fr-CA"/>
          <w14:ligatures w14:val="standardContextual"/>
        </w:rPr>
      </w:pPr>
      <w:hyperlink w:anchor="_Toc229131256" w:history="1">
        <w:r w:rsidRPr="00711919">
          <w:rPr>
            <w:rStyle w:val="Lienhypertexte"/>
            <w:color w:val="001042"/>
          </w:rPr>
          <w:t>3.3</w:t>
        </w:r>
        <w:r w:rsidRPr="00711919">
          <w:rPr>
            <w:rFonts w:eastAsiaTheme="minorEastAsia"/>
            <w:bCs w:val="0"/>
            <w:color w:val="001042"/>
            <w:kern w:val="2"/>
            <w:lang w:eastAsia="fr-CA"/>
            <w14:ligatures w14:val="standardContextual"/>
          </w:rPr>
          <w:tab/>
        </w:r>
        <w:r w:rsidRPr="00711919">
          <w:rPr>
            <w:rStyle w:val="Lienhypertexte"/>
            <w:color w:val="001042"/>
          </w:rPr>
          <w:t>Un climat de travail parfois hostile</w:t>
        </w:r>
        <w:r w:rsidRPr="00711919">
          <w:rPr>
            <w:webHidden/>
            <w:color w:val="001042"/>
          </w:rPr>
          <w:tab/>
        </w:r>
        <w:r w:rsidRPr="00711919">
          <w:rPr>
            <w:webHidden/>
            <w:color w:val="001042"/>
          </w:rPr>
          <w:fldChar w:fldCharType="begin"/>
        </w:r>
        <w:r w:rsidRPr="00711919">
          <w:rPr>
            <w:webHidden/>
            <w:color w:val="001042"/>
          </w:rPr>
          <w:instrText xml:space="preserve"> PAGEREF _Toc229131256 \h </w:instrText>
        </w:r>
        <w:r w:rsidRPr="00711919">
          <w:rPr>
            <w:webHidden/>
            <w:color w:val="001042"/>
          </w:rPr>
        </w:r>
        <w:r w:rsidRPr="00711919">
          <w:rPr>
            <w:webHidden/>
            <w:color w:val="001042"/>
          </w:rPr>
          <w:fldChar w:fldCharType="separate"/>
        </w:r>
        <w:r w:rsidR="00FC231E">
          <w:rPr>
            <w:webHidden/>
            <w:color w:val="001042"/>
          </w:rPr>
          <w:t>20</w:t>
        </w:r>
        <w:r w:rsidRPr="00711919">
          <w:rPr>
            <w:webHidden/>
            <w:color w:val="001042"/>
          </w:rPr>
          <w:fldChar w:fldCharType="end"/>
        </w:r>
      </w:hyperlink>
    </w:p>
    <w:p w14:paraId="6783371D" w14:textId="3CFA8FE4" w:rsidR="00B06AAE" w:rsidRPr="00711919" w:rsidRDefault="00B06AAE">
      <w:pPr>
        <w:pStyle w:val="TM2"/>
        <w:rPr>
          <w:rFonts w:eastAsiaTheme="minorEastAsia"/>
          <w:bCs w:val="0"/>
          <w:color w:val="001042"/>
          <w:kern w:val="2"/>
          <w:lang w:eastAsia="fr-CA"/>
          <w14:ligatures w14:val="standardContextual"/>
        </w:rPr>
      </w:pPr>
      <w:hyperlink w:anchor="_Toc229131257" w:history="1">
        <w:r w:rsidRPr="00711919">
          <w:rPr>
            <w:rStyle w:val="Lienhypertexte"/>
            <w:color w:val="001042"/>
          </w:rPr>
          <w:t>3.4</w:t>
        </w:r>
        <w:r w:rsidRPr="00711919">
          <w:rPr>
            <w:rFonts w:eastAsiaTheme="minorEastAsia"/>
            <w:bCs w:val="0"/>
            <w:color w:val="001042"/>
            <w:kern w:val="2"/>
            <w:lang w:eastAsia="fr-CA"/>
            <w14:ligatures w14:val="standardContextual"/>
          </w:rPr>
          <w:tab/>
        </w:r>
        <w:r w:rsidRPr="00711919">
          <w:rPr>
            <w:rStyle w:val="Lienhypertexte"/>
            <w:color w:val="001042"/>
          </w:rPr>
          <w:t>Des expériences qui influencent des parcours et des carrières</w:t>
        </w:r>
        <w:r w:rsidRPr="00711919">
          <w:rPr>
            <w:webHidden/>
            <w:color w:val="001042"/>
          </w:rPr>
          <w:tab/>
        </w:r>
        <w:r w:rsidRPr="00711919">
          <w:rPr>
            <w:webHidden/>
            <w:color w:val="001042"/>
          </w:rPr>
          <w:fldChar w:fldCharType="begin"/>
        </w:r>
        <w:r w:rsidRPr="00711919">
          <w:rPr>
            <w:webHidden/>
            <w:color w:val="001042"/>
          </w:rPr>
          <w:instrText xml:space="preserve"> PAGEREF _Toc229131257 \h </w:instrText>
        </w:r>
        <w:r w:rsidRPr="00711919">
          <w:rPr>
            <w:webHidden/>
            <w:color w:val="001042"/>
          </w:rPr>
        </w:r>
        <w:r w:rsidRPr="00711919">
          <w:rPr>
            <w:webHidden/>
            <w:color w:val="001042"/>
          </w:rPr>
          <w:fldChar w:fldCharType="separate"/>
        </w:r>
        <w:r w:rsidR="00FC231E">
          <w:rPr>
            <w:webHidden/>
            <w:color w:val="001042"/>
          </w:rPr>
          <w:t>22</w:t>
        </w:r>
        <w:r w:rsidRPr="00711919">
          <w:rPr>
            <w:webHidden/>
            <w:color w:val="001042"/>
          </w:rPr>
          <w:fldChar w:fldCharType="end"/>
        </w:r>
      </w:hyperlink>
    </w:p>
    <w:p w14:paraId="2FE63252" w14:textId="6A119120" w:rsidR="00B06AAE" w:rsidRPr="00711919" w:rsidRDefault="00B06AAE">
      <w:pPr>
        <w:pStyle w:val="TM2"/>
        <w:rPr>
          <w:rFonts w:eastAsiaTheme="minorEastAsia"/>
          <w:bCs w:val="0"/>
          <w:color w:val="001042"/>
          <w:kern w:val="2"/>
          <w:lang w:eastAsia="fr-CA"/>
          <w14:ligatures w14:val="standardContextual"/>
        </w:rPr>
      </w:pPr>
      <w:hyperlink w:anchor="_Toc229131258" w:history="1">
        <w:r w:rsidRPr="00711919">
          <w:rPr>
            <w:rStyle w:val="Lienhypertexte"/>
            <w:color w:val="001042"/>
          </w:rPr>
          <w:t>3.5</w:t>
        </w:r>
        <w:r w:rsidRPr="00711919">
          <w:rPr>
            <w:rFonts w:eastAsiaTheme="minorEastAsia"/>
            <w:bCs w:val="0"/>
            <w:color w:val="001042"/>
            <w:kern w:val="2"/>
            <w:lang w:eastAsia="fr-CA"/>
            <w14:ligatures w14:val="standardContextual"/>
          </w:rPr>
          <w:tab/>
        </w:r>
        <w:r w:rsidRPr="00711919">
          <w:rPr>
            <w:rStyle w:val="Lienhypertexte"/>
            <w:color w:val="001042"/>
          </w:rPr>
          <w:t>Des disparités au niveau de l’embauche, des salaires et de la qualité de l’emploi</w:t>
        </w:r>
        <w:r w:rsidRPr="00711919">
          <w:rPr>
            <w:webHidden/>
            <w:color w:val="001042"/>
          </w:rPr>
          <w:tab/>
        </w:r>
        <w:r w:rsidRPr="00711919">
          <w:rPr>
            <w:webHidden/>
            <w:color w:val="001042"/>
          </w:rPr>
          <w:fldChar w:fldCharType="begin"/>
        </w:r>
        <w:r w:rsidRPr="00711919">
          <w:rPr>
            <w:webHidden/>
            <w:color w:val="001042"/>
          </w:rPr>
          <w:instrText xml:space="preserve"> PAGEREF _Toc229131258 \h </w:instrText>
        </w:r>
        <w:r w:rsidRPr="00711919">
          <w:rPr>
            <w:webHidden/>
            <w:color w:val="001042"/>
          </w:rPr>
        </w:r>
        <w:r w:rsidRPr="00711919">
          <w:rPr>
            <w:webHidden/>
            <w:color w:val="001042"/>
          </w:rPr>
          <w:fldChar w:fldCharType="separate"/>
        </w:r>
        <w:r w:rsidR="00FC231E">
          <w:rPr>
            <w:webHidden/>
            <w:color w:val="001042"/>
          </w:rPr>
          <w:t>23</w:t>
        </w:r>
        <w:r w:rsidRPr="00711919">
          <w:rPr>
            <w:webHidden/>
            <w:color w:val="001042"/>
          </w:rPr>
          <w:fldChar w:fldCharType="end"/>
        </w:r>
      </w:hyperlink>
    </w:p>
    <w:p w14:paraId="2D254503" w14:textId="4969347F" w:rsidR="00B06AAE" w:rsidRPr="00711919" w:rsidRDefault="00B06AAE">
      <w:pPr>
        <w:pStyle w:val="TM2"/>
        <w:rPr>
          <w:rFonts w:eastAsiaTheme="minorEastAsia"/>
          <w:bCs w:val="0"/>
          <w:color w:val="001042"/>
          <w:kern w:val="2"/>
          <w:lang w:eastAsia="fr-CA"/>
          <w14:ligatures w14:val="standardContextual"/>
        </w:rPr>
      </w:pPr>
      <w:hyperlink w:anchor="_Toc229131259" w:history="1">
        <w:r w:rsidRPr="00711919">
          <w:rPr>
            <w:rStyle w:val="Lienhypertexte"/>
            <w:color w:val="001042"/>
          </w:rPr>
          <w:t>3.6</w:t>
        </w:r>
        <w:r w:rsidRPr="00711919">
          <w:rPr>
            <w:rFonts w:eastAsiaTheme="minorEastAsia"/>
            <w:bCs w:val="0"/>
            <w:color w:val="001042"/>
            <w:kern w:val="2"/>
            <w:lang w:eastAsia="fr-CA"/>
            <w14:ligatures w14:val="standardContextual"/>
          </w:rPr>
          <w:tab/>
        </w:r>
        <w:r w:rsidRPr="00711919">
          <w:rPr>
            <w:rStyle w:val="Lienhypertexte"/>
            <w:color w:val="001042"/>
          </w:rPr>
          <w:t>Les limites de la littérature scientifique</w:t>
        </w:r>
        <w:r w:rsidRPr="00711919">
          <w:rPr>
            <w:webHidden/>
            <w:color w:val="001042"/>
          </w:rPr>
          <w:tab/>
        </w:r>
        <w:r w:rsidRPr="00711919">
          <w:rPr>
            <w:webHidden/>
            <w:color w:val="001042"/>
          </w:rPr>
          <w:fldChar w:fldCharType="begin"/>
        </w:r>
        <w:r w:rsidRPr="00711919">
          <w:rPr>
            <w:webHidden/>
            <w:color w:val="001042"/>
          </w:rPr>
          <w:instrText xml:space="preserve"> PAGEREF _Toc229131259 \h </w:instrText>
        </w:r>
        <w:r w:rsidRPr="00711919">
          <w:rPr>
            <w:webHidden/>
            <w:color w:val="001042"/>
          </w:rPr>
        </w:r>
        <w:r w:rsidRPr="00711919">
          <w:rPr>
            <w:webHidden/>
            <w:color w:val="001042"/>
          </w:rPr>
          <w:fldChar w:fldCharType="separate"/>
        </w:r>
        <w:r w:rsidR="00FC231E">
          <w:rPr>
            <w:webHidden/>
            <w:color w:val="001042"/>
          </w:rPr>
          <w:t>25</w:t>
        </w:r>
        <w:r w:rsidRPr="00711919">
          <w:rPr>
            <w:webHidden/>
            <w:color w:val="001042"/>
          </w:rPr>
          <w:fldChar w:fldCharType="end"/>
        </w:r>
      </w:hyperlink>
    </w:p>
    <w:p w14:paraId="09D55A09" w14:textId="2DB5B407" w:rsidR="00B06AAE" w:rsidRPr="00711919" w:rsidRDefault="00B06AAE">
      <w:pPr>
        <w:pStyle w:val="TM2"/>
        <w:rPr>
          <w:rStyle w:val="Lienhypertexte"/>
          <w:color w:val="001042"/>
        </w:rPr>
      </w:pPr>
      <w:hyperlink w:anchor="_Toc229131260" w:history="1">
        <w:r w:rsidRPr="00711919">
          <w:rPr>
            <w:rStyle w:val="Lienhypertexte"/>
            <w:color w:val="001042"/>
          </w:rPr>
          <w:t>3.7</w:t>
        </w:r>
        <w:r w:rsidRPr="00711919">
          <w:rPr>
            <w:rFonts w:eastAsiaTheme="minorEastAsia"/>
            <w:bCs w:val="0"/>
            <w:color w:val="001042"/>
            <w:kern w:val="2"/>
            <w:lang w:eastAsia="fr-CA"/>
            <w14:ligatures w14:val="standardContextual"/>
          </w:rPr>
          <w:tab/>
        </w:r>
        <w:r w:rsidRPr="00711919">
          <w:rPr>
            <w:rStyle w:val="Lienhypertexte"/>
            <w:color w:val="001042"/>
          </w:rPr>
          <w:t>L’état de la jurisprudence et de la doctrine juridique</w:t>
        </w:r>
        <w:r w:rsidRPr="00711919">
          <w:rPr>
            <w:webHidden/>
            <w:color w:val="001042"/>
          </w:rPr>
          <w:tab/>
        </w:r>
        <w:r w:rsidRPr="00711919">
          <w:rPr>
            <w:webHidden/>
            <w:color w:val="001042"/>
          </w:rPr>
          <w:fldChar w:fldCharType="begin"/>
        </w:r>
        <w:r w:rsidRPr="00711919">
          <w:rPr>
            <w:webHidden/>
            <w:color w:val="001042"/>
          </w:rPr>
          <w:instrText xml:space="preserve"> PAGEREF _Toc229131260 \h </w:instrText>
        </w:r>
        <w:r w:rsidRPr="00711919">
          <w:rPr>
            <w:webHidden/>
            <w:color w:val="001042"/>
          </w:rPr>
        </w:r>
        <w:r w:rsidRPr="00711919">
          <w:rPr>
            <w:webHidden/>
            <w:color w:val="001042"/>
          </w:rPr>
          <w:fldChar w:fldCharType="separate"/>
        </w:r>
        <w:r w:rsidR="00FC231E">
          <w:rPr>
            <w:webHidden/>
            <w:color w:val="001042"/>
          </w:rPr>
          <w:t>26</w:t>
        </w:r>
        <w:r w:rsidRPr="00711919">
          <w:rPr>
            <w:webHidden/>
            <w:color w:val="001042"/>
          </w:rPr>
          <w:fldChar w:fldCharType="end"/>
        </w:r>
      </w:hyperlink>
    </w:p>
    <w:p w14:paraId="04973D62" w14:textId="77777777" w:rsidR="00711919" w:rsidRPr="00711919" w:rsidRDefault="00711919" w:rsidP="00711919">
      <w:pPr>
        <w:rPr>
          <w:rFonts w:asciiTheme="minorHAnsi" w:hAnsiTheme="minorHAnsi"/>
          <w:noProof/>
          <w:color w:val="001042"/>
          <w:lang w:eastAsia="fr-CA"/>
        </w:rPr>
      </w:pPr>
    </w:p>
    <w:p w14:paraId="4A9C4B84" w14:textId="77777777" w:rsidR="00711919" w:rsidRPr="00711919" w:rsidRDefault="00711919" w:rsidP="00711919">
      <w:pPr>
        <w:rPr>
          <w:rFonts w:asciiTheme="minorHAnsi" w:hAnsiTheme="minorHAnsi"/>
          <w:noProof/>
          <w:color w:val="001042"/>
          <w:lang w:eastAsia="fr-CA"/>
        </w:rPr>
      </w:pPr>
    </w:p>
    <w:p w14:paraId="58EBCBDB" w14:textId="3382B0EB" w:rsidR="00B06AAE" w:rsidRDefault="00B06AAE">
      <w:pPr>
        <w:pStyle w:val="TM1"/>
      </w:pPr>
      <w:hyperlink w:anchor="_Toc229131261" w:history="1">
        <w:r w:rsidRPr="00711919">
          <w:rPr>
            <w:rStyle w:val="Lienhypertexte"/>
            <w:rFonts w:asciiTheme="minorHAnsi" w:hAnsiTheme="minorHAnsi"/>
            <w:color w:val="001042"/>
          </w:rPr>
          <w:t>4</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Présentation de la recherche</w:t>
        </w:r>
        <w:r w:rsidRPr="003A64E0">
          <w:rPr>
            <w:rFonts w:asciiTheme="minorHAnsi" w:hAnsiTheme="minorHAnsi"/>
            <w:b w:val="0"/>
            <w:bCs w:val="0"/>
            <w:webHidden/>
            <w:color w:val="001042"/>
          </w:rPr>
          <w:tab/>
        </w:r>
        <w:r w:rsidRPr="003A64E0">
          <w:rPr>
            <w:rFonts w:asciiTheme="minorHAnsi" w:hAnsiTheme="minorHAnsi"/>
            <w:b w:val="0"/>
            <w:bCs w:val="0"/>
            <w:webHidden/>
            <w:color w:val="001042"/>
          </w:rPr>
          <w:fldChar w:fldCharType="begin"/>
        </w:r>
        <w:r w:rsidRPr="003A64E0">
          <w:rPr>
            <w:rFonts w:asciiTheme="minorHAnsi" w:hAnsiTheme="minorHAnsi"/>
            <w:b w:val="0"/>
            <w:bCs w:val="0"/>
            <w:webHidden/>
            <w:color w:val="001042"/>
          </w:rPr>
          <w:instrText xml:space="preserve"> PAGEREF _Toc229131261 \h </w:instrText>
        </w:r>
        <w:r w:rsidRPr="003A64E0">
          <w:rPr>
            <w:rFonts w:asciiTheme="minorHAnsi" w:hAnsiTheme="minorHAnsi"/>
            <w:b w:val="0"/>
            <w:bCs w:val="0"/>
            <w:webHidden/>
            <w:color w:val="001042"/>
          </w:rPr>
        </w:r>
        <w:r w:rsidRPr="003A64E0">
          <w:rPr>
            <w:rFonts w:asciiTheme="minorHAnsi" w:hAnsiTheme="minorHAnsi"/>
            <w:b w:val="0"/>
            <w:bCs w:val="0"/>
            <w:webHidden/>
            <w:color w:val="001042"/>
          </w:rPr>
          <w:fldChar w:fldCharType="separate"/>
        </w:r>
        <w:r w:rsidR="00FC231E">
          <w:rPr>
            <w:rFonts w:asciiTheme="minorHAnsi" w:hAnsiTheme="minorHAnsi"/>
            <w:b w:val="0"/>
            <w:bCs w:val="0"/>
            <w:webHidden/>
            <w:color w:val="001042"/>
          </w:rPr>
          <w:t>27</w:t>
        </w:r>
        <w:r w:rsidRPr="003A64E0">
          <w:rPr>
            <w:rFonts w:asciiTheme="minorHAnsi" w:hAnsiTheme="minorHAnsi"/>
            <w:b w:val="0"/>
            <w:bCs w:val="0"/>
            <w:webHidden/>
            <w:color w:val="001042"/>
          </w:rPr>
          <w:fldChar w:fldCharType="end"/>
        </w:r>
      </w:hyperlink>
    </w:p>
    <w:p w14:paraId="6131A18C" w14:textId="77777777" w:rsidR="00B61258" w:rsidRPr="00B61258" w:rsidRDefault="00B61258" w:rsidP="00B61258">
      <w:pPr>
        <w:rPr>
          <w:noProof/>
          <w:lang w:eastAsia="fr-CA"/>
        </w:rPr>
      </w:pPr>
    </w:p>
    <w:p w14:paraId="68F8806D" w14:textId="45E9E2FB" w:rsidR="00B06AAE" w:rsidRPr="00711919" w:rsidRDefault="00B06AAE">
      <w:pPr>
        <w:pStyle w:val="TM2"/>
        <w:rPr>
          <w:rFonts w:eastAsiaTheme="minorEastAsia"/>
          <w:bCs w:val="0"/>
          <w:color w:val="001042"/>
          <w:kern w:val="2"/>
          <w:lang w:eastAsia="fr-CA"/>
          <w14:ligatures w14:val="standardContextual"/>
        </w:rPr>
      </w:pPr>
      <w:hyperlink w:anchor="_Toc229131262" w:history="1">
        <w:r w:rsidRPr="00711919">
          <w:rPr>
            <w:rStyle w:val="Lienhypertexte"/>
            <w:color w:val="001042"/>
          </w:rPr>
          <w:t>4.1</w:t>
        </w:r>
        <w:r w:rsidRPr="00711919">
          <w:rPr>
            <w:rFonts w:eastAsiaTheme="minorEastAsia"/>
            <w:bCs w:val="0"/>
            <w:color w:val="001042"/>
            <w:kern w:val="2"/>
            <w:lang w:eastAsia="fr-CA"/>
            <w14:ligatures w14:val="standardContextual"/>
          </w:rPr>
          <w:tab/>
        </w:r>
        <w:r w:rsidRPr="00711919">
          <w:rPr>
            <w:rStyle w:val="Lienhypertexte"/>
            <w:color w:val="001042"/>
          </w:rPr>
          <w:t>Question et objectifs de la recherche</w:t>
        </w:r>
        <w:r w:rsidRPr="00711919">
          <w:rPr>
            <w:webHidden/>
            <w:color w:val="001042"/>
          </w:rPr>
          <w:tab/>
        </w:r>
        <w:r w:rsidRPr="00711919">
          <w:rPr>
            <w:webHidden/>
            <w:color w:val="001042"/>
          </w:rPr>
          <w:fldChar w:fldCharType="begin"/>
        </w:r>
        <w:r w:rsidRPr="00711919">
          <w:rPr>
            <w:webHidden/>
            <w:color w:val="001042"/>
          </w:rPr>
          <w:instrText xml:space="preserve"> PAGEREF _Toc229131262 \h </w:instrText>
        </w:r>
        <w:r w:rsidRPr="00711919">
          <w:rPr>
            <w:webHidden/>
            <w:color w:val="001042"/>
          </w:rPr>
        </w:r>
        <w:r w:rsidRPr="00711919">
          <w:rPr>
            <w:webHidden/>
            <w:color w:val="001042"/>
          </w:rPr>
          <w:fldChar w:fldCharType="separate"/>
        </w:r>
        <w:r w:rsidR="00FC231E">
          <w:rPr>
            <w:webHidden/>
            <w:color w:val="001042"/>
          </w:rPr>
          <w:t>27</w:t>
        </w:r>
        <w:r w:rsidRPr="00711919">
          <w:rPr>
            <w:webHidden/>
            <w:color w:val="001042"/>
          </w:rPr>
          <w:fldChar w:fldCharType="end"/>
        </w:r>
      </w:hyperlink>
    </w:p>
    <w:p w14:paraId="2063B6B5" w14:textId="411FDAAC" w:rsidR="00B06AAE" w:rsidRPr="00711919" w:rsidRDefault="00B06AAE">
      <w:pPr>
        <w:pStyle w:val="TM2"/>
        <w:rPr>
          <w:rFonts w:eastAsiaTheme="minorEastAsia"/>
          <w:bCs w:val="0"/>
          <w:color w:val="001042"/>
          <w:kern w:val="2"/>
          <w:lang w:eastAsia="fr-CA"/>
          <w14:ligatures w14:val="standardContextual"/>
        </w:rPr>
      </w:pPr>
      <w:hyperlink w:anchor="_Toc229131263" w:history="1">
        <w:r w:rsidRPr="00711919">
          <w:rPr>
            <w:rStyle w:val="Lienhypertexte"/>
            <w:color w:val="001042"/>
          </w:rPr>
          <w:t>4.2</w:t>
        </w:r>
        <w:r w:rsidRPr="00711919">
          <w:rPr>
            <w:rFonts w:eastAsiaTheme="minorEastAsia"/>
            <w:bCs w:val="0"/>
            <w:color w:val="001042"/>
            <w:kern w:val="2"/>
            <w:lang w:eastAsia="fr-CA"/>
            <w14:ligatures w14:val="standardContextual"/>
          </w:rPr>
          <w:tab/>
        </w:r>
        <w:r w:rsidRPr="00711919">
          <w:rPr>
            <w:rStyle w:val="Lienhypertexte"/>
            <w:color w:val="001042"/>
          </w:rPr>
          <w:t>Originalité de la recherche</w:t>
        </w:r>
        <w:r w:rsidRPr="00711919">
          <w:rPr>
            <w:webHidden/>
            <w:color w:val="001042"/>
          </w:rPr>
          <w:tab/>
        </w:r>
        <w:r w:rsidRPr="00711919">
          <w:rPr>
            <w:webHidden/>
            <w:color w:val="001042"/>
          </w:rPr>
          <w:fldChar w:fldCharType="begin"/>
        </w:r>
        <w:r w:rsidRPr="00711919">
          <w:rPr>
            <w:webHidden/>
            <w:color w:val="001042"/>
          </w:rPr>
          <w:instrText xml:space="preserve"> PAGEREF _Toc229131263 \h </w:instrText>
        </w:r>
        <w:r w:rsidRPr="00711919">
          <w:rPr>
            <w:webHidden/>
            <w:color w:val="001042"/>
          </w:rPr>
        </w:r>
        <w:r w:rsidRPr="00711919">
          <w:rPr>
            <w:webHidden/>
            <w:color w:val="001042"/>
          </w:rPr>
          <w:fldChar w:fldCharType="separate"/>
        </w:r>
        <w:r w:rsidR="00FC231E">
          <w:rPr>
            <w:webHidden/>
            <w:color w:val="001042"/>
          </w:rPr>
          <w:t>28</w:t>
        </w:r>
        <w:r w:rsidRPr="00711919">
          <w:rPr>
            <w:webHidden/>
            <w:color w:val="001042"/>
          </w:rPr>
          <w:fldChar w:fldCharType="end"/>
        </w:r>
      </w:hyperlink>
    </w:p>
    <w:p w14:paraId="2C6500D1" w14:textId="097222E0" w:rsidR="00B06AAE" w:rsidRPr="00711919" w:rsidRDefault="00B06AAE">
      <w:pPr>
        <w:pStyle w:val="TM2"/>
        <w:rPr>
          <w:rFonts w:eastAsiaTheme="minorEastAsia"/>
          <w:bCs w:val="0"/>
          <w:color w:val="001042"/>
          <w:kern w:val="2"/>
          <w:lang w:eastAsia="fr-CA"/>
          <w14:ligatures w14:val="standardContextual"/>
        </w:rPr>
      </w:pPr>
      <w:hyperlink w:anchor="_Toc229131264" w:history="1">
        <w:r w:rsidRPr="00711919">
          <w:rPr>
            <w:rStyle w:val="Lienhypertexte"/>
            <w:color w:val="001042"/>
          </w:rPr>
          <w:t>4.3</w:t>
        </w:r>
        <w:r w:rsidRPr="00711919">
          <w:rPr>
            <w:rFonts w:eastAsiaTheme="minorEastAsia"/>
            <w:bCs w:val="0"/>
            <w:color w:val="001042"/>
            <w:kern w:val="2"/>
            <w:lang w:eastAsia="fr-CA"/>
            <w14:ligatures w14:val="standardContextual"/>
          </w:rPr>
          <w:tab/>
        </w:r>
        <w:r w:rsidRPr="00711919">
          <w:rPr>
            <w:rStyle w:val="Lienhypertexte"/>
            <w:color w:val="001042"/>
          </w:rPr>
          <w:t>Portée de la recherche</w:t>
        </w:r>
        <w:r w:rsidRPr="00711919">
          <w:rPr>
            <w:webHidden/>
            <w:color w:val="001042"/>
          </w:rPr>
          <w:tab/>
        </w:r>
        <w:r w:rsidRPr="00711919">
          <w:rPr>
            <w:webHidden/>
            <w:color w:val="001042"/>
          </w:rPr>
          <w:fldChar w:fldCharType="begin"/>
        </w:r>
        <w:r w:rsidRPr="00711919">
          <w:rPr>
            <w:webHidden/>
            <w:color w:val="001042"/>
          </w:rPr>
          <w:instrText xml:space="preserve"> PAGEREF _Toc229131264 \h </w:instrText>
        </w:r>
        <w:r w:rsidRPr="00711919">
          <w:rPr>
            <w:webHidden/>
            <w:color w:val="001042"/>
          </w:rPr>
        </w:r>
        <w:r w:rsidRPr="00711919">
          <w:rPr>
            <w:webHidden/>
            <w:color w:val="001042"/>
          </w:rPr>
          <w:fldChar w:fldCharType="separate"/>
        </w:r>
        <w:r w:rsidR="00FC231E">
          <w:rPr>
            <w:webHidden/>
            <w:color w:val="001042"/>
          </w:rPr>
          <w:t>28</w:t>
        </w:r>
        <w:r w:rsidRPr="00711919">
          <w:rPr>
            <w:webHidden/>
            <w:color w:val="001042"/>
          </w:rPr>
          <w:fldChar w:fldCharType="end"/>
        </w:r>
      </w:hyperlink>
    </w:p>
    <w:p w14:paraId="39DD1B35" w14:textId="12D0C0E2"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65" w:history="1">
        <w:r w:rsidRPr="00711919">
          <w:rPr>
            <w:rStyle w:val="Lienhypertexte"/>
            <w:rFonts w:asciiTheme="minorHAnsi" w:hAnsiTheme="minorHAnsi"/>
            <w:noProof/>
            <w:color w:val="001042"/>
          </w:rPr>
          <w:t>4.3.1</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Sur quoi porte la recherche :</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_Toc229131265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28</w:t>
        </w:r>
        <w:r w:rsidRPr="00711919">
          <w:rPr>
            <w:rFonts w:asciiTheme="minorHAnsi" w:hAnsiTheme="minorHAnsi"/>
            <w:noProof/>
            <w:webHidden/>
            <w:color w:val="001042"/>
          </w:rPr>
          <w:fldChar w:fldCharType="end"/>
        </w:r>
      </w:hyperlink>
    </w:p>
    <w:p w14:paraId="72698C74" w14:textId="2B3CA4B5"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266" w:history="1">
        <w:r w:rsidRPr="00711919">
          <w:rPr>
            <w:rStyle w:val="Lienhypertexte"/>
            <w:rFonts w:asciiTheme="minorHAnsi" w:hAnsiTheme="minorHAnsi"/>
            <w:noProof/>
            <w:color w:val="001042"/>
          </w:rPr>
          <w:t>A.</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expériences rapportées par les personnes plaignantes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_Toc229131266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28</w:t>
        </w:r>
        <w:r w:rsidRPr="00711919">
          <w:rPr>
            <w:rFonts w:asciiTheme="minorHAnsi" w:hAnsiTheme="minorHAnsi"/>
            <w:noProof/>
            <w:webHidden/>
            <w:color w:val="001042"/>
          </w:rPr>
          <w:fldChar w:fldCharType="end"/>
        </w:r>
      </w:hyperlink>
    </w:p>
    <w:p w14:paraId="563E33ED" w14:textId="44B4E1AC"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267" w:history="1">
        <w:r w:rsidRPr="00711919">
          <w:rPr>
            <w:rStyle w:val="Lienhypertexte"/>
            <w:rFonts w:asciiTheme="minorHAnsi" w:hAnsiTheme="minorHAnsi"/>
            <w:noProof/>
            <w:color w:val="001042"/>
          </w:rPr>
          <w:t>B.</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situations décrites par les personnes plaignantes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_Toc229131267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29</w:t>
        </w:r>
        <w:r w:rsidRPr="00711919">
          <w:rPr>
            <w:rFonts w:asciiTheme="minorHAnsi" w:hAnsiTheme="minorHAnsi"/>
            <w:noProof/>
            <w:webHidden/>
            <w:color w:val="001042"/>
          </w:rPr>
          <w:fldChar w:fldCharType="end"/>
        </w:r>
      </w:hyperlink>
    </w:p>
    <w:p w14:paraId="2B5AF99E" w14:textId="62FE4B79"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268" w:history="1">
        <w:r w:rsidRPr="00711919">
          <w:rPr>
            <w:rStyle w:val="Lienhypertexte"/>
            <w:rFonts w:asciiTheme="minorHAnsi" w:hAnsiTheme="minorHAnsi"/>
            <w:noProof/>
            <w:color w:val="001042"/>
          </w:rPr>
          <w:t>C.</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Dans des milieux de travail relevant de la compétence du Québec et non syndiqués (depuis 2004)</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_Toc229131268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29</w:t>
        </w:r>
        <w:r w:rsidRPr="00711919">
          <w:rPr>
            <w:rFonts w:asciiTheme="minorHAnsi" w:hAnsiTheme="minorHAnsi"/>
            <w:noProof/>
            <w:webHidden/>
            <w:color w:val="001042"/>
          </w:rPr>
          <w:fldChar w:fldCharType="end"/>
        </w:r>
      </w:hyperlink>
    </w:p>
    <w:p w14:paraId="5C26F92A" w14:textId="766FA549"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69" w:history="1">
        <w:r w:rsidRPr="00711919">
          <w:rPr>
            <w:rStyle w:val="Lienhypertexte"/>
            <w:rFonts w:asciiTheme="minorHAnsi" w:hAnsiTheme="minorHAnsi"/>
            <w:noProof/>
            <w:color w:val="001042"/>
          </w:rPr>
          <w:t>4.3.2</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Sur qui porte la recherche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_Toc229131269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31</w:t>
        </w:r>
        <w:r w:rsidRPr="00711919">
          <w:rPr>
            <w:rFonts w:asciiTheme="minorHAnsi" w:hAnsiTheme="minorHAnsi"/>
            <w:noProof/>
            <w:webHidden/>
            <w:color w:val="001042"/>
          </w:rPr>
          <w:fldChar w:fldCharType="end"/>
        </w:r>
      </w:hyperlink>
    </w:p>
    <w:p w14:paraId="5E31A722" w14:textId="3A8E0750"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270" w:history="1">
        <w:r w:rsidRPr="00711919">
          <w:rPr>
            <w:rStyle w:val="Lienhypertexte"/>
            <w:rFonts w:asciiTheme="minorHAnsi" w:hAnsiTheme="minorHAnsi"/>
            <w:noProof/>
            <w:color w:val="001042"/>
          </w:rPr>
          <w:t>A.</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La recherche porte sur les personnes alléguant être victimes de discrimination en emploi fondée sur l’orientation sexuelle ou l’identité ou l’expression de genre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_Toc229131270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31</w:t>
        </w:r>
        <w:r w:rsidRPr="00711919">
          <w:rPr>
            <w:rFonts w:asciiTheme="minorHAnsi" w:hAnsiTheme="minorHAnsi"/>
            <w:noProof/>
            <w:webHidden/>
            <w:color w:val="001042"/>
          </w:rPr>
          <w:fldChar w:fldCharType="end"/>
        </w:r>
      </w:hyperlink>
    </w:p>
    <w:p w14:paraId="31E5AC41" w14:textId="2E55D6EB"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271" w:history="1">
        <w:r w:rsidRPr="00711919">
          <w:rPr>
            <w:rStyle w:val="Lienhypertexte"/>
            <w:rFonts w:asciiTheme="minorHAnsi" w:hAnsiTheme="minorHAnsi"/>
            <w:noProof/>
            <w:color w:val="001042"/>
          </w:rPr>
          <w:t>B.</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La recherche ne porte pas sur toutes les plaintes pour discrimination en emploi formulées par des personnes LGBTQ+</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_Toc229131271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31</w:t>
        </w:r>
        <w:r w:rsidRPr="00711919">
          <w:rPr>
            <w:rFonts w:asciiTheme="minorHAnsi" w:hAnsiTheme="minorHAnsi"/>
            <w:noProof/>
            <w:webHidden/>
            <w:color w:val="001042"/>
          </w:rPr>
          <w:fldChar w:fldCharType="end"/>
        </w:r>
      </w:hyperlink>
    </w:p>
    <w:p w14:paraId="530DF87A" w14:textId="6E6BDA7E"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72" w:history="1">
        <w:r w:rsidRPr="00711919">
          <w:rPr>
            <w:rStyle w:val="Lienhypertexte"/>
            <w:rFonts w:asciiTheme="minorHAnsi" w:hAnsiTheme="minorHAnsi"/>
            <w:noProof/>
            <w:color w:val="001042"/>
          </w:rPr>
          <w:t>4.3.3</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Ce que cette recherche n’est pas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_Toc229131272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32</w:t>
        </w:r>
        <w:r w:rsidRPr="00711919">
          <w:rPr>
            <w:rFonts w:asciiTheme="minorHAnsi" w:hAnsiTheme="minorHAnsi"/>
            <w:noProof/>
            <w:webHidden/>
            <w:color w:val="001042"/>
          </w:rPr>
          <w:fldChar w:fldCharType="end"/>
        </w:r>
      </w:hyperlink>
    </w:p>
    <w:p w14:paraId="5A02495E" w14:textId="3177560E"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273" w:history="1">
        <w:r w:rsidRPr="00711919">
          <w:rPr>
            <w:rStyle w:val="Lienhypertexte"/>
            <w:rFonts w:asciiTheme="minorHAnsi" w:hAnsiTheme="minorHAnsi"/>
            <w:noProof/>
            <w:color w:val="001042"/>
          </w:rPr>
          <w:t>A.</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Ce n’est pas une évaluation de la recevabilité des plaintes ou de la suffisance de la preuve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_Toc229131273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32</w:t>
        </w:r>
        <w:r w:rsidRPr="00711919">
          <w:rPr>
            <w:rFonts w:asciiTheme="minorHAnsi" w:hAnsiTheme="minorHAnsi"/>
            <w:noProof/>
            <w:webHidden/>
            <w:color w:val="001042"/>
          </w:rPr>
          <w:fldChar w:fldCharType="end"/>
        </w:r>
      </w:hyperlink>
    </w:p>
    <w:p w14:paraId="24C58E51" w14:textId="4FCE7499"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274" w:history="1">
        <w:r w:rsidRPr="00711919">
          <w:rPr>
            <w:rStyle w:val="Lienhypertexte"/>
            <w:rFonts w:asciiTheme="minorHAnsi" w:hAnsiTheme="minorHAnsi"/>
            <w:noProof/>
            <w:color w:val="001042"/>
          </w:rPr>
          <w:t>B.</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Ce n’est pas une évaluation du traitement des plaintes réalisé par la Commission</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_Toc229131274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32</w:t>
        </w:r>
        <w:r w:rsidRPr="00711919">
          <w:rPr>
            <w:rFonts w:asciiTheme="minorHAnsi" w:hAnsiTheme="minorHAnsi"/>
            <w:noProof/>
            <w:webHidden/>
            <w:color w:val="001042"/>
          </w:rPr>
          <w:fldChar w:fldCharType="end"/>
        </w:r>
      </w:hyperlink>
    </w:p>
    <w:p w14:paraId="49F173DF" w14:textId="2FFA8828" w:rsidR="00B06AAE" w:rsidRPr="00711919" w:rsidRDefault="00B06AAE">
      <w:pPr>
        <w:pStyle w:val="TM4"/>
        <w:rPr>
          <w:rStyle w:val="Lienhypertexte"/>
          <w:rFonts w:asciiTheme="minorHAnsi" w:hAnsiTheme="minorHAnsi"/>
          <w:noProof/>
          <w:color w:val="001042"/>
        </w:rPr>
      </w:pPr>
      <w:hyperlink w:anchor="_Toc229131275" w:history="1">
        <w:r w:rsidRPr="00711919">
          <w:rPr>
            <w:rStyle w:val="Lienhypertexte"/>
            <w:rFonts w:asciiTheme="minorHAnsi" w:hAnsiTheme="minorHAnsi"/>
            <w:noProof/>
            <w:color w:val="001042"/>
          </w:rPr>
          <w:t>C.</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Ce n’est pas une recherche sur la prévalence ou la fréquence de l’homophobie et de la transphobie en emploi au Québec</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_Toc229131275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33</w:t>
        </w:r>
        <w:r w:rsidRPr="00711919">
          <w:rPr>
            <w:rFonts w:asciiTheme="minorHAnsi" w:hAnsiTheme="minorHAnsi"/>
            <w:noProof/>
            <w:webHidden/>
            <w:color w:val="001042"/>
          </w:rPr>
          <w:fldChar w:fldCharType="end"/>
        </w:r>
      </w:hyperlink>
    </w:p>
    <w:p w14:paraId="39E50A39" w14:textId="77777777" w:rsidR="00711919" w:rsidRPr="00711919" w:rsidRDefault="00711919" w:rsidP="00711919">
      <w:pPr>
        <w:rPr>
          <w:rFonts w:asciiTheme="minorHAnsi" w:hAnsiTheme="minorHAnsi"/>
          <w:noProof/>
          <w:color w:val="001042"/>
          <w:lang w:eastAsia="fr-CA"/>
        </w:rPr>
      </w:pPr>
    </w:p>
    <w:p w14:paraId="1FCB337E" w14:textId="77777777" w:rsidR="00711919" w:rsidRPr="00711919" w:rsidRDefault="00711919" w:rsidP="00711919">
      <w:pPr>
        <w:rPr>
          <w:rFonts w:asciiTheme="minorHAnsi" w:hAnsiTheme="minorHAnsi"/>
          <w:noProof/>
          <w:color w:val="001042"/>
          <w:lang w:eastAsia="fr-CA"/>
        </w:rPr>
      </w:pPr>
    </w:p>
    <w:p w14:paraId="4EF6FF90" w14:textId="532B4CF5" w:rsidR="00B06AAE" w:rsidRDefault="00B06AAE">
      <w:pPr>
        <w:pStyle w:val="TM1"/>
      </w:pPr>
      <w:hyperlink w:anchor="_Toc229131276" w:history="1">
        <w:r w:rsidRPr="00711919">
          <w:rPr>
            <w:rStyle w:val="Lienhypertexte"/>
            <w:rFonts w:asciiTheme="minorHAnsi" w:hAnsiTheme="minorHAnsi"/>
            <w:color w:val="001042"/>
          </w:rPr>
          <w:t>5</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Qu’est-ce qu’une plainte pour discrimination en emploi</w:t>
        </w:r>
        <w:r w:rsidRPr="00711919">
          <w:rPr>
            <w:rStyle w:val="Lienhypertexte"/>
            <w:rFonts w:ascii="Arial" w:hAnsi="Arial" w:cs="Arial"/>
            <w:color w:val="001042"/>
          </w:rPr>
          <w:t> </w:t>
        </w:r>
        <w:r w:rsidRPr="00711919">
          <w:rPr>
            <w:rStyle w:val="Lienhypertexte"/>
            <w:rFonts w:asciiTheme="minorHAnsi" w:hAnsiTheme="minorHAnsi"/>
            <w:color w:val="001042"/>
          </w:rPr>
          <w:t>?</w:t>
        </w:r>
        <w:r w:rsidRPr="00B61258">
          <w:rPr>
            <w:rFonts w:asciiTheme="minorHAnsi" w:hAnsiTheme="minorHAnsi"/>
            <w:b w:val="0"/>
            <w:bCs w:val="0"/>
            <w:webHidden/>
            <w:color w:val="001042"/>
          </w:rPr>
          <w:tab/>
        </w:r>
        <w:r w:rsidRPr="00B61258">
          <w:rPr>
            <w:rFonts w:asciiTheme="minorHAnsi" w:hAnsiTheme="minorHAnsi"/>
            <w:b w:val="0"/>
            <w:bCs w:val="0"/>
            <w:webHidden/>
            <w:color w:val="001042"/>
          </w:rPr>
          <w:fldChar w:fldCharType="begin"/>
        </w:r>
        <w:r w:rsidRPr="00B61258">
          <w:rPr>
            <w:rFonts w:asciiTheme="minorHAnsi" w:hAnsiTheme="minorHAnsi"/>
            <w:b w:val="0"/>
            <w:bCs w:val="0"/>
            <w:webHidden/>
            <w:color w:val="001042"/>
          </w:rPr>
          <w:instrText xml:space="preserve"> PAGEREF _Toc229131276 \h </w:instrText>
        </w:r>
        <w:r w:rsidRPr="00B61258">
          <w:rPr>
            <w:rFonts w:asciiTheme="minorHAnsi" w:hAnsiTheme="minorHAnsi"/>
            <w:b w:val="0"/>
            <w:bCs w:val="0"/>
            <w:webHidden/>
            <w:color w:val="001042"/>
          </w:rPr>
        </w:r>
        <w:r w:rsidRPr="00B61258">
          <w:rPr>
            <w:rFonts w:asciiTheme="minorHAnsi" w:hAnsiTheme="minorHAnsi"/>
            <w:b w:val="0"/>
            <w:bCs w:val="0"/>
            <w:webHidden/>
            <w:color w:val="001042"/>
          </w:rPr>
          <w:fldChar w:fldCharType="separate"/>
        </w:r>
        <w:r w:rsidR="00FC231E">
          <w:rPr>
            <w:rFonts w:asciiTheme="minorHAnsi" w:hAnsiTheme="minorHAnsi"/>
            <w:b w:val="0"/>
            <w:bCs w:val="0"/>
            <w:webHidden/>
            <w:color w:val="001042"/>
          </w:rPr>
          <w:t>33</w:t>
        </w:r>
        <w:r w:rsidRPr="00B61258">
          <w:rPr>
            <w:rFonts w:asciiTheme="minorHAnsi" w:hAnsiTheme="minorHAnsi"/>
            <w:b w:val="0"/>
            <w:bCs w:val="0"/>
            <w:webHidden/>
            <w:color w:val="001042"/>
          </w:rPr>
          <w:fldChar w:fldCharType="end"/>
        </w:r>
      </w:hyperlink>
    </w:p>
    <w:p w14:paraId="13755B63" w14:textId="77777777" w:rsidR="00B61258" w:rsidRPr="00B61258" w:rsidRDefault="00B61258" w:rsidP="00B61258">
      <w:pPr>
        <w:rPr>
          <w:noProof/>
          <w:lang w:eastAsia="fr-CA"/>
        </w:rPr>
      </w:pPr>
    </w:p>
    <w:p w14:paraId="74B71113" w14:textId="7DA1148E" w:rsidR="00B06AAE" w:rsidRPr="00711919" w:rsidRDefault="00B06AAE">
      <w:pPr>
        <w:pStyle w:val="TM2"/>
        <w:rPr>
          <w:rFonts w:eastAsiaTheme="minorEastAsia"/>
          <w:bCs w:val="0"/>
          <w:color w:val="001042"/>
          <w:kern w:val="2"/>
          <w:lang w:eastAsia="fr-CA"/>
          <w14:ligatures w14:val="standardContextual"/>
        </w:rPr>
      </w:pPr>
      <w:hyperlink w:anchor="_Toc229131277" w:history="1">
        <w:r w:rsidRPr="00711919">
          <w:rPr>
            <w:rStyle w:val="Lienhypertexte"/>
            <w:color w:val="001042"/>
          </w:rPr>
          <w:t>5.1</w:t>
        </w:r>
        <w:r w:rsidRPr="00711919">
          <w:rPr>
            <w:rFonts w:eastAsiaTheme="minorEastAsia"/>
            <w:bCs w:val="0"/>
            <w:color w:val="001042"/>
            <w:kern w:val="2"/>
            <w:lang w:eastAsia="fr-CA"/>
            <w14:ligatures w14:val="standardContextual"/>
          </w:rPr>
          <w:tab/>
        </w:r>
        <w:r w:rsidRPr="00711919">
          <w:rPr>
            <w:rStyle w:val="Lienhypertexte"/>
            <w:color w:val="001042"/>
          </w:rPr>
          <w:t>La discrimination</w:t>
        </w:r>
        <w:r w:rsidRPr="00711919">
          <w:rPr>
            <w:webHidden/>
            <w:color w:val="001042"/>
          </w:rPr>
          <w:tab/>
        </w:r>
        <w:r w:rsidRPr="00711919">
          <w:rPr>
            <w:webHidden/>
            <w:color w:val="001042"/>
          </w:rPr>
          <w:fldChar w:fldCharType="begin"/>
        </w:r>
        <w:r w:rsidRPr="00711919">
          <w:rPr>
            <w:webHidden/>
            <w:color w:val="001042"/>
          </w:rPr>
          <w:instrText xml:space="preserve"> PAGEREF _Toc229131277 \h </w:instrText>
        </w:r>
        <w:r w:rsidRPr="00711919">
          <w:rPr>
            <w:webHidden/>
            <w:color w:val="001042"/>
          </w:rPr>
        </w:r>
        <w:r w:rsidRPr="00711919">
          <w:rPr>
            <w:webHidden/>
            <w:color w:val="001042"/>
          </w:rPr>
          <w:fldChar w:fldCharType="separate"/>
        </w:r>
        <w:r w:rsidR="00FC231E">
          <w:rPr>
            <w:webHidden/>
            <w:color w:val="001042"/>
          </w:rPr>
          <w:t>33</w:t>
        </w:r>
        <w:r w:rsidRPr="00711919">
          <w:rPr>
            <w:webHidden/>
            <w:color w:val="001042"/>
          </w:rPr>
          <w:fldChar w:fldCharType="end"/>
        </w:r>
      </w:hyperlink>
    </w:p>
    <w:p w14:paraId="2E16F6F8" w14:textId="5ACD55A2" w:rsidR="00B06AAE" w:rsidRPr="00711919" w:rsidRDefault="00B06AAE">
      <w:pPr>
        <w:pStyle w:val="TM2"/>
        <w:rPr>
          <w:rFonts w:eastAsiaTheme="minorEastAsia"/>
          <w:bCs w:val="0"/>
          <w:color w:val="001042"/>
          <w:kern w:val="2"/>
          <w:lang w:eastAsia="fr-CA"/>
          <w14:ligatures w14:val="standardContextual"/>
        </w:rPr>
      </w:pPr>
      <w:hyperlink w:anchor="_Toc229131278" w:history="1">
        <w:r w:rsidRPr="00711919">
          <w:rPr>
            <w:rStyle w:val="Lienhypertexte"/>
            <w:color w:val="001042"/>
          </w:rPr>
          <w:t>5.2</w:t>
        </w:r>
        <w:r w:rsidRPr="00711919">
          <w:rPr>
            <w:rFonts w:eastAsiaTheme="minorEastAsia"/>
            <w:bCs w:val="0"/>
            <w:color w:val="001042"/>
            <w:kern w:val="2"/>
            <w:lang w:eastAsia="fr-CA"/>
            <w14:ligatures w14:val="standardContextual"/>
          </w:rPr>
          <w:tab/>
        </w:r>
        <w:r w:rsidRPr="00711919">
          <w:rPr>
            <w:rStyle w:val="Lienhypertexte"/>
            <w:color w:val="001042"/>
          </w:rPr>
          <w:t>Le harcèlement discriminatoire</w:t>
        </w:r>
        <w:r w:rsidRPr="00711919">
          <w:rPr>
            <w:webHidden/>
            <w:color w:val="001042"/>
          </w:rPr>
          <w:tab/>
        </w:r>
        <w:r w:rsidRPr="00711919">
          <w:rPr>
            <w:webHidden/>
            <w:color w:val="001042"/>
          </w:rPr>
          <w:fldChar w:fldCharType="begin"/>
        </w:r>
        <w:r w:rsidRPr="00711919">
          <w:rPr>
            <w:webHidden/>
            <w:color w:val="001042"/>
          </w:rPr>
          <w:instrText xml:space="preserve"> PAGEREF _Toc229131278 \h </w:instrText>
        </w:r>
        <w:r w:rsidRPr="00711919">
          <w:rPr>
            <w:webHidden/>
            <w:color w:val="001042"/>
          </w:rPr>
        </w:r>
        <w:r w:rsidRPr="00711919">
          <w:rPr>
            <w:webHidden/>
            <w:color w:val="001042"/>
          </w:rPr>
          <w:fldChar w:fldCharType="separate"/>
        </w:r>
        <w:r w:rsidR="00FC231E">
          <w:rPr>
            <w:webHidden/>
            <w:color w:val="001042"/>
          </w:rPr>
          <w:t>36</w:t>
        </w:r>
        <w:r w:rsidRPr="00711919">
          <w:rPr>
            <w:webHidden/>
            <w:color w:val="001042"/>
          </w:rPr>
          <w:fldChar w:fldCharType="end"/>
        </w:r>
      </w:hyperlink>
    </w:p>
    <w:p w14:paraId="420D65AE" w14:textId="3967D76E" w:rsidR="00B06AAE" w:rsidRPr="00711919" w:rsidRDefault="00B06AAE">
      <w:pPr>
        <w:pStyle w:val="TM2"/>
        <w:rPr>
          <w:rFonts w:eastAsiaTheme="minorEastAsia"/>
          <w:bCs w:val="0"/>
          <w:color w:val="001042"/>
          <w:kern w:val="2"/>
          <w:lang w:eastAsia="fr-CA"/>
          <w14:ligatures w14:val="standardContextual"/>
        </w:rPr>
      </w:pPr>
      <w:hyperlink w:anchor="_Toc229131279" w:history="1">
        <w:r w:rsidRPr="00711919">
          <w:rPr>
            <w:rStyle w:val="Lienhypertexte"/>
            <w:color w:val="001042"/>
          </w:rPr>
          <w:t>5.3</w:t>
        </w:r>
        <w:r w:rsidRPr="00711919">
          <w:rPr>
            <w:rFonts w:eastAsiaTheme="minorEastAsia"/>
            <w:bCs w:val="0"/>
            <w:color w:val="001042"/>
            <w:kern w:val="2"/>
            <w:lang w:eastAsia="fr-CA"/>
            <w14:ligatures w14:val="standardContextual"/>
          </w:rPr>
          <w:tab/>
        </w:r>
        <w:r w:rsidRPr="00711919">
          <w:rPr>
            <w:rStyle w:val="Lienhypertexte"/>
            <w:color w:val="001042"/>
          </w:rPr>
          <w:t>La plainte à la Commission</w:t>
        </w:r>
        <w:r w:rsidRPr="00711919">
          <w:rPr>
            <w:webHidden/>
            <w:color w:val="001042"/>
          </w:rPr>
          <w:tab/>
        </w:r>
        <w:r w:rsidRPr="00711919">
          <w:rPr>
            <w:webHidden/>
            <w:color w:val="001042"/>
          </w:rPr>
          <w:fldChar w:fldCharType="begin"/>
        </w:r>
        <w:r w:rsidRPr="00711919">
          <w:rPr>
            <w:webHidden/>
            <w:color w:val="001042"/>
          </w:rPr>
          <w:instrText xml:space="preserve"> PAGEREF _Toc229131279 \h </w:instrText>
        </w:r>
        <w:r w:rsidRPr="00711919">
          <w:rPr>
            <w:webHidden/>
            <w:color w:val="001042"/>
          </w:rPr>
        </w:r>
        <w:r w:rsidRPr="00711919">
          <w:rPr>
            <w:webHidden/>
            <w:color w:val="001042"/>
          </w:rPr>
          <w:fldChar w:fldCharType="separate"/>
        </w:r>
        <w:r w:rsidR="00FC231E">
          <w:rPr>
            <w:webHidden/>
            <w:color w:val="001042"/>
          </w:rPr>
          <w:t>38</w:t>
        </w:r>
        <w:r w:rsidRPr="00711919">
          <w:rPr>
            <w:webHidden/>
            <w:color w:val="001042"/>
          </w:rPr>
          <w:fldChar w:fldCharType="end"/>
        </w:r>
      </w:hyperlink>
    </w:p>
    <w:p w14:paraId="17029908" w14:textId="37B1208C" w:rsidR="00B06AAE" w:rsidRDefault="00B06AAE">
      <w:pPr>
        <w:pStyle w:val="TM2"/>
      </w:pPr>
      <w:hyperlink w:anchor="_Toc229131280" w:history="1">
        <w:r w:rsidRPr="00711919">
          <w:rPr>
            <w:rStyle w:val="Lienhypertexte"/>
            <w:color w:val="001042"/>
          </w:rPr>
          <w:t>5.4</w:t>
        </w:r>
        <w:r w:rsidRPr="00711919">
          <w:rPr>
            <w:rFonts w:eastAsiaTheme="minorEastAsia"/>
            <w:bCs w:val="0"/>
            <w:color w:val="001042"/>
            <w:kern w:val="2"/>
            <w:lang w:eastAsia="fr-CA"/>
            <w14:ligatures w14:val="standardContextual"/>
          </w:rPr>
          <w:tab/>
        </w:r>
        <w:r w:rsidRPr="00711919">
          <w:rPr>
            <w:rStyle w:val="Lienhypertexte"/>
            <w:color w:val="001042"/>
          </w:rPr>
          <w:t>Les obligations de l’employeur</w:t>
        </w:r>
        <w:r w:rsidRPr="00711919">
          <w:rPr>
            <w:webHidden/>
            <w:color w:val="001042"/>
          </w:rPr>
          <w:tab/>
        </w:r>
        <w:r w:rsidRPr="00711919">
          <w:rPr>
            <w:webHidden/>
            <w:color w:val="001042"/>
          </w:rPr>
          <w:fldChar w:fldCharType="begin"/>
        </w:r>
        <w:r w:rsidRPr="00711919">
          <w:rPr>
            <w:webHidden/>
            <w:color w:val="001042"/>
          </w:rPr>
          <w:instrText xml:space="preserve"> PAGEREF _Toc229131280 \h </w:instrText>
        </w:r>
        <w:r w:rsidRPr="00711919">
          <w:rPr>
            <w:webHidden/>
            <w:color w:val="001042"/>
          </w:rPr>
        </w:r>
        <w:r w:rsidRPr="00711919">
          <w:rPr>
            <w:webHidden/>
            <w:color w:val="001042"/>
          </w:rPr>
          <w:fldChar w:fldCharType="separate"/>
        </w:r>
        <w:r w:rsidR="00FC231E">
          <w:rPr>
            <w:webHidden/>
            <w:color w:val="001042"/>
          </w:rPr>
          <w:t>40</w:t>
        </w:r>
        <w:r w:rsidRPr="00711919">
          <w:rPr>
            <w:webHidden/>
            <w:color w:val="001042"/>
          </w:rPr>
          <w:fldChar w:fldCharType="end"/>
        </w:r>
      </w:hyperlink>
    </w:p>
    <w:p w14:paraId="734C5648" w14:textId="77777777" w:rsidR="0026497C" w:rsidRDefault="0026497C" w:rsidP="0026497C">
      <w:pPr>
        <w:rPr>
          <w:noProof/>
          <w:lang w:eastAsia="fr-CA"/>
        </w:rPr>
      </w:pPr>
    </w:p>
    <w:p w14:paraId="037F6D55" w14:textId="77777777" w:rsidR="0026497C" w:rsidRPr="0026497C" w:rsidRDefault="0026497C" w:rsidP="0026497C">
      <w:pPr>
        <w:rPr>
          <w:noProof/>
          <w:lang w:eastAsia="fr-CA"/>
        </w:rPr>
      </w:pPr>
    </w:p>
    <w:p w14:paraId="59B5930F" w14:textId="6390C6C3" w:rsidR="00B06AAE" w:rsidRPr="00711919" w:rsidRDefault="00B06AAE">
      <w:pPr>
        <w:pStyle w:val="TM1"/>
        <w:rPr>
          <w:rStyle w:val="Lienhypertexte"/>
          <w:rFonts w:asciiTheme="minorHAnsi" w:hAnsiTheme="minorHAnsi"/>
          <w:color w:val="001042"/>
        </w:rPr>
      </w:pPr>
      <w:hyperlink w:anchor="_Toc229131281" w:history="1">
        <w:r w:rsidRPr="00711919">
          <w:rPr>
            <w:rStyle w:val="Lienhypertexte"/>
            <w:rFonts w:asciiTheme="minorHAnsi" w:hAnsiTheme="minorHAnsi"/>
            <w:color w:val="001042"/>
          </w:rPr>
          <w:t>6</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Nombre de plaintes et considérations méthodologiques</w:t>
        </w:r>
        <w:r w:rsidRPr="0080713B">
          <w:rPr>
            <w:rFonts w:asciiTheme="minorHAnsi" w:hAnsiTheme="minorHAnsi"/>
            <w:b w:val="0"/>
            <w:bCs w:val="0"/>
            <w:webHidden/>
            <w:color w:val="001042"/>
          </w:rPr>
          <w:tab/>
        </w:r>
        <w:r w:rsidRPr="0080713B">
          <w:rPr>
            <w:rFonts w:asciiTheme="minorHAnsi" w:hAnsiTheme="minorHAnsi"/>
            <w:b w:val="0"/>
            <w:bCs w:val="0"/>
            <w:webHidden/>
            <w:color w:val="001042"/>
          </w:rPr>
          <w:fldChar w:fldCharType="begin"/>
        </w:r>
        <w:r w:rsidRPr="0080713B">
          <w:rPr>
            <w:rFonts w:asciiTheme="minorHAnsi" w:hAnsiTheme="minorHAnsi"/>
            <w:b w:val="0"/>
            <w:bCs w:val="0"/>
            <w:webHidden/>
            <w:color w:val="001042"/>
          </w:rPr>
          <w:instrText xml:space="preserve"> PAGEREF _Toc229131281 \h </w:instrText>
        </w:r>
        <w:r w:rsidRPr="0080713B">
          <w:rPr>
            <w:rFonts w:asciiTheme="minorHAnsi" w:hAnsiTheme="minorHAnsi"/>
            <w:b w:val="0"/>
            <w:bCs w:val="0"/>
            <w:webHidden/>
            <w:color w:val="001042"/>
          </w:rPr>
        </w:r>
        <w:r w:rsidRPr="0080713B">
          <w:rPr>
            <w:rFonts w:asciiTheme="minorHAnsi" w:hAnsiTheme="minorHAnsi"/>
            <w:b w:val="0"/>
            <w:bCs w:val="0"/>
            <w:webHidden/>
            <w:color w:val="001042"/>
          </w:rPr>
          <w:fldChar w:fldCharType="separate"/>
        </w:r>
        <w:r w:rsidR="00FC231E">
          <w:rPr>
            <w:rFonts w:asciiTheme="minorHAnsi" w:hAnsiTheme="minorHAnsi"/>
            <w:b w:val="0"/>
            <w:bCs w:val="0"/>
            <w:webHidden/>
            <w:color w:val="001042"/>
          </w:rPr>
          <w:t>41</w:t>
        </w:r>
        <w:r w:rsidRPr="0080713B">
          <w:rPr>
            <w:rFonts w:asciiTheme="minorHAnsi" w:hAnsiTheme="minorHAnsi"/>
            <w:b w:val="0"/>
            <w:bCs w:val="0"/>
            <w:webHidden/>
            <w:color w:val="001042"/>
          </w:rPr>
          <w:fldChar w:fldCharType="end"/>
        </w:r>
      </w:hyperlink>
    </w:p>
    <w:p w14:paraId="658E63AB" w14:textId="77777777" w:rsidR="00711919" w:rsidRPr="00711919" w:rsidRDefault="00711919" w:rsidP="00711919">
      <w:pPr>
        <w:rPr>
          <w:rFonts w:asciiTheme="minorHAnsi" w:hAnsiTheme="minorHAnsi"/>
          <w:noProof/>
          <w:color w:val="001042"/>
          <w:lang w:eastAsia="fr-CA"/>
        </w:rPr>
      </w:pPr>
    </w:p>
    <w:p w14:paraId="25D78769" w14:textId="55E8AA35" w:rsidR="00B06AAE" w:rsidRPr="00711919" w:rsidRDefault="00B06AAE">
      <w:pPr>
        <w:pStyle w:val="TM2"/>
        <w:rPr>
          <w:rFonts w:eastAsiaTheme="minorEastAsia"/>
          <w:bCs w:val="0"/>
          <w:color w:val="001042"/>
          <w:kern w:val="2"/>
          <w:lang w:eastAsia="fr-CA"/>
          <w14:ligatures w14:val="standardContextual"/>
        </w:rPr>
      </w:pPr>
      <w:hyperlink w:anchor="_Toc229131282" w:history="1">
        <w:r w:rsidRPr="00711919">
          <w:rPr>
            <w:rStyle w:val="Lienhypertexte"/>
            <w:color w:val="001042"/>
          </w:rPr>
          <w:t>6.1</w:t>
        </w:r>
        <w:r w:rsidRPr="00711919">
          <w:rPr>
            <w:rFonts w:eastAsiaTheme="minorEastAsia"/>
            <w:bCs w:val="0"/>
            <w:color w:val="001042"/>
            <w:kern w:val="2"/>
            <w:lang w:eastAsia="fr-CA"/>
            <w14:ligatures w14:val="standardContextual"/>
          </w:rPr>
          <w:tab/>
        </w:r>
        <w:r w:rsidRPr="00711919">
          <w:rPr>
            <w:rStyle w:val="Lienhypertexte"/>
            <w:color w:val="001042"/>
          </w:rPr>
          <w:t>Portrait quantitatif des plaintes reçues par la Commission</w:t>
        </w:r>
        <w:r w:rsidRPr="00711919">
          <w:rPr>
            <w:webHidden/>
            <w:color w:val="001042"/>
          </w:rPr>
          <w:tab/>
        </w:r>
        <w:r w:rsidRPr="00711919">
          <w:rPr>
            <w:webHidden/>
            <w:color w:val="001042"/>
          </w:rPr>
          <w:fldChar w:fldCharType="begin"/>
        </w:r>
        <w:r w:rsidRPr="00711919">
          <w:rPr>
            <w:webHidden/>
            <w:color w:val="001042"/>
          </w:rPr>
          <w:instrText xml:space="preserve"> PAGEREF _Toc229131282 \h </w:instrText>
        </w:r>
        <w:r w:rsidRPr="00711919">
          <w:rPr>
            <w:webHidden/>
            <w:color w:val="001042"/>
          </w:rPr>
        </w:r>
        <w:r w:rsidRPr="00711919">
          <w:rPr>
            <w:webHidden/>
            <w:color w:val="001042"/>
          </w:rPr>
          <w:fldChar w:fldCharType="separate"/>
        </w:r>
        <w:r w:rsidR="00FC231E">
          <w:rPr>
            <w:webHidden/>
            <w:color w:val="001042"/>
          </w:rPr>
          <w:t>41</w:t>
        </w:r>
        <w:r w:rsidRPr="00711919">
          <w:rPr>
            <w:webHidden/>
            <w:color w:val="001042"/>
          </w:rPr>
          <w:fldChar w:fldCharType="end"/>
        </w:r>
      </w:hyperlink>
    </w:p>
    <w:p w14:paraId="58727C44" w14:textId="7E252B39"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83" w:history="1">
        <w:r w:rsidRPr="00711919">
          <w:rPr>
            <w:rStyle w:val="Lienhypertexte"/>
            <w:rFonts w:asciiTheme="minorHAnsi" w:hAnsiTheme="minorHAnsi"/>
            <w:noProof/>
            <w:color w:val="001042"/>
          </w:rPr>
          <w:t>6.1.1</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limites des données du logiciel de traitement des plaintes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_Toc229131283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41</w:t>
        </w:r>
        <w:r w:rsidRPr="00711919">
          <w:rPr>
            <w:rFonts w:asciiTheme="minorHAnsi" w:hAnsiTheme="minorHAnsi"/>
            <w:noProof/>
            <w:webHidden/>
            <w:color w:val="001042"/>
          </w:rPr>
          <w:fldChar w:fldCharType="end"/>
        </w:r>
      </w:hyperlink>
    </w:p>
    <w:p w14:paraId="3B163497" w14:textId="72FA00E6"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84" w:history="1">
        <w:r w:rsidRPr="00711919">
          <w:rPr>
            <w:rStyle w:val="Lienhypertexte"/>
            <w:rFonts w:asciiTheme="minorHAnsi" w:hAnsiTheme="minorHAnsi"/>
            <w:noProof/>
            <w:color w:val="001042"/>
          </w:rPr>
          <w:t>6.1.2</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 nombre de plaintes reçues concernant le travail (1994 –</w:t>
        </w:r>
        <w:r w:rsidRPr="00711919">
          <w:rPr>
            <w:rStyle w:val="Lienhypertexte"/>
            <w:rFonts w:ascii="Arial" w:hAnsi="Arial" w:cs="Arial"/>
            <w:noProof/>
            <w:color w:val="001042"/>
          </w:rPr>
          <w:t> </w:t>
        </w:r>
        <w:r w:rsidRPr="00711919">
          <w:rPr>
            <w:rStyle w:val="Lienhypertexte"/>
            <w:rFonts w:asciiTheme="minorHAnsi" w:hAnsiTheme="minorHAnsi"/>
            <w:noProof/>
            <w:color w:val="001042"/>
          </w:rPr>
          <w:t>2024)</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_Toc229131284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42</w:t>
        </w:r>
        <w:r w:rsidRPr="00711919">
          <w:rPr>
            <w:rFonts w:asciiTheme="minorHAnsi" w:hAnsiTheme="minorHAnsi"/>
            <w:noProof/>
            <w:webHidden/>
            <w:color w:val="001042"/>
          </w:rPr>
          <w:fldChar w:fldCharType="end"/>
        </w:r>
      </w:hyperlink>
    </w:p>
    <w:p w14:paraId="5DEC504F" w14:textId="6F6ED8B8" w:rsidR="00B06AAE" w:rsidRPr="00711919" w:rsidRDefault="00B06AAE">
      <w:pPr>
        <w:pStyle w:val="TM2"/>
        <w:rPr>
          <w:rFonts w:eastAsiaTheme="minorEastAsia"/>
          <w:bCs w:val="0"/>
          <w:color w:val="001042"/>
          <w:kern w:val="2"/>
          <w:lang w:eastAsia="fr-CA"/>
          <w14:ligatures w14:val="standardContextual"/>
        </w:rPr>
      </w:pPr>
      <w:hyperlink w:anchor="_Toc229131285" w:history="1">
        <w:r w:rsidRPr="00711919">
          <w:rPr>
            <w:rStyle w:val="Lienhypertexte"/>
            <w:color w:val="001042"/>
          </w:rPr>
          <w:t>6.2</w:t>
        </w:r>
        <w:r w:rsidRPr="00711919">
          <w:rPr>
            <w:rFonts w:eastAsiaTheme="minorEastAsia"/>
            <w:bCs w:val="0"/>
            <w:color w:val="001042"/>
            <w:kern w:val="2"/>
            <w:lang w:eastAsia="fr-CA"/>
            <w14:ligatures w14:val="standardContextual"/>
          </w:rPr>
          <w:tab/>
        </w:r>
        <w:r w:rsidRPr="00711919">
          <w:rPr>
            <w:rStyle w:val="Lienhypertexte"/>
            <w:color w:val="001042"/>
          </w:rPr>
          <w:t>Portrait qualitatif des plaintes reçues par la Commission</w:t>
        </w:r>
        <w:r w:rsidRPr="00711919">
          <w:rPr>
            <w:webHidden/>
            <w:color w:val="001042"/>
          </w:rPr>
          <w:tab/>
        </w:r>
        <w:r w:rsidRPr="00711919">
          <w:rPr>
            <w:webHidden/>
            <w:color w:val="001042"/>
          </w:rPr>
          <w:fldChar w:fldCharType="begin"/>
        </w:r>
        <w:r w:rsidRPr="00711919">
          <w:rPr>
            <w:webHidden/>
            <w:color w:val="001042"/>
          </w:rPr>
          <w:instrText xml:space="preserve"> PAGEREF _Toc229131285 \h </w:instrText>
        </w:r>
        <w:r w:rsidRPr="00711919">
          <w:rPr>
            <w:webHidden/>
            <w:color w:val="001042"/>
          </w:rPr>
        </w:r>
        <w:r w:rsidRPr="00711919">
          <w:rPr>
            <w:webHidden/>
            <w:color w:val="001042"/>
          </w:rPr>
          <w:fldChar w:fldCharType="separate"/>
        </w:r>
        <w:r w:rsidR="00FC231E">
          <w:rPr>
            <w:webHidden/>
            <w:color w:val="001042"/>
          </w:rPr>
          <w:t>43</w:t>
        </w:r>
        <w:r w:rsidRPr="00711919">
          <w:rPr>
            <w:webHidden/>
            <w:color w:val="001042"/>
          </w:rPr>
          <w:fldChar w:fldCharType="end"/>
        </w:r>
      </w:hyperlink>
    </w:p>
    <w:p w14:paraId="4DD1BD2A" w14:textId="4C912CA7"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86" w:history="1">
        <w:r w:rsidRPr="00711919">
          <w:rPr>
            <w:rStyle w:val="Lienhypertexte"/>
            <w:rFonts w:asciiTheme="minorHAnsi" w:hAnsiTheme="minorHAnsi"/>
            <w:noProof/>
            <w:color w:val="001042"/>
          </w:rPr>
          <w:t>6.2.1</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Un corpus important mais non représentatif</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_Toc229131286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43</w:t>
        </w:r>
        <w:r w:rsidRPr="00711919">
          <w:rPr>
            <w:rFonts w:asciiTheme="minorHAnsi" w:hAnsiTheme="minorHAnsi"/>
            <w:noProof/>
            <w:webHidden/>
            <w:color w:val="001042"/>
          </w:rPr>
          <w:fldChar w:fldCharType="end"/>
        </w:r>
      </w:hyperlink>
    </w:p>
    <w:p w14:paraId="0252E5A1" w14:textId="520E0E4E"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87" w:history="1">
        <w:r w:rsidRPr="00711919">
          <w:rPr>
            <w:rStyle w:val="Lienhypertexte"/>
            <w:rFonts w:asciiTheme="minorHAnsi" w:hAnsiTheme="minorHAnsi"/>
            <w:noProof/>
            <w:color w:val="001042"/>
          </w:rPr>
          <w:t>6.2.2</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La codification des plaintes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_Toc229131287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45</w:t>
        </w:r>
        <w:r w:rsidRPr="00711919">
          <w:rPr>
            <w:rFonts w:asciiTheme="minorHAnsi" w:hAnsiTheme="minorHAnsi"/>
            <w:noProof/>
            <w:webHidden/>
            <w:color w:val="001042"/>
          </w:rPr>
          <w:fldChar w:fldCharType="end"/>
        </w:r>
      </w:hyperlink>
    </w:p>
    <w:p w14:paraId="413FFE25" w14:textId="0C1C9C9A" w:rsidR="00B06AAE" w:rsidRPr="00711919" w:rsidRDefault="00B06AAE">
      <w:pPr>
        <w:pStyle w:val="TM3"/>
        <w:rPr>
          <w:rStyle w:val="Lienhypertexte"/>
          <w:rFonts w:asciiTheme="minorHAnsi" w:hAnsiTheme="minorHAnsi"/>
          <w:noProof/>
          <w:color w:val="001042"/>
        </w:rPr>
      </w:pPr>
      <w:hyperlink w:anchor="_Toc229131288" w:history="1">
        <w:r w:rsidRPr="00711919">
          <w:rPr>
            <w:rStyle w:val="Lienhypertexte"/>
            <w:rFonts w:asciiTheme="minorHAnsi" w:hAnsiTheme="minorHAnsi"/>
            <w:noProof/>
            <w:color w:val="001042"/>
          </w:rPr>
          <w:t>6.2.3</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La confidentialité des données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_Toc229131288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46</w:t>
        </w:r>
        <w:r w:rsidRPr="00711919">
          <w:rPr>
            <w:rFonts w:asciiTheme="minorHAnsi" w:hAnsiTheme="minorHAnsi"/>
            <w:noProof/>
            <w:webHidden/>
            <w:color w:val="001042"/>
          </w:rPr>
          <w:fldChar w:fldCharType="end"/>
        </w:r>
      </w:hyperlink>
    </w:p>
    <w:p w14:paraId="0BCF94FD" w14:textId="77777777" w:rsidR="00711919" w:rsidRPr="00711919" w:rsidRDefault="00711919" w:rsidP="00711919">
      <w:pPr>
        <w:rPr>
          <w:rFonts w:asciiTheme="minorHAnsi" w:hAnsiTheme="minorHAnsi"/>
          <w:noProof/>
          <w:color w:val="001042"/>
          <w:lang w:eastAsia="fr-CA"/>
        </w:rPr>
      </w:pPr>
    </w:p>
    <w:p w14:paraId="7056F84B" w14:textId="77777777" w:rsidR="00711919" w:rsidRPr="00711919" w:rsidRDefault="00711919" w:rsidP="00711919">
      <w:pPr>
        <w:rPr>
          <w:rFonts w:asciiTheme="minorHAnsi" w:hAnsiTheme="minorHAnsi"/>
          <w:noProof/>
          <w:color w:val="001042"/>
          <w:lang w:eastAsia="fr-CA"/>
        </w:rPr>
      </w:pPr>
    </w:p>
    <w:p w14:paraId="4F05B52C" w14:textId="51502741" w:rsidR="00B06AAE" w:rsidRPr="00711919" w:rsidRDefault="00B06AAE">
      <w:pPr>
        <w:pStyle w:val="TM1"/>
        <w:rPr>
          <w:rStyle w:val="Lienhypertexte"/>
          <w:rFonts w:asciiTheme="minorHAnsi" w:hAnsiTheme="minorHAnsi"/>
          <w:color w:val="001042"/>
        </w:rPr>
      </w:pPr>
      <w:hyperlink w:anchor="_Toc229131289" w:history="1">
        <w:r w:rsidRPr="00711919">
          <w:rPr>
            <w:rStyle w:val="Lienhypertexte"/>
            <w:rFonts w:asciiTheme="minorHAnsi" w:hAnsiTheme="minorHAnsi"/>
            <w:color w:val="001042"/>
          </w:rPr>
          <w:t>7</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L’évolution des plaintes depuis 30 ans</w:t>
        </w:r>
        <w:r w:rsidRPr="0080713B">
          <w:rPr>
            <w:rFonts w:asciiTheme="minorHAnsi" w:hAnsiTheme="minorHAnsi"/>
            <w:b w:val="0"/>
            <w:bCs w:val="0"/>
            <w:webHidden/>
            <w:color w:val="001042"/>
          </w:rPr>
          <w:tab/>
        </w:r>
        <w:r w:rsidRPr="0080713B">
          <w:rPr>
            <w:rFonts w:asciiTheme="minorHAnsi" w:hAnsiTheme="minorHAnsi"/>
            <w:b w:val="0"/>
            <w:bCs w:val="0"/>
            <w:webHidden/>
            <w:color w:val="001042"/>
          </w:rPr>
          <w:fldChar w:fldCharType="begin"/>
        </w:r>
        <w:r w:rsidRPr="0080713B">
          <w:rPr>
            <w:rFonts w:asciiTheme="minorHAnsi" w:hAnsiTheme="minorHAnsi"/>
            <w:b w:val="0"/>
            <w:bCs w:val="0"/>
            <w:webHidden/>
            <w:color w:val="001042"/>
          </w:rPr>
          <w:instrText xml:space="preserve"> PAGEREF _Toc229131289 \h </w:instrText>
        </w:r>
        <w:r w:rsidRPr="0080713B">
          <w:rPr>
            <w:rFonts w:asciiTheme="minorHAnsi" w:hAnsiTheme="minorHAnsi"/>
            <w:b w:val="0"/>
            <w:bCs w:val="0"/>
            <w:webHidden/>
            <w:color w:val="001042"/>
          </w:rPr>
        </w:r>
        <w:r w:rsidRPr="0080713B">
          <w:rPr>
            <w:rFonts w:asciiTheme="minorHAnsi" w:hAnsiTheme="minorHAnsi"/>
            <w:b w:val="0"/>
            <w:bCs w:val="0"/>
            <w:webHidden/>
            <w:color w:val="001042"/>
          </w:rPr>
          <w:fldChar w:fldCharType="separate"/>
        </w:r>
        <w:r w:rsidR="00FC231E">
          <w:rPr>
            <w:rFonts w:asciiTheme="minorHAnsi" w:hAnsiTheme="minorHAnsi"/>
            <w:b w:val="0"/>
            <w:bCs w:val="0"/>
            <w:webHidden/>
            <w:color w:val="001042"/>
          </w:rPr>
          <w:t>46</w:t>
        </w:r>
        <w:r w:rsidRPr="0080713B">
          <w:rPr>
            <w:rFonts w:asciiTheme="minorHAnsi" w:hAnsiTheme="minorHAnsi"/>
            <w:b w:val="0"/>
            <w:bCs w:val="0"/>
            <w:webHidden/>
            <w:color w:val="001042"/>
          </w:rPr>
          <w:fldChar w:fldCharType="end"/>
        </w:r>
      </w:hyperlink>
    </w:p>
    <w:p w14:paraId="7116CB5F" w14:textId="77777777" w:rsidR="00711919" w:rsidRPr="00711919" w:rsidRDefault="00711919" w:rsidP="00711919">
      <w:pPr>
        <w:rPr>
          <w:rFonts w:asciiTheme="minorHAnsi" w:hAnsiTheme="minorHAnsi"/>
          <w:noProof/>
          <w:color w:val="001042"/>
          <w:lang w:eastAsia="fr-CA"/>
        </w:rPr>
      </w:pPr>
    </w:p>
    <w:p w14:paraId="290440C3" w14:textId="5D371944" w:rsidR="00B06AAE" w:rsidRPr="00711919" w:rsidRDefault="00B06AAE">
      <w:pPr>
        <w:pStyle w:val="TM2"/>
        <w:rPr>
          <w:rFonts w:eastAsiaTheme="minorEastAsia"/>
          <w:bCs w:val="0"/>
          <w:color w:val="001042"/>
          <w:kern w:val="2"/>
          <w:lang w:eastAsia="fr-CA"/>
          <w14:ligatures w14:val="standardContextual"/>
        </w:rPr>
      </w:pPr>
      <w:hyperlink w:anchor="_Toc229131290" w:history="1">
        <w:r w:rsidRPr="00711919">
          <w:rPr>
            <w:rStyle w:val="Lienhypertexte"/>
            <w:color w:val="001042"/>
          </w:rPr>
          <w:t>7.1</w:t>
        </w:r>
        <w:r w:rsidRPr="00711919">
          <w:rPr>
            <w:rFonts w:eastAsiaTheme="minorEastAsia"/>
            <w:bCs w:val="0"/>
            <w:color w:val="001042"/>
            <w:kern w:val="2"/>
            <w:lang w:eastAsia="fr-CA"/>
            <w14:ligatures w14:val="standardContextual"/>
          </w:rPr>
          <w:tab/>
        </w:r>
        <w:r w:rsidRPr="00711919">
          <w:rPr>
            <w:rStyle w:val="Lienhypertexte"/>
            <w:color w:val="001042"/>
          </w:rPr>
          <w:t>Un nombre de plaintes qui fluctue en fonction de plusieurs facteurs</w:t>
        </w:r>
        <w:r w:rsidRPr="00711919">
          <w:rPr>
            <w:webHidden/>
            <w:color w:val="001042"/>
          </w:rPr>
          <w:tab/>
        </w:r>
        <w:r w:rsidRPr="00711919">
          <w:rPr>
            <w:webHidden/>
            <w:color w:val="001042"/>
          </w:rPr>
          <w:fldChar w:fldCharType="begin"/>
        </w:r>
        <w:r w:rsidRPr="00711919">
          <w:rPr>
            <w:webHidden/>
            <w:color w:val="001042"/>
          </w:rPr>
          <w:instrText xml:space="preserve"> PAGEREF _Toc229131290 \h </w:instrText>
        </w:r>
        <w:r w:rsidRPr="00711919">
          <w:rPr>
            <w:webHidden/>
            <w:color w:val="001042"/>
          </w:rPr>
        </w:r>
        <w:r w:rsidRPr="00711919">
          <w:rPr>
            <w:webHidden/>
            <w:color w:val="001042"/>
          </w:rPr>
          <w:fldChar w:fldCharType="separate"/>
        </w:r>
        <w:r w:rsidR="00FC231E">
          <w:rPr>
            <w:webHidden/>
            <w:color w:val="001042"/>
          </w:rPr>
          <w:t>46</w:t>
        </w:r>
        <w:r w:rsidRPr="00711919">
          <w:rPr>
            <w:webHidden/>
            <w:color w:val="001042"/>
          </w:rPr>
          <w:fldChar w:fldCharType="end"/>
        </w:r>
      </w:hyperlink>
    </w:p>
    <w:p w14:paraId="23354246" w14:textId="106F4A76" w:rsidR="00B06AAE" w:rsidRPr="00711919" w:rsidRDefault="00B06AAE">
      <w:pPr>
        <w:pStyle w:val="TM2"/>
        <w:rPr>
          <w:rFonts w:eastAsiaTheme="minorEastAsia"/>
          <w:bCs w:val="0"/>
          <w:color w:val="001042"/>
          <w:kern w:val="2"/>
          <w:lang w:eastAsia="fr-CA"/>
          <w14:ligatures w14:val="standardContextual"/>
        </w:rPr>
      </w:pPr>
      <w:hyperlink w:anchor="_Toc229131291" w:history="1">
        <w:r w:rsidRPr="00711919">
          <w:rPr>
            <w:rStyle w:val="Lienhypertexte"/>
            <w:color w:val="001042"/>
          </w:rPr>
          <w:t>7.2</w:t>
        </w:r>
        <w:r w:rsidRPr="00711919">
          <w:rPr>
            <w:rFonts w:eastAsiaTheme="minorEastAsia"/>
            <w:bCs w:val="0"/>
            <w:color w:val="001042"/>
            <w:kern w:val="2"/>
            <w:lang w:eastAsia="fr-CA"/>
            <w14:ligatures w14:val="standardContextual"/>
          </w:rPr>
          <w:tab/>
        </w:r>
        <w:r w:rsidRPr="00711919">
          <w:rPr>
            <w:rStyle w:val="Lienhypertexte"/>
            <w:color w:val="001042"/>
          </w:rPr>
          <w:t>Quelques évolutions dans les situations dénoncées</w:t>
        </w:r>
        <w:r w:rsidRPr="00711919">
          <w:rPr>
            <w:webHidden/>
            <w:color w:val="001042"/>
          </w:rPr>
          <w:tab/>
        </w:r>
        <w:r w:rsidRPr="00711919">
          <w:rPr>
            <w:webHidden/>
            <w:color w:val="001042"/>
          </w:rPr>
          <w:fldChar w:fldCharType="begin"/>
        </w:r>
        <w:r w:rsidRPr="00711919">
          <w:rPr>
            <w:webHidden/>
            <w:color w:val="001042"/>
          </w:rPr>
          <w:instrText xml:space="preserve"> PAGEREF _Toc229131291 \h </w:instrText>
        </w:r>
        <w:r w:rsidRPr="00711919">
          <w:rPr>
            <w:webHidden/>
            <w:color w:val="001042"/>
          </w:rPr>
        </w:r>
        <w:r w:rsidRPr="00711919">
          <w:rPr>
            <w:webHidden/>
            <w:color w:val="001042"/>
          </w:rPr>
          <w:fldChar w:fldCharType="separate"/>
        </w:r>
        <w:r w:rsidR="00FC231E">
          <w:rPr>
            <w:webHidden/>
            <w:color w:val="001042"/>
          </w:rPr>
          <w:t>51</w:t>
        </w:r>
        <w:r w:rsidRPr="00711919">
          <w:rPr>
            <w:webHidden/>
            <w:color w:val="001042"/>
          </w:rPr>
          <w:fldChar w:fldCharType="end"/>
        </w:r>
      </w:hyperlink>
    </w:p>
    <w:p w14:paraId="4D3C2B34" w14:textId="60EB6B45" w:rsidR="00B06AAE" w:rsidRPr="00711919" w:rsidRDefault="00B06AAE" w:rsidP="00E328C8">
      <w:pPr>
        <w:pStyle w:val="TM3"/>
        <w:ind w:left="1276" w:hanging="709"/>
        <w:rPr>
          <w:rFonts w:asciiTheme="minorHAnsi" w:eastAsiaTheme="minorEastAsia" w:hAnsiTheme="minorHAnsi"/>
          <w:noProof/>
          <w:color w:val="001042"/>
          <w:kern w:val="2"/>
          <w:lang w:eastAsia="fr-CA"/>
          <w14:ligatures w14:val="standardContextual"/>
        </w:rPr>
      </w:pPr>
      <w:hyperlink w:anchor="_Toc229131292" w:history="1">
        <w:r w:rsidRPr="00711919">
          <w:rPr>
            <w:rStyle w:val="Lienhypertexte"/>
            <w:rFonts w:asciiTheme="minorHAnsi" w:hAnsiTheme="minorHAnsi"/>
            <w:noProof/>
            <w:color w:val="001042"/>
          </w:rPr>
          <w:t>7.2.1</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La fin des plaintes pour discrimination dans les politiques de travail et d’avantages sociaux</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_Toc229131292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51</w:t>
        </w:r>
        <w:r w:rsidRPr="00711919">
          <w:rPr>
            <w:rFonts w:asciiTheme="minorHAnsi" w:hAnsiTheme="minorHAnsi"/>
            <w:noProof/>
            <w:webHidden/>
            <w:color w:val="001042"/>
          </w:rPr>
          <w:fldChar w:fldCharType="end"/>
        </w:r>
      </w:hyperlink>
    </w:p>
    <w:p w14:paraId="18525770" w14:textId="360B66C8" w:rsidR="00B06AAE" w:rsidRPr="00711919" w:rsidRDefault="00B06AAE">
      <w:pPr>
        <w:pStyle w:val="TM3"/>
        <w:rPr>
          <w:rStyle w:val="Lienhypertexte"/>
          <w:rFonts w:asciiTheme="minorHAnsi" w:hAnsiTheme="minorHAnsi"/>
          <w:noProof/>
          <w:color w:val="001042"/>
        </w:rPr>
      </w:pPr>
      <w:hyperlink w:anchor="_Toc229131293" w:history="1">
        <w:r w:rsidRPr="00711919">
          <w:rPr>
            <w:rStyle w:val="Lienhypertexte"/>
            <w:rFonts w:asciiTheme="minorHAnsi" w:hAnsiTheme="minorHAnsi"/>
            <w:noProof/>
            <w:color w:val="001042"/>
          </w:rPr>
          <w:t>7.2.2</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L’émergence des réseaux sociaux numériques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_Toc229131293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51</w:t>
        </w:r>
        <w:r w:rsidRPr="00711919">
          <w:rPr>
            <w:rFonts w:asciiTheme="minorHAnsi" w:hAnsiTheme="minorHAnsi"/>
            <w:noProof/>
            <w:webHidden/>
            <w:color w:val="001042"/>
          </w:rPr>
          <w:fldChar w:fldCharType="end"/>
        </w:r>
      </w:hyperlink>
    </w:p>
    <w:p w14:paraId="796CDBC9" w14:textId="77777777" w:rsidR="00711919" w:rsidRPr="00711919" w:rsidRDefault="00711919" w:rsidP="00711919">
      <w:pPr>
        <w:rPr>
          <w:rFonts w:asciiTheme="minorHAnsi" w:hAnsiTheme="minorHAnsi"/>
          <w:noProof/>
          <w:color w:val="001042"/>
          <w:lang w:eastAsia="fr-CA"/>
        </w:rPr>
      </w:pPr>
    </w:p>
    <w:p w14:paraId="782A81C4" w14:textId="77777777" w:rsidR="00711919" w:rsidRPr="00711919" w:rsidRDefault="00711919" w:rsidP="00711919">
      <w:pPr>
        <w:rPr>
          <w:rFonts w:asciiTheme="minorHAnsi" w:hAnsiTheme="minorHAnsi"/>
          <w:noProof/>
          <w:color w:val="001042"/>
          <w:lang w:eastAsia="fr-CA"/>
        </w:rPr>
      </w:pPr>
    </w:p>
    <w:p w14:paraId="29F12C98" w14:textId="27F8246C" w:rsidR="00B06AAE" w:rsidRPr="00711919" w:rsidRDefault="00B06AAE">
      <w:pPr>
        <w:pStyle w:val="TM1"/>
        <w:rPr>
          <w:rStyle w:val="Lienhypertexte"/>
          <w:rFonts w:asciiTheme="minorHAnsi" w:hAnsiTheme="minorHAnsi"/>
          <w:color w:val="001042"/>
        </w:rPr>
      </w:pPr>
      <w:hyperlink w:anchor="_Toc229131294" w:history="1">
        <w:r w:rsidRPr="00711919">
          <w:rPr>
            <w:rStyle w:val="Lienhypertexte"/>
            <w:rFonts w:asciiTheme="minorHAnsi" w:hAnsiTheme="minorHAnsi"/>
            <w:color w:val="001042"/>
          </w:rPr>
          <w:t>8</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Les caractéristiques des personnes plaignantes</w:t>
        </w:r>
        <w:r w:rsidRPr="0080713B">
          <w:rPr>
            <w:rFonts w:asciiTheme="minorHAnsi" w:hAnsiTheme="minorHAnsi"/>
            <w:b w:val="0"/>
            <w:bCs w:val="0"/>
            <w:webHidden/>
            <w:color w:val="001042"/>
          </w:rPr>
          <w:tab/>
        </w:r>
        <w:r w:rsidRPr="0080713B">
          <w:rPr>
            <w:rFonts w:asciiTheme="minorHAnsi" w:hAnsiTheme="minorHAnsi"/>
            <w:b w:val="0"/>
            <w:bCs w:val="0"/>
            <w:webHidden/>
            <w:color w:val="001042"/>
          </w:rPr>
          <w:fldChar w:fldCharType="begin"/>
        </w:r>
        <w:r w:rsidRPr="0080713B">
          <w:rPr>
            <w:rFonts w:asciiTheme="minorHAnsi" w:hAnsiTheme="minorHAnsi"/>
            <w:b w:val="0"/>
            <w:bCs w:val="0"/>
            <w:webHidden/>
            <w:color w:val="001042"/>
          </w:rPr>
          <w:instrText xml:space="preserve"> PAGEREF _Toc229131294 \h </w:instrText>
        </w:r>
        <w:r w:rsidRPr="0080713B">
          <w:rPr>
            <w:rFonts w:asciiTheme="minorHAnsi" w:hAnsiTheme="minorHAnsi"/>
            <w:b w:val="0"/>
            <w:bCs w:val="0"/>
            <w:webHidden/>
            <w:color w:val="001042"/>
          </w:rPr>
        </w:r>
        <w:r w:rsidRPr="0080713B">
          <w:rPr>
            <w:rFonts w:asciiTheme="minorHAnsi" w:hAnsiTheme="minorHAnsi"/>
            <w:b w:val="0"/>
            <w:bCs w:val="0"/>
            <w:webHidden/>
            <w:color w:val="001042"/>
          </w:rPr>
          <w:fldChar w:fldCharType="separate"/>
        </w:r>
        <w:r w:rsidR="00FC231E">
          <w:rPr>
            <w:rFonts w:asciiTheme="minorHAnsi" w:hAnsiTheme="minorHAnsi"/>
            <w:b w:val="0"/>
            <w:bCs w:val="0"/>
            <w:webHidden/>
            <w:color w:val="001042"/>
          </w:rPr>
          <w:t>53</w:t>
        </w:r>
        <w:r w:rsidRPr="0080713B">
          <w:rPr>
            <w:rFonts w:asciiTheme="minorHAnsi" w:hAnsiTheme="minorHAnsi"/>
            <w:b w:val="0"/>
            <w:bCs w:val="0"/>
            <w:webHidden/>
            <w:color w:val="001042"/>
          </w:rPr>
          <w:fldChar w:fldCharType="end"/>
        </w:r>
      </w:hyperlink>
    </w:p>
    <w:p w14:paraId="746DB23D" w14:textId="77777777" w:rsidR="00711919" w:rsidRPr="00711919" w:rsidRDefault="00711919" w:rsidP="00711919">
      <w:pPr>
        <w:rPr>
          <w:rFonts w:asciiTheme="minorHAnsi" w:hAnsiTheme="minorHAnsi"/>
          <w:noProof/>
          <w:color w:val="001042"/>
          <w:lang w:eastAsia="fr-CA"/>
        </w:rPr>
      </w:pPr>
    </w:p>
    <w:p w14:paraId="244892F2" w14:textId="2058F11A" w:rsidR="00B06AAE" w:rsidRPr="00711919" w:rsidRDefault="00B06AAE">
      <w:pPr>
        <w:pStyle w:val="TM2"/>
        <w:rPr>
          <w:rFonts w:eastAsiaTheme="minorEastAsia"/>
          <w:bCs w:val="0"/>
          <w:color w:val="001042"/>
          <w:kern w:val="2"/>
          <w:lang w:eastAsia="fr-CA"/>
          <w14:ligatures w14:val="standardContextual"/>
        </w:rPr>
      </w:pPr>
      <w:hyperlink w:anchor="_Toc229131295" w:history="1">
        <w:r w:rsidRPr="00711919">
          <w:rPr>
            <w:rStyle w:val="Lienhypertexte"/>
            <w:color w:val="001042"/>
          </w:rPr>
          <w:t>8.1</w:t>
        </w:r>
        <w:r w:rsidRPr="00711919">
          <w:rPr>
            <w:rFonts w:eastAsiaTheme="minorEastAsia"/>
            <w:bCs w:val="0"/>
            <w:color w:val="001042"/>
            <w:kern w:val="2"/>
            <w:lang w:eastAsia="fr-CA"/>
            <w14:ligatures w14:val="standardContextual"/>
          </w:rPr>
          <w:tab/>
        </w:r>
        <w:r w:rsidRPr="00711919">
          <w:rPr>
            <w:rStyle w:val="Lienhypertexte"/>
            <w:color w:val="001042"/>
          </w:rPr>
          <w:t>Le genre des personnes plaignantes</w:t>
        </w:r>
        <w:r w:rsidRPr="00711919">
          <w:rPr>
            <w:webHidden/>
            <w:color w:val="001042"/>
          </w:rPr>
          <w:tab/>
        </w:r>
        <w:r w:rsidRPr="00711919">
          <w:rPr>
            <w:webHidden/>
            <w:color w:val="001042"/>
          </w:rPr>
          <w:fldChar w:fldCharType="begin"/>
        </w:r>
        <w:r w:rsidRPr="00711919">
          <w:rPr>
            <w:webHidden/>
            <w:color w:val="001042"/>
          </w:rPr>
          <w:instrText xml:space="preserve"> PAGEREF _Toc229131295 \h </w:instrText>
        </w:r>
        <w:r w:rsidRPr="00711919">
          <w:rPr>
            <w:webHidden/>
            <w:color w:val="001042"/>
          </w:rPr>
        </w:r>
        <w:r w:rsidRPr="00711919">
          <w:rPr>
            <w:webHidden/>
            <w:color w:val="001042"/>
          </w:rPr>
          <w:fldChar w:fldCharType="separate"/>
        </w:r>
        <w:r w:rsidR="00FC231E">
          <w:rPr>
            <w:webHidden/>
            <w:color w:val="001042"/>
          </w:rPr>
          <w:t>53</w:t>
        </w:r>
        <w:r w:rsidRPr="00711919">
          <w:rPr>
            <w:webHidden/>
            <w:color w:val="001042"/>
          </w:rPr>
          <w:fldChar w:fldCharType="end"/>
        </w:r>
      </w:hyperlink>
    </w:p>
    <w:p w14:paraId="0F3A0B95" w14:textId="670D3A80"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96" w:history="1">
        <w:r w:rsidRPr="00711919">
          <w:rPr>
            <w:rStyle w:val="Lienhypertexte"/>
            <w:rFonts w:asciiTheme="minorHAnsi" w:hAnsiTheme="minorHAnsi"/>
            <w:noProof/>
            <w:color w:val="001042"/>
          </w:rPr>
          <w:t>8.1.1</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Orientation sexuelle : les hommes surreprésentés, les femmes invisibilisées</w:t>
        </w:r>
        <w:r w:rsidRPr="00711919">
          <w:rPr>
            <w:rStyle w:val="Lienhypertexte"/>
            <w:rFonts w:ascii="Arial" w:hAnsi="Arial" w:cs="Arial"/>
            <w:noProof/>
            <w:color w:val="001042"/>
          </w:rPr>
          <w:t> </w:t>
        </w:r>
        <w:r w:rsidRPr="00711919">
          <w:rPr>
            <w:rStyle w:val="Lienhypertexte"/>
            <w:rFonts w:asciiTheme="minorHAnsi" w:hAnsiTheme="minorHAnsi"/>
            <w:noProof/>
            <w:color w:val="001042"/>
          </w:rPr>
          <w:t>?</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_Toc229131296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54</w:t>
        </w:r>
        <w:r w:rsidRPr="00711919">
          <w:rPr>
            <w:rFonts w:asciiTheme="minorHAnsi" w:hAnsiTheme="minorHAnsi"/>
            <w:noProof/>
            <w:webHidden/>
            <w:color w:val="001042"/>
          </w:rPr>
          <w:fldChar w:fldCharType="end"/>
        </w:r>
      </w:hyperlink>
    </w:p>
    <w:p w14:paraId="40DB1969" w14:textId="7191F3C6"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97" w:history="1">
        <w:r w:rsidRPr="00711919">
          <w:rPr>
            <w:rStyle w:val="Lienhypertexte"/>
            <w:rFonts w:asciiTheme="minorHAnsi" w:hAnsiTheme="minorHAnsi"/>
            <w:noProof/>
            <w:color w:val="001042"/>
          </w:rPr>
          <w:t>8.1.2</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Identité ou expression de genre : les femmes trans surreprésentées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_Toc229131297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55</w:t>
        </w:r>
        <w:r w:rsidRPr="00711919">
          <w:rPr>
            <w:rFonts w:asciiTheme="minorHAnsi" w:hAnsiTheme="minorHAnsi"/>
            <w:noProof/>
            <w:webHidden/>
            <w:color w:val="001042"/>
          </w:rPr>
          <w:fldChar w:fldCharType="end"/>
        </w:r>
      </w:hyperlink>
    </w:p>
    <w:p w14:paraId="306AB985" w14:textId="7E43D146"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298" w:history="1">
        <w:r w:rsidRPr="00711919">
          <w:rPr>
            <w:rStyle w:val="Lienhypertexte"/>
            <w:rFonts w:asciiTheme="minorHAnsi" w:hAnsiTheme="minorHAnsi"/>
            <w:noProof/>
            <w:color w:val="001042"/>
          </w:rPr>
          <w:t>8.1.3</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 genre des personnes plaignantes dans le corpus qualitatif</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_Toc229131298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56</w:t>
        </w:r>
        <w:r w:rsidRPr="00711919">
          <w:rPr>
            <w:rFonts w:asciiTheme="minorHAnsi" w:hAnsiTheme="minorHAnsi"/>
            <w:noProof/>
            <w:webHidden/>
            <w:color w:val="001042"/>
          </w:rPr>
          <w:fldChar w:fldCharType="end"/>
        </w:r>
      </w:hyperlink>
    </w:p>
    <w:p w14:paraId="095BFE22" w14:textId="7F368BA8" w:rsidR="00B06AAE" w:rsidRPr="00711919" w:rsidRDefault="00B06AAE">
      <w:pPr>
        <w:pStyle w:val="TM2"/>
        <w:rPr>
          <w:rFonts w:eastAsiaTheme="minorEastAsia"/>
          <w:bCs w:val="0"/>
          <w:color w:val="001042"/>
          <w:kern w:val="2"/>
          <w:lang w:eastAsia="fr-CA"/>
          <w14:ligatures w14:val="standardContextual"/>
        </w:rPr>
      </w:pPr>
      <w:hyperlink w:anchor="_Toc229131299" w:history="1">
        <w:r w:rsidRPr="00711919">
          <w:rPr>
            <w:rStyle w:val="Lienhypertexte"/>
            <w:color w:val="001042"/>
          </w:rPr>
          <w:t>8.2</w:t>
        </w:r>
        <w:r w:rsidRPr="00711919">
          <w:rPr>
            <w:rFonts w:eastAsiaTheme="minorEastAsia"/>
            <w:bCs w:val="0"/>
            <w:color w:val="001042"/>
            <w:kern w:val="2"/>
            <w:lang w:eastAsia="fr-CA"/>
            <w14:ligatures w14:val="standardContextual"/>
          </w:rPr>
          <w:tab/>
        </w:r>
        <w:r w:rsidRPr="00711919">
          <w:rPr>
            <w:rStyle w:val="Lienhypertexte"/>
            <w:color w:val="001042"/>
          </w:rPr>
          <w:t>La modalité de genre des personnes plaignantes</w:t>
        </w:r>
        <w:r w:rsidRPr="00711919">
          <w:rPr>
            <w:webHidden/>
            <w:color w:val="001042"/>
          </w:rPr>
          <w:tab/>
        </w:r>
        <w:r w:rsidRPr="00711919">
          <w:rPr>
            <w:webHidden/>
            <w:color w:val="001042"/>
          </w:rPr>
          <w:fldChar w:fldCharType="begin"/>
        </w:r>
        <w:r w:rsidRPr="00711919">
          <w:rPr>
            <w:webHidden/>
            <w:color w:val="001042"/>
          </w:rPr>
          <w:instrText xml:space="preserve"> PAGEREF _Toc229131299 \h </w:instrText>
        </w:r>
        <w:r w:rsidRPr="00711919">
          <w:rPr>
            <w:webHidden/>
            <w:color w:val="001042"/>
          </w:rPr>
        </w:r>
        <w:r w:rsidRPr="00711919">
          <w:rPr>
            <w:webHidden/>
            <w:color w:val="001042"/>
          </w:rPr>
          <w:fldChar w:fldCharType="separate"/>
        </w:r>
        <w:r w:rsidR="00FC231E">
          <w:rPr>
            <w:webHidden/>
            <w:color w:val="001042"/>
          </w:rPr>
          <w:t>57</w:t>
        </w:r>
        <w:r w:rsidRPr="00711919">
          <w:rPr>
            <w:webHidden/>
            <w:color w:val="001042"/>
          </w:rPr>
          <w:fldChar w:fldCharType="end"/>
        </w:r>
      </w:hyperlink>
    </w:p>
    <w:p w14:paraId="29311786" w14:textId="376C4DEB" w:rsidR="00B06AAE" w:rsidRPr="00711919" w:rsidRDefault="00B06AAE">
      <w:pPr>
        <w:pStyle w:val="TM2"/>
        <w:rPr>
          <w:rFonts w:eastAsiaTheme="minorEastAsia"/>
          <w:bCs w:val="0"/>
          <w:color w:val="001042"/>
          <w:kern w:val="2"/>
          <w:lang w:eastAsia="fr-CA"/>
          <w14:ligatures w14:val="standardContextual"/>
        </w:rPr>
      </w:pPr>
      <w:hyperlink w:anchor="_Toc229131300" w:history="1">
        <w:r w:rsidRPr="00711919">
          <w:rPr>
            <w:rStyle w:val="Lienhypertexte"/>
            <w:color w:val="001042"/>
          </w:rPr>
          <w:t>8.3</w:t>
        </w:r>
        <w:r w:rsidRPr="00711919">
          <w:rPr>
            <w:rFonts w:eastAsiaTheme="minorEastAsia"/>
            <w:bCs w:val="0"/>
            <w:color w:val="001042"/>
            <w:kern w:val="2"/>
            <w:lang w:eastAsia="fr-CA"/>
            <w14:ligatures w14:val="standardContextual"/>
          </w:rPr>
          <w:tab/>
        </w:r>
        <w:r w:rsidRPr="00711919">
          <w:rPr>
            <w:rStyle w:val="Lienhypertexte"/>
            <w:color w:val="001042"/>
          </w:rPr>
          <w:t>L’orientation sexuelle des personnes plaignantes</w:t>
        </w:r>
        <w:r w:rsidRPr="00711919">
          <w:rPr>
            <w:webHidden/>
            <w:color w:val="001042"/>
          </w:rPr>
          <w:tab/>
        </w:r>
        <w:r w:rsidRPr="00711919">
          <w:rPr>
            <w:webHidden/>
            <w:color w:val="001042"/>
          </w:rPr>
          <w:fldChar w:fldCharType="begin"/>
        </w:r>
        <w:r w:rsidRPr="00711919">
          <w:rPr>
            <w:webHidden/>
            <w:color w:val="001042"/>
          </w:rPr>
          <w:instrText xml:space="preserve"> PAGEREF _Toc229131300 \h </w:instrText>
        </w:r>
        <w:r w:rsidRPr="00711919">
          <w:rPr>
            <w:webHidden/>
            <w:color w:val="001042"/>
          </w:rPr>
        </w:r>
        <w:r w:rsidRPr="00711919">
          <w:rPr>
            <w:webHidden/>
            <w:color w:val="001042"/>
          </w:rPr>
          <w:fldChar w:fldCharType="separate"/>
        </w:r>
        <w:r w:rsidR="00FC231E">
          <w:rPr>
            <w:webHidden/>
            <w:color w:val="001042"/>
          </w:rPr>
          <w:t>58</w:t>
        </w:r>
        <w:r w:rsidRPr="00711919">
          <w:rPr>
            <w:webHidden/>
            <w:color w:val="001042"/>
          </w:rPr>
          <w:fldChar w:fldCharType="end"/>
        </w:r>
      </w:hyperlink>
    </w:p>
    <w:p w14:paraId="5B6039DB" w14:textId="2A0CF072" w:rsidR="00B06AAE" w:rsidRPr="00711919" w:rsidRDefault="00B06AAE">
      <w:pPr>
        <w:pStyle w:val="TM2"/>
        <w:rPr>
          <w:rFonts w:eastAsiaTheme="minorEastAsia"/>
          <w:bCs w:val="0"/>
          <w:color w:val="001042"/>
          <w:kern w:val="2"/>
          <w:lang w:eastAsia="fr-CA"/>
          <w14:ligatures w14:val="standardContextual"/>
        </w:rPr>
      </w:pPr>
      <w:hyperlink w:anchor="_Toc229131301" w:history="1">
        <w:r w:rsidRPr="00711919">
          <w:rPr>
            <w:rStyle w:val="Lienhypertexte"/>
            <w:color w:val="001042"/>
          </w:rPr>
          <w:t>8.4</w:t>
        </w:r>
        <w:r w:rsidRPr="00711919">
          <w:rPr>
            <w:rFonts w:eastAsiaTheme="minorEastAsia"/>
            <w:bCs w:val="0"/>
            <w:color w:val="001042"/>
            <w:kern w:val="2"/>
            <w:lang w:eastAsia="fr-CA"/>
            <w14:ligatures w14:val="standardContextual"/>
          </w:rPr>
          <w:tab/>
        </w:r>
        <w:r w:rsidRPr="00711919">
          <w:rPr>
            <w:rStyle w:val="Lienhypertexte"/>
            <w:color w:val="001042"/>
          </w:rPr>
          <w:t>Le dévoilement de l’orientation sexuelle ou de la transidentité au travail</w:t>
        </w:r>
        <w:r w:rsidRPr="00711919">
          <w:rPr>
            <w:webHidden/>
            <w:color w:val="001042"/>
          </w:rPr>
          <w:tab/>
        </w:r>
        <w:r w:rsidRPr="00711919">
          <w:rPr>
            <w:webHidden/>
            <w:color w:val="001042"/>
          </w:rPr>
          <w:fldChar w:fldCharType="begin"/>
        </w:r>
        <w:r w:rsidRPr="00711919">
          <w:rPr>
            <w:webHidden/>
            <w:color w:val="001042"/>
          </w:rPr>
          <w:instrText xml:space="preserve"> PAGEREF _Toc229131301 \h </w:instrText>
        </w:r>
        <w:r w:rsidRPr="00711919">
          <w:rPr>
            <w:webHidden/>
            <w:color w:val="001042"/>
          </w:rPr>
        </w:r>
        <w:r w:rsidRPr="00711919">
          <w:rPr>
            <w:webHidden/>
            <w:color w:val="001042"/>
          </w:rPr>
          <w:fldChar w:fldCharType="separate"/>
        </w:r>
        <w:r w:rsidR="00FC231E">
          <w:rPr>
            <w:webHidden/>
            <w:color w:val="001042"/>
          </w:rPr>
          <w:t>59</w:t>
        </w:r>
        <w:r w:rsidRPr="00711919">
          <w:rPr>
            <w:webHidden/>
            <w:color w:val="001042"/>
          </w:rPr>
          <w:fldChar w:fldCharType="end"/>
        </w:r>
      </w:hyperlink>
    </w:p>
    <w:p w14:paraId="15988005" w14:textId="7C26084A" w:rsidR="00B06AAE" w:rsidRPr="00711919" w:rsidRDefault="00B06AAE">
      <w:pPr>
        <w:pStyle w:val="TM2"/>
        <w:rPr>
          <w:rFonts w:eastAsiaTheme="minorEastAsia"/>
          <w:bCs w:val="0"/>
          <w:color w:val="001042"/>
          <w:kern w:val="2"/>
          <w:lang w:eastAsia="fr-CA"/>
          <w14:ligatures w14:val="standardContextual"/>
        </w:rPr>
      </w:pPr>
      <w:hyperlink w:anchor="_Toc229131302" w:history="1">
        <w:r w:rsidRPr="00711919">
          <w:rPr>
            <w:rStyle w:val="Lienhypertexte"/>
            <w:color w:val="001042"/>
          </w:rPr>
          <w:t>8.5</w:t>
        </w:r>
        <w:r w:rsidRPr="00711919">
          <w:rPr>
            <w:rFonts w:eastAsiaTheme="minorEastAsia"/>
            <w:bCs w:val="0"/>
            <w:color w:val="001042"/>
            <w:kern w:val="2"/>
            <w:lang w:eastAsia="fr-CA"/>
            <w14:ligatures w14:val="standardContextual"/>
          </w:rPr>
          <w:tab/>
        </w:r>
        <w:r w:rsidRPr="00711919">
          <w:rPr>
            <w:rStyle w:val="Lienhypertexte"/>
            <w:color w:val="001042"/>
          </w:rPr>
          <w:t>D’autres caractéristiques des personnes plaignantes</w:t>
        </w:r>
        <w:r w:rsidRPr="00711919">
          <w:rPr>
            <w:webHidden/>
            <w:color w:val="001042"/>
          </w:rPr>
          <w:tab/>
        </w:r>
        <w:r w:rsidRPr="00711919">
          <w:rPr>
            <w:webHidden/>
            <w:color w:val="001042"/>
          </w:rPr>
          <w:fldChar w:fldCharType="begin"/>
        </w:r>
        <w:r w:rsidRPr="00711919">
          <w:rPr>
            <w:webHidden/>
            <w:color w:val="001042"/>
          </w:rPr>
          <w:instrText xml:space="preserve"> PAGEREF _Toc229131302 \h </w:instrText>
        </w:r>
        <w:r w:rsidRPr="00711919">
          <w:rPr>
            <w:webHidden/>
            <w:color w:val="001042"/>
          </w:rPr>
        </w:r>
        <w:r w:rsidRPr="00711919">
          <w:rPr>
            <w:webHidden/>
            <w:color w:val="001042"/>
          </w:rPr>
          <w:fldChar w:fldCharType="separate"/>
        </w:r>
        <w:r w:rsidR="00FC231E">
          <w:rPr>
            <w:webHidden/>
            <w:color w:val="001042"/>
          </w:rPr>
          <w:t>60</w:t>
        </w:r>
        <w:r w:rsidRPr="00711919">
          <w:rPr>
            <w:webHidden/>
            <w:color w:val="001042"/>
          </w:rPr>
          <w:fldChar w:fldCharType="end"/>
        </w:r>
      </w:hyperlink>
    </w:p>
    <w:p w14:paraId="16740427" w14:textId="024C2EAB" w:rsidR="00B06AAE" w:rsidRPr="00711919" w:rsidRDefault="00B06AAE">
      <w:pPr>
        <w:pStyle w:val="TM2"/>
        <w:rPr>
          <w:rStyle w:val="Lienhypertexte"/>
          <w:color w:val="001042"/>
        </w:rPr>
      </w:pPr>
      <w:hyperlink w:anchor="_Toc229131303" w:history="1">
        <w:r w:rsidRPr="00711919">
          <w:rPr>
            <w:rStyle w:val="Lienhypertexte"/>
            <w:color w:val="001042"/>
          </w:rPr>
          <w:t>8.6</w:t>
        </w:r>
        <w:r w:rsidRPr="00711919">
          <w:rPr>
            <w:rFonts w:eastAsiaTheme="minorEastAsia"/>
            <w:bCs w:val="0"/>
            <w:color w:val="001042"/>
            <w:kern w:val="2"/>
            <w:lang w:eastAsia="fr-CA"/>
            <w14:ligatures w14:val="standardContextual"/>
          </w:rPr>
          <w:tab/>
        </w:r>
        <w:r w:rsidRPr="00711919">
          <w:rPr>
            <w:rStyle w:val="Lienhypertexte"/>
            <w:color w:val="001042"/>
          </w:rPr>
          <w:t>Les autres motifs de discrimination contribuant aux situations dénoncées</w:t>
        </w:r>
        <w:r w:rsidRPr="00711919">
          <w:rPr>
            <w:webHidden/>
            <w:color w:val="001042"/>
          </w:rPr>
          <w:tab/>
        </w:r>
        <w:r w:rsidRPr="00711919">
          <w:rPr>
            <w:webHidden/>
            <w:color w:val="001042"/>
          </w:rPr>
          <w:fldChar w:fldCharType="begin"/>
        </w:r>
        <w:r w:rsidRPr="00711919">
          <w:rPr>
            <w:webHidden/>
            <w:color w:val="001042"/>
          </w:rPr>
          <w:instrText xml:space="preserve"> PAGEREF _Toc229131303 \h </w:instrText>
        </w:r>
        <w:r w:rsidRPr="00711919">
          <w:rPr>
            <w:webHidden/>
            <w:color w:val="001042"/>
          </w:rPr>
        </w:r>
        <w:r w:rsidRPr="00711919">
          <w:rPr>
            <w:webHidden/>
            <w:color w:val="001042"/>
          </w:rPr>
          <w:fldChar w:fldCharType="separate"/>
        </w:r>
        <w:r w:rsidR="00FC231E">
          <w:rPr>
            <w:webHidden/>
            <w:color w:val="001042"/>
          </w:rPr>
          <w:t>61</w:t>
        </w:r>
        <w:r w:rsidRPr="00711919">
          <w:rPr>
            <w:webHidden/>
            <w:color w:val="001042"/>
          </w:rPr>
          <w:fldChar w:fldCharType="end"/>
        </w:r>
      </w:hyperlink>
    </w:p>
    <w:p w14:paraId="3BE6E2BC" w14:textId="77777777" w:rsidR="00711919" w:rsidRPr="00362EE1" w:rsidRDefault="00711919" w:rsidP="00711919">
      <w:pPr>
        <w:rPr>
          <w:rFonts w:asciiTheme="minorHAnsi" w:hAnsiTheme="minorHAnsi"/>
          <w:noProof/>
          <w:color w:val="001042"/>
          <w:lang w:eastAsia="fr-CA"/>
        </w:rPr>
      </w:pPr>
    </w:p>
    <w:p w14:paraId="2A88D5B1" w14:textId="77777777" w:rsidR="00711919" w:rsidRPr="00362EE1" w:rsidRDefault="00711919" w:rsidP="00711919">
      <w:pPr>
        <w:rPr>
          <w:rFonts w:asciiTheme="minorHAnsi" w:hAnsiTheme="minorHAnsi"/>
          <w:noProof/>
          <w:color w:val="001042"/>
          <w:lang w:eastAsia="fr-CA"/>
        </w:rPr>
      </w:pPr>
    </w:p>
    <w:p w14:paraId="7BD018D1" w14:textId="14C70290" w:rsidR="00B06AAE" w:rsidRPr="00711919" w:rsidRDefault="00B06AAE">
      <w:pPr>
        <w:pStyle w:val="TM1"/>
        <w:rPr>
          <w:rStyle w:val="Lienhypertexte"/>
          <w:rFonts w:asciiTheme="minorHAnsi" w:hAnsiTheme="minorHAnsi"/>
          <w:color w:val="001042"/>
        </w:rPr>
      </w:pPr>
      <w:hyperlink w:anchor="_Toc229131304" w:history="1">
        <w:r w:rsidRPr="00711919">
          <w:rPr>
            <w:rStyle w:val="Lienhypertexte"/>
            <w:rFonts w:asciiTheme="minorHAnsi" w:hAnsiTheme="minorHAnsi"/>
            <w:color w:val="001042"/>
          </w:rPr>
          <w:t>9</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Les secteurs d’activité visés par les plaintes</w:t>
        </w:r>
        <w:r w:rsidRPr="0080713B">
          <w:rPr>
            <w:rFonts w:asciiTheme="minorHAnsi" w:hAnsiTheme="minorHAnsi"/>
            <w:b w:val="0"/>
            <w:bCs w:val="0"/>
            <w:webHidden/>
            <w:color w:val="001042"/>
          </w:rPr>
          <w:tab/>
        </w:r>
        <w:r w:rsidRPr="0080713B">
          <w:rPr>
            <w:rFonts w:asciiTheme="minorHAnsi" w:hAnsiTheme="minorHAnsi"/>
            <w:b w:val="0"/>
            <w:bCs w:val="0"/>
            <w:webHidden/>
            <w:color w:val="001042"/>
          </w:rPr>
          <w:fldChar w:fldCharType="begin"/>
        </w:r>
        <w:r w:rsidRPr="0080713B">
          <w:rPr>
            <w:rFonts w:asciiTheme="minorHAnsi" w:hAnsiTheme="minorHAnsi"/>
            <w:b w:val="0"/>
            <w:bCs w:val="0"/>
            <w:webHidden/>
            <w:color w:val="001042"/>
          </w:rPr>
          <w:instrText xml:space="preserve"> PAGEREF _Toc229131304 \h </w:instrText>
        </w:r>
        <w:r w:rsidRPr="0080713B">
          <w:rPr>
            <w:rFonts w:asciiTheme="minorHAnsi" w:hAnsiTheme="minorHAnsi"/>
            <w:b w:val="0"/>
            <w:bCs w:val="0"/>
            <w:webHidden/>
            <w:color w:val="001042"/>
          </w:rPr>
        </w:r>
        <w:r w:rsidRPr="0080713B">
          <w:rPr>
            <w:rFonts w:asciiTheme="minorHAnsi" w:hAnsiTheme="minorHAnsi"/>
            <w:b w:val="0"/>
            <w:bCs w:val="0"/>
            <w:webHidden/>
            <w:color w:val="001042"/>
          </w:rPr>
          <w:fldChar w:fldCharType="separate"/>
        </w:r>
        <w:r w:rsidR="00FC231E">
          <w:rPr>
            <w:rFonts w:asciiTheme="minorHAnsi" w:hAnsiTheme="minorHAnsi"/>
            <w:b w:val="0"/>
            <w:bCs w:val="0"/>
            <w:webHidden/>
            <w:color w:val="001042"/>
          </w:rPr>
          <w:t>62</w:t>
        </w:r>
        <w:r w:rsidRPr="0080713B">
          <w:rPr>
            <w:rFonts w:asciiTheme="minorHAnsi" w:hAnsiTheme="minorHAnsi"/>
            <w:b w:val="0"/>
            <w:bCs w:val="0"/>
            <w:webHidden/>
            <w:color w:val="001042"/>
          </w:rPr>
          <w:fldChar w:fldCharType="end"/>
        </w:r>
      </w:hyperlink>
    </w:p>
    <w:p w14:paraId="22D25BF9" w14:textId="77777777" w:rsidR="00711919" w:rsidRPr="00711919" w:rsidRDefault="00711919" w:rsidP="00711919">
      <w:pPr>
        <w:rPr>
          <w:rFonts w:asciiTheme="minorHAnsi" w:hAnsiTheme="minorHAnsi"/>
          <w:noProof/>
          <w:color w:val="001042"/>
          <w:lang w:eastAsia="fr-CA"/>
        </w:rPr>
      </w:pPr>
    </w:p>
    <w:p w14:paraId="79550328" w14:textId="4537A7F9" w:rsidR="00B06AAE" w:rsidRPr="00711919" w:rsidRDefault="00B06AAE">
      <w:pPr>
        <w:pStyle w:val="TM2"/>
        <w:rPr>
          <w:rFonts w:eastAsiaTheme="minorEastAsia"/>
          <w:bCs w:val="0"/>
          <w:color w:val="001042"/>
          <w:kern w:val="2"/>
          <w:lang w:eastAsia="fr-CA"/>
          <w14:ligatures w14:val="standardContextual"/>
        </w:rPr>
      </w:pPr>
      <w:hyperlink w:anchor="_Toc229131305" w:history="1">
        <w:r w:rsidRPr="00711919">
          <w:rPr>
            <w:rStyle w:val="Lienhypertexte"/>
            <w:color w:val="001042"/>
          </w:rPr>
          <w:t>9.1</w:t>
        </w:r>
        <w:r w:rsidRPr="00711919">
          <w:rPr>
            <w:rFonts w:eastAsiaTheme="minorEastAsia"/>
            <w:bCs w:val="0"/>
            <w:color w:val="001042"/>
            <w:kern w:val="2"/>
            <w:lang w:eastAsia="fr-CA"/>
            <w14:ligatures w14:val="standardContextual"/>
          </w:rPr>
          <w:tab/>
        </w:r>
        <w:r w:rsidRPr="00711919">
          <w:rPr>
            <w:rStyle w:val="Lienhypertexte"/>
            <w:color w:val="001042"/>
          </w:rPr>
          <w:t>Des plaintes provenant principalement du secteur des services et du secteur commercial</w:t>
        </w:r>
        <w:r w:rsidRPr="00711919">
          <w:rPr>
            <w:webHidden/>
            <w:color w:val="001042"/>
          </w:rPr>
          <w:tab/>
        </w:r>
        <w:r w:rsidRPr="00711919">
          <w:rPr>
            <w:webHidden/>
            <w:color w:val="001042"/>
          </w:rPr>
          <w:fldChar w:fldCharType="begin"/>
        </w:r>
        <w:r w:rsidRPr="00711919">
          <w:rPr>
            <w:webHidden/>
            <w:color w:val="001042"/>
          </w:rPr>
          <w:instrText xml:space="preserve"> PAGEREF _Toc229131305 \h </w:instrText>
        </w:r>
        <w:r w:rsidRPr="00711919">
          <w:rPr>
            <w:webHidden/>
            <w:color w:val="001042"/>
          </w:rPr>
        </w:r>
        <w:r w:rsidRPr="00711919">
          <w:rPr>
            <w:webHidden/>
            <w:color w:val="001042"/>
          </w:rPr>
          <w:fldChar w:fldCharType="separate"/>
        </w:r>
        <w:r w:rsidR="00FC231E">
          <w:rPr>
            <w:webHidden/>
            <w:color w:val="001042"/>
          </w:rPr>
          <w:t>62</w:t>
        </w:r>
        <w:r w:rsidRPr="00711919">
          <w:rPr>
            <w:webHidden/>
            <w:color w:val="001042"/>
          </w:rPr>
          <w:fldChar w:fldCharType="end"/>
        </w:r>
      </w:hyperlink>
    </w:p>
    <w:p w14:paraId="4D6711D6" w14:textId="65F3DEBF" w:rsidR="00B06AAE" w:rsidRPr="00711919" w:rsidRDefault="00B06AAE">
      <w:pPr>
        <w:pStyle w:val="TM2"/>
        <w:rPr>
          <w:rFonts w:eastAsiaTheme="minorEastAsia"/>
          <w:bCs w:val="0"/>
          <w:color w:val="001042"/>
          <w:kern w:val="2"/>
          <w:lang w:eastAsia="fr-CA"/>
          <w14:ligatures w14:val="standardContextual"/>
        </w:rPr>
      </w:pPr>
      <w:hyperlink w:anchor="_Toc229131306" w:history="1">
        <w:r w:rsidRPr="00711919">
          <w:rPr>
            <w:rStyle w:val="Lienhypertexte"/>
            <w:color w:val="001042"/>
          </w:rPr>
          <w:t>9.2</w:t>
        </w:r>
        <w:r w:rsidRPr="00711919">
          <w:rPr>
            <w:rFonts w:eastAsiaTheme="minorEastAsia"/>
            <w:bCs w:val="0"/>
            <w:color w:val="001042"/>
            <w:kern w:val="2"/>
            <w:lang w:eastAsia="fr-CA"/>
            <w14:ligatures w14:val="standardContextual"/>
          </w:rPr>
          <w:tab/>
        </w:r>
        <w:r w:rsidRPr="00711919">
          <w:rPr>
            <w:rStyle w:val="Lienhypertexte"/>
            <w:color w:val="001042"/>
          </w:rPr>
          <w:t>Quelques différences dans les secteurs d’activité concernés selon le motif de discrimination</w:t>
        </w:r>
        <w:r w:rsidRPr="00711919">
          <w:rPr>
            <w:webHidden/>
            <w:color w:val="001042"/>
          </w:rPr>
          <w:tab/>
        </w:r>
        <w:r w:rsidRPr="00711919">
          <w:rPr>
            <w:webHidden/>
            <w:color w:val="001042"/>
          </w:rPr>
          <w:fldChar w:fldCharType="begin"/>
        </w:r>
        <w:r w:rsidRPr="00711919">
          <w:rPr>
            <w:webHidden/>
            <w:color w:val="001042"/>
          </w:rPr>
          <w:instrText xml:space="preserve"> PAGEREF _Toc229131306 \h </w:instrText>
        </w:r>
        <w:r w:rsidRPr="00711919">
          <w:rPr>
            <w:webHidden/>
            <w:color w:val="001042"/>
          </w:rPr>
        </w:r>
        <w:r w:rsidRPr="00711919">
          <w:rPr>
            <w:webHidden/>
            <w:color w:val="001042"/>
          </w:rPr>
          <w:fldChar w:fldCharType="separate"/>
        </w:r>
        <w:r w:rsidR="00FC231E">
          <w:rPr>
            <w:webHidden/>
            <w:color w:val="001042"/>
          </w:rPr>
          <w:t>64</w:t>
        </w:r>
        <w:r w:rsidRPr="00711919">
          <w:rPr>
            <w:webHidden/>
            <w:color w:val="001042"/>
          </w:rPr>
          <w:fldChar w:fldCharType="end"/>
        </w:r>
      </w:hyperlink>
    </w:p>
    <w:p w14:paraId="062425C6" w14:textId="0D0F8829"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07" w:history="1">
        <w:r w:rsidRPr="00711919">
          <w:rPr>
            <w:rStyle w:val="Lienhypertexte"/>
            <w:rFonts w:asciiTheme="minorHAnsi" w:hAnsiTheme="minorHAnsi"/>
            <w:noProof/>
            <w:color w:val="001042"/>
          </w:rPr>
          <w:t>9.2.1</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L’orientation sexuelle : les entreprises de service à la clientèle mises en cause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_Toc229131307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66</w:t>
        </w:r>
        <w:r w:rsidRPr="00711919">
          <w:rPr>
            <w:rFonts w:asciiTheme="minorHAnsi" w:hAnsiTheme="minorHAnsi"/>
            <w:noProof/>
            <w:webHidden/>
            <w:color w:val="001042"/>
          </w:rPr>
          <w:fldChar w:fldCharType="end"/>
        </w:r>
      </w:hyperlink>
    </w:p>
    <w:p w14:paraId="33C9C70A" w14:textId="17645A16" w:rsidR="00B06AAE" w:rsidRPr="00711919" w:rsidRDefault="00B06AAE" w:rsidP="005D3BAE">
      <w:pPr>
        <w:pStyle w:val="TM3"/>
        <w:ind w:left="1276" w:hanging="709"/>
        <w:rPr>
          <w:rFonts w:asciiTheme="minorHAnsi" w:eastAsiaTheme="minorEastAsia" w:hAnsiTheme="minorHAnsi"/>
          <w:noProof/>
          <w:color w:val="001042"/>
          <w:kern w:val="2"/>
          <w:lang w:eastAsia="fr-CA"/>
          <w14:ligatures w14:val="standardContextual"/>
        </w:rPr>
      </w:pPr>
      <w:hyperlink w:anchor="_Toc229131308" w:history="1">
        <w:r w:rsidRPr="00711919">
          <w:rPr>
            <w:rStyle w:val="Lienhypertexte"/>
            <w:rFonts w:asciiTheme="minorHAnsi" w:hAnsiTheme="minorHAnsi"/>
            <w:noProof/>
            <w:color w:val="001042"/>
          </w:rPr>
          <w:t>9.2.2</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L’identité ou l’expression de genre : des secteurs peu rémunérés et en contact avec le public</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_Toc229131308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67</w:t>
        </w:r>
        <w:r w:rsidRPr="00711919">
          <w:rPr>
            <w:rFonts w:asciiTheme="minorHAnsi" w:hAnsiTheme="minorHAnsi"/>
            <w:noProof/>
            <w:webHidden/>
            <w:color w:val="001042"/>
          </w:rPr>
          <w:fldChar w:fldCharType="end"/>
        </w:r>
      </w:hyperlink>
    </w:p>
    <w:p w14:paraId="5EE5A79E" w14:textId="0DB98E1F" w:rsidR="00B06AAE" w:rsidRPr="00711919" w:rsidRDefault="00B06AAE">
      <w:pPr>
        <w:pStyle w:val="TM2"/>
        <w:rPr>
          <w:rStyle w:val="Lienhypertexte"/>
          <w:color w:val="001042"/>
        </w:rPr>
      </w:pPr>
      <w:hyperlink w:anchor="_Toc229131309" w:history="1">
        <w:r w:rsidRPr="00711919">
          <w:rPr>
            <w:rStyle w:val="Lienhypertexte"/>
            <w:color w:val="001042"/>
          </w:rPr>
          <w:t>9.3</w:t>
        </w:r>
        <w:r w:rsidRPr="00711919">
          <w:rPr>
            <w:rFonts w:eastAsiaTheme="minorEastAsia"/>
            <w:bCs w:val="0"/>
            <w:color w:val="001042"/>
            <w:kern w:val="2"/>
            <w:lang w:eastAsia="fr-CA"/>
            <w14:ligatures w14:val="standardContextual"/>
          </w:rPr>
          <w:tab/>
        </w:r>
        <w:r w:rsidRPr="00711919">
          <w:rPr>
            <w:rStyle w:val="Lienhypertexte"/>
            <w:color w:val="001042"/>
          </w:rPr>
          <w:t>Les petits milieux de travail sont davantage visés par les plaintes</w:t>
        </w:r>
        <w:r w:rsidRPr="00711919">
          <w:rPr>
            <w:webHidden/>
            <w:color w:val="001042"/>
          </w:rPr>
          <w:tab/>
        </w:r>
        <w:r w:rsidRPr="00711919">
          <w:rPr>
            <w:webHidden/>
            <w:color w:val="001042"/>
          </w:rPr>
          <w:fldChar w:fldCharType="begin"/>
        </w:r>
        <w:r w:rsidRPr="00711919">
          <w:rPr>
            <w:webHidden/>
            <w:color w:val="001042"/>
          </w:rPr>
          <w:instrText xml:space="preserve"> PAGEREF _Toc229131309 \h </w:instrText>
        </w:r>
        <w:r w:rsidRPr="00711919">
          <w:rPr>
            <w:webHidden/>
            <w:color w:val="001042"/>
          </w:rPr>
        </w:r>
        <w:r w:rsidRPr="00711919">
          <w:rPr>
            <w:webHidden/>
            <w:color w:val="001042"/>
          </w:rPr>
          <w:fldChar w:fldCharType="separate"/>
        </w:r>
        <w:r w:rsidR="00FC231E">
          <w:rPr>
            <w:webHidden/>
            <w:color w:val="001042"/>
          </w:rPr>
          <w:t>67</w:t>
        </w:r>
        <w:r w:rsidRPr="00711919">
          <w:rPr>
            <w:webHidden/>
            <w:color w:val="001042"/>
          </w:rPr>
          <w:fldChar w:fldCharType="end"/>
        </w:r>
      </w:hyperlink>
    </w:p>
    <w:p w14:paraId="1323C85F" w14:textId="77777777" w:rsidR="00711919" w:rsidRPr="00711919" w:rsidRDefault="00711919" w:rsidP="00711919">
      <w:pPr>
        <w:rPr>
          <w:rFonts w:asciiTheme="minorHAnsi" w:hAnsiTheme="minorHAnsi"/>
          <w:noProof/>
          <w:color w:val="001042"/>
          <w:lang w:eastAsia="fr-CA"/>
        </w:rPr>
      </w:pPr>
    </w:p>
    <w:p w14:paraId="1D49B5AE" w14:textId="77777777" w:rsidR="00711919" w:rsidRPr="00711919" w:rsidRDefault="00711919" w:rsidP="00711919">
      <w:pPr>
        <w:rPr>
          <w:rFonts w:asciiTheme="minorHAnsi" w:hAnsiTheme="minorHAnsi"/>
          <w:noProof/>
          <w:color w:val="001042"/>
          <w:lang w:eastAsia="fr-CA"/>
        </w:rPr>
      </w:pPr>
    </w:p>
    <w:p w14:paraId="2B5C4233" w14:textId="38E178FF" w:rsidR="00B06AAE" w:rsidRPr="00711919" w:rsidRDefault="00B06AAE">
      <w:pPr>
        <w:pStyle w:val="TM1"/>
        <w:rPr>
          <w:rStyle w:val="Lienhypertexte"/>
          <w:rFonts w:asciiTheme="minorHAnsi" w:hAnsiTheme="minorHAnsi"/>
          <w:color w:val="001042"/>
        </w:rPr>
      </w:pPr>
      <w:hyperlink w:anchor="_Toc229131310" w:history="1">
        <w:r w:rsidRPr="00711919">
          <w:rPr>
            <w:rStyle w:val="Lienhypertexte"/>
            <w:rFonts w:asciiTheme="minorHAnsi" w:hAnsiTheme="minorHAnsi"/>
            <w:color w:val="001042"/>
          </w:rPr>
          <w:t>10</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Ce que dénoncent les personnes plaignantes</w:t>
        </w:r>
        <w:r w:rsidRPr="0080713B">
          <w:rPr>
            <w:rFonts w:asciiTheme="minorHAnsi" w:hAnsiTheme="minorHAnsi"/>
            <w:b w:val="0"/>
            <w:bCs w:val="0"/>
            <w:webHidden/>
            <w:color w:val="001042"/>
          </w:rPr>
          <w:tab/>
        </w:r>
        <w:r w:rsidRPr="0080713B">
          <w:rPr>
            <w:rFonts w:asciiTheme="minorHAnsi" w:hAnsiTheme="minorHAnsi"/>
            <w:b w:val="0"/>
            <w:bCs w:val="0"/>
            <w:webHidden/>
            <w:color w:val="001042"/>
          </w:rPr>
          <w:fldChar w:fldCharType="begin"/>
        </w:r>
        <w:r w:rsidRPr="0080713B">
          <w:rPr>
            <w:rFonts w:asciiTheme="minorHAnsi" w:hAnsiTheme="minorHAnsi"/>
            <w:b w:val="0"/>
            <w:bCs w:val="0"/>
            <w:webHidden/>
            <w:color w:val="001042"/>
          </w:rPr>
          <w:instrText xml:space="preserve"> PAGEREF _Toc229131310 \h </w:instrText>
        </w:r>
        <w:r w:rsidRPr="0080713B">
          <w:rPr>
            <w:rFonts w:asciiTheme="minorHAnsi" w:hAnsiTheme="minorHAnsi"/>
            <w:b w:val="0"/>
            <w:bCs w:val="0"/>
            <w:webHidden/>
            <w:color w:val="001042"/>
          </w:rPr>
        </w:r>
        <w:r w:rsidRPr="0080713B">
          <w:rPr>
            <w:rFonts w:asciiTheme="minorHAnsi" w:hAnsiTheme="minorHAnsi"/>
            <w:b w:val="0"/>
            <w:bCs w:val="0"/>
            <w:webHidden/>
            <w:color w:val="001042"/>
          </w:rPr>
          <w:fldChar w:fldCharType="separate"/>
        </w:r>
        <w:r w:rsidR="00FC231E">
          <w:rPr>
            <w:rFonts w:asciiTheme="minorHAnsi" w:hAnsiTheme="minorHAnsi"/>
            <w:b w:val="0"/>
            <w:bCs w:val="0"/>
            <w:webHidden/>
            <w:color w:val="001042"/>
          </w:rPr>
          <w:t>69</w:t>
        </w:r>
        <w:r w:rsidRPr="0080713B">
          <w:rPr>
            <w:rFonts w:asciiTheme="minorHAnsi" w:hAnsiTheme="minorHAnsi"/>
            <w:b w:val="0"/>
            <w:bCs w:val="0"/>
            <w:webHidden/>
            <w:color w:val="001042"/>
          </w:rPr>
          <w:fldChar w:fldCharType="end"/>
        </w:r>
      </w:hyperlink>
    </w:p>
    <w:p w14:paraId="2F7D0CF6" w14:textId="77777777" w:rsidR="00711919" w:rsidRPr="00711919" w:rsidRDefault="00711919" w:rsidP="00711919">
      <w:pPr>
        <w:rPr>
          <w:rFonts w:asciiTheme="minorHAnsi" w:hAnsiTheme="minorHAnsi"/>
          <w:noProof/>
          <w:color w:val="001042"/>
          <w:lang w:eastAsia="fr-CA"/>
        </w:rPr>
      </w:pPr>
    </w:p>
    <w:p w14:paraId="0D64644A" w14:textId="27177CE1" w:rsidR="00B06AAE" w:rsidRPr="00711919" w:rsidRDefault="00B06AAE">
      <w:pPr>
        <w:pStyle w:val="TM2"/>
        <w:rPr>
          <w:rFonts w:eastAsiaTheme="minorEastAsia"/>
          <w:bCs w:val="0"/>
          <w:color w:val="001042"/>
          <w:kern w:val="2"/>
          <w:lang w:eastAsia="fr-CA"/>
          <w14:ligatures w14:val="standardContextual"/>
        </w:rPr>
      </w:pPr>
      <w:hyperlink w:anchor="_Toc229131311" w:history="1">
        <w:r w:rsidRPr="00711919">
          <w:rPr>
            <w:rStyle w:val="Lienhypertexte"/>
            <w:color w:val="001042"/>
          </w:rPr>
          <w:t>10.1</w:t>
        </w:r>
        <w:r w:rsidRPr="00711919">
          <w:rPr>
            <w:rFonts w:eastAsiaTheme="minorEastAsia"/>
            <w:bCs w:val="0"/>
            <w:color w:val="001042"/>
            <w:kern w:val="2"/>
            <w:lang w:eastAsia="fr-CA"/>
            <w14:ligatures w14:val="standardContextual"/>
          </w:rPr>
          <w:tab/>
        </w:r>
        <w:r w:rsidRPr="00711919">
          <w:rPr>
            <w:rStyle w:val="Lienhypertexte"/>
            <w:color w:val="001042"/>
          </w:rPr>
          <w:t>Les atteintes aux droits alléguées : majoritairement des congédiements et des climats de travail discriminatoires</w:t>
        </w:r>
        <w:r w:rsidRPr="00711919">
          <w:rPr>
            <w:webHidden/>
            <w:color w:val="001042"/>
          </w:rPr>
          <w:tab/>
        </w:r>
        <w:r w:rsidRPr="00711919">
          <w:rPr>
            <w:webHidden/>
            <w:color w:val="001042"/>
          </w:rPr>
          <w:fldChar w:fldCharType="begin"/>
        </w:r>
        <w:r w:rsidRPr="00711919">
          <w:rPr>
            <w:webHidden/>
            <w:color w:val="001042"/>
          </w:rPr>
          <w:instrText xml:space="preserve"> PAGEREF _Toc229131311 \h </w:instrText>
        </w:r>
        <w:r w:rsidRPr="00711919">
          <w:rPr>
            <w:webHidden/>
            <w:color w:val="001042"/>
          </w:rPr>
        </w:r>
        <w:r w:rsidRPr="00711919">
          <w:rPr>
            <w:webHidden/>
            <w:color w:val="001042"/>
          </w:rPr>
          <w:fldChar w:fldCharType="separate"/>
        </w:r>
        <w:r w:rsidR="00FC231E">
          <w:rPr>
            <w:webHidden/>
            <w:color w:val="001042"/>
          </w:rPr>
          <w:t>69</w:t>
        </w:r>
        <w:r w:rsidRPr="00711919">
          <w:rPr>
            <w:webHidden/>
            <w:color w:val="001042"/>
          </w:rPr>
          <w:fldChar w:fldCharType="end"/>
        </w:r>
      </w:hyperlink>
    </w:p>
    <w:p w14:paraId="5F68227A" w14:textId="51579CE0" w:rsidR="00B06AAE" w:rsidRPr="00711919" w:rsidRDefault="00B06AAE">
      <w:pPr>
        <w:pStyle w:val="TM2"/>
        <w:rPr>
          <w:rFonts w:eastAsiaTheme="minorEastAsia"/>
          <w:bCs w:val="0"/>
          <w:color w:val="001042"/>
          <w:kern w:val="2"/>
          <w:lang w:eastAsia="fr-CA"/>
          <w14:ligatures w14:val="standardContextual"/>
        </w:rPr>
      </w:pPr>
      <w:hyperlink w:anchor="_Toc229131312" w:history="1">
        <w:r w:rsidRPr="00711919">
          <w:rPr>
            <w:rStyle w:val="Lienhypertexte"/>
            <w:color w:val="001042"/>
          </w:rPr>
          <w:t>10.2</w:t>
        </w:r>
        <w:r w:rsidRPr="00711919">
          <w:rPr>
            <w:rFonts w:eastAsiaTheme="minorEastAsia"/>
            <w:bCs w:val="0"/>
            <w:color w:val="001042"/>
            <w:kern w:val="2"/>
            <w:lang w:eastAsia="fr-CA"/>
            <w14:ligatures w14:val="standardContextual"/>
          </w:rPr>
          <w:tab/>
        </w:r>
        <w:r w:rsidRPr="00711919">
          <w:rPr>
            <w:rStyle w:val="Lienhypertexte"/>
            <w:color w:val="001042"/>
          </w:rPr>
          <w:t>Les manifestations alléguées d’homophobie et de transphobie</w:t>
        </w:r>
        <w:r w:rsidRPr="00711919">
          <w:rPr>
            <w:webHidden/>
            <w:color w:val="001042"/>
          </w:rPr>
          <w:tab/>
        </w:r>
        <w:r w:rsidRPr="00711919">
          <w:rPr>
            <w:webHidden/>
            <w:color w:val="001042"/>
          </w:rPr>
          <w:fldChar w:fldCharType="begin"/>
        </w:r>
        <w:r w:rsidRPr="00711919">
          <w:rPr>
            <w:webHidden/>
            <w:color w:val="001042"/>
          </w:rPr>
          <w:instrText xml:space="preserve"> PAGEREF _Toc229131312 \h </w:instrText>
        </w:r>
        <w:r w:rsidRPr="00711919">
          <w:rPr>
            <w:webHidden/>
            <w:color w:val="001042"/>
          </w:rPr>
        </w:r>
        <w:r w:rsidRPr="00711919">
          <w:rPr>
            <w:webHidden/>
            <w:color w:val="001042"/>
          </w:rPr>
          <w:fldChar w:fldCharType="separate"/>
        </w:r>
        <w:r w:rsidR="00FC231E">
          <w:rPr>
            <w:webHidden/>
            <w:color w:val="001042"/>
          </w:rPr>
          <w:t>74</w:t>
        </w:r>
        <w:r w:rsidRPr="00711919">
          <w:rPr>
            <w:webHidden/>
            <w:color w:val="001042"/>
          </w:rPr>
          <w:fldChar w:fldCharType="end"/>
        </w:r>
      </w:hyperlink>
    </w:p>
    <w:p w14:paraId="38FF99FB" w14:textId="2D65BF24" w:rsidR="00B06AAE" w:rsidRPr="00711919" w:rsidRDefault="00B06AAE">
      <w:pPr>
        <w:pStyle w:val="TM2"/>
        <w:rPr>
          <w:rFonts w:eastAsiaTheme="minorEastAsia"/>
          <w:bCs w:val="0"/>
          <w:color w:val="001042"/>
          <w:kern w:val="2"/>
          <w:lang w:eastAsia="fr-CA"/>
          <w14:ligatures w14:val="standardContextual"/>
        </w:rPr>
      </w:pPr>
      <w:hyperlink w:anchor="_Toc229131313" w:history="1">
        <w:r w:rsidRPr="00711919">
          <w:rPr>
            <w:rStyle w:val="Lienhypertexte"/>
            <w:color w:val="001042"/>
          </w:rPr>
          <w:t>10.3</w:t>
        </w:r>
        <w:r w:rsidRPr="00711919">
          <w:rPr>
            <w:rFonts w:eastAsiaTheme="minorEastAsia"/>
            <w:bCs w:val="0"/>
            <w:color w:val="001042"/>
            <w:kern w:val="2"/>
            <w:lang w:eastAsia="fr-CA"/>
            <w14:ligatures w14:val="standardContextual"/>
          </w:rPr>
          <w:tab/>
        </w:r>
        <w:r w:rsidRPr="00711919">
          <w:rPr>
            <w:rStyle w:val="Lienhypertexte"/>
            <w:color w:val="001042"/>
          </w:rPr>
          <w:t>Les propos dénoncés</w:t>
        </w:r>
        <w:r w:rsidRPr="00711919">
          <w:rPr>
            <w:webHidden/>
            <w:color w:val="001042"/>
          </w:rPr>
          <w:tab/>
        </w:r>
        <w:r w:rsidRPr="00711919">
          <w:rPr>
            <w:webHidden/>
            <w:color w:val="001042"/>
          </w:rPr>
          <w:fldChar w:fldCharType="begin"/>
        </w:r>
        <w:r w:rsidRPr="00711919">
          <w:rPr>
            <w:webHidden/>
            <w:color w:val="001042"/>
          </w:rPr>
          <w:instrText xml:space="preserve"> PAGEREF _Toc229131313 \h </w:instrText>
        </w:r>
        <w:r w:rsidRPr="00711919">
          <w:rPr>
            <w:webHidden/>
            <w:color w:val="001042"/>
          </w:rPr>
        </w:r>
        <w:r w:rsidRPr="00711919">
          <w:rPr>
            <w:webHidden/>
            <w:color w:val="001042"/>
          </w:rPr>
          <w:fldChar w:fldCharType="separate"/>
        </w:r>
        <w:r w:rsidR="00FC231E">
          <w:rPr>
            <w:webHidden/>
            <w:color w:val="001042"/>
          </w:rPr>
          <w:t>76</w:t>
        </w:r>
        <w:r w:rsidRPr="00711919">
          <w:rPr>
            <w:webHidden/>
            <w:color w:val="001042"/>
          </w:rPr>
          <w:fldChar w:fldCharType="end"/>
        </w:r>
      </w:hyperlink>
    </w:p>
    <w:p w14:paraId="40C30F18" w14:textId="46DDD067"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14" w:history="1">
        <w:r w:rsidRPr="00711919">
          <w:rPr>
            <w:rStyle w:val="Lienhypertexte"/>
            <w:rFonts w:asciiTheme="minorHAnsi" w:hAnsiTheme="minorHAnsi"/>
            <w:noProof/>
            <w:color w:val="001042"/>
          </w:rPr>
          <w:t>10.3.1</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préjugés et stéréotypes récurrents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_Toc229131314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76</w:t>
        </w:r>
        <w:r w:rsidRPr="00711919">
          <w:rPr>
            <w:rFonts w:asciiTheme="minorHAnsi" w:hAnsiTheme="minorHAnsi"/>
            <w:noProof/>
            <w:webHidden/>
            <w:color w:val="001042"/>
          </w:rPr>
          <w:fldChar w:fldCharType="end"/>
        </w:r>
      </w:hyperlink>
    </w:p>
    <w:p w14:paraId="1626EE8D" w14:textId="63FAEFEF"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315" w:history="1">
        <w:r w:rsidRPr="00711919">
          <w:rPr>
            <w:rStyle w:val="Lienhypertexte"/>
            <w:rFonts w:asciiTheme="minorHAnsi" w:hAnsiTheme="minorHAnsi"/>
            <w:noProof/>
            <w:color w:val="001042"/>
          </w:rPr>
          <w:t>A.</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stéréotypes traditionnels de genre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_Toc229131315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76</w:t>
        </w:r>
        <w:r w:rsidRPr="00711919">
          <w:rPr>
            <w:rFonts w:asciiTheme="minorHAnsi" w:hAnsiTheme="minorHAnsi"/>
            <w:noProof/>
            <w:webHidden/>
            <w:color w:val="001042"/>
          </w:rPr>
          <w:fldChar w:fldCharType="end"/>
        </w:r>
      </w:hyperlink>
    </w:p>
    <w:p w14:paraId="6E9A6119" w14:textId="0206E7AB"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316" w:history="1">
        <w:r w:rsidRPr="00711919">
          <w:rPr>
            <w:rStyle w:val="Lienhypertexte"/>
            <w:rFonts w:asciiTheme="minorHAnsi" w:hAnsiTheme="minorHAnsi"/>
            <w:noProof/>
            <w:color w:val="001042"/>
          </w:rPr>
          <w:t>B.</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L’hypersexualisation</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_Toc229131316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77</w:t>
        </w:r>
        <w:r w:rsidRPr="00711919">
          <w:rPr>
            <w:rFonts w:asciiTheme="minorHAnsi" w:hAnsiTheme="minorHAnsi"/>
            <w:noProof/>
            <w:webHidden/>
            <w:color w:val="001042"/>
          </w:rPr>
          <w:fldChar w:fldCharType="end"/>
        </w:r>
      </w:hyperlink>
    </w:p>
    <w:p w14:paraId="338C0008" w14:textId="5583CF93"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317" w:history="1">
        <w:r w:rsidRPr="00711919">
          <w:rPr>
            <w:rStyle w:val="Lienhypertexte"/>
            <w:rFonts w:asciiTheme="minorHAnsi" w:hAnsiTheme="minorHAnsi"/>
            <w:noProof/>
            <w:color w:val="001042"/>
          </w:rPr>
          <w:t>C.</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La menace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_Toc229131317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78</w:t>
        </w:r>
        <w:r w:rsidRPr="00711919">
          <w:rPr>
            <w:rFonts w:asciiTheme="minorHAnsi" w:hAnsiTheme="minorHAnsi"/>
            <w:noProof/>
            <w:webHidden/>
            <w:color w:val="001042"/>
          </w:rPr>
          <w:fldChar w:fldCharType="end"/>
        </w:r>
      </w:hyperlink>
    </w:p>
    <w:p w14:paraId="1CEA07CD" w14:textId="7CFE7961" w:rsidR="00B06AAE" w:rsidRPr="00711919" w:rsidRDefault="00B06AAE">
      <w:pPr>
        <w:pStyle w:val="TM4"/>
        <w:rPr>
          <w:rFonts w:asciiTheme="minorHAnsi" w:eastAsiaTheme="minorEastAsia" w:hAnsiTheme="minorHAnsi"/>
          <w:noProof/>
          <w:color w:val="001042"/>
          <w:kern w:val="2"/>
          <w:lang w:eastAsia="fr-CA"/>
          <w14:ligatures w14:val="standardContextual"/>
        </w:rPr>
      </w:pPr>
      <w:hyperlink w:anchor="_Toc229131318" w:history="1">
        <w:r w:rsidRPr="00711919">
          <w:rPr>
            <w:rStyle w:val="Lienhypertexte"/>
            <w:rFonts w:asciiTheme="minorHAnsi" w:hAnsiTheme="minorHAnsi"/>
            <w:noProof/>
            <w:color w:val="001042"/>
          </w:rPr>
          <w:t>D.</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La pathologisation</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_Toc229131318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79</w:t>
        </w:r>
        <w:r w:rsidRPr="00711919">
          <w:rPr>
            <w:rFonts w:asciiTheme="minorHAnsi" w:hAnsiTheme="minorHAnsi"/>
            <w:noProof/>
            <w:webHidden/>
            <w:color w:val="001042"/>
          </w:rPr>
          <w:fldChar w:fldCharType="end"/>
        </w:r>
      </w:hyperlink>
    </w:p>
    <w:p w14:paraId="593A1598" w14:textId="047E41D3"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19" w:history="1">
        <w:r w:rsidRPr="00711919">
          <w:rPr>
            <w:rStyle w:val="Lienhypertexte"/>
            <w:rFonts w:asciiTheme="minorHAnsi" w:hAnsiTheme="minorHAnsi"/>
            <w:noProof/>
            <w:color w:val="001042"/>
          </w:rPr>
          <w:t>10.3.2</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 dévoilement de l’orientation sexuelle et/ou de l’identité de genre au travail</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_Toc229131319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79</w:t>
        </w:r>
        <w:r w:rsidRPr="00711919">
          <w:rPr>
            <w:rFonts w:asciiTheme="minorHAnsi" w:hAnsiTheme="minorHAnsi"/>
            <w:noProof/>
            <w:webHidden/>
            <w:color w:val="001042"/>
          </w:rPr>
          <w:fldChar w:fldCharType="end"/>
        </w:r>
      </w:hyperlink>
    </w:p>
    <w:p w14:paraId="245B450F" w14:textId="7A60AA57"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20" w:history="1">
        <w:r w:rsidRPr="00711919">
          <w:rPr>
            <w:rStyle w:val="Lienhypertexte"/>
            <w:rFonts w:asciiTheme="minorHAnsi" w:hAnsiTheme="minorHAnsi"/>
            <w:noProof/>
            <w:color w:val="001042"/>
          </w:rPr>
          <w:t>10.3.3</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blagues et moqueries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_Toc229131320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82</w:t>
        </w:r>
        <w:r w:rsidRPr="00711919">
          <w:rPr>
            <w:rFonts w:asciiTheme="minorHAnsi" w:hAnsiTheme="minorHAnsi"/>
            <w:noProof/>
            <w:webHidden/>
            <w:color w:val="001042"/>
          </w:rPr>
          <w:fldChar w:fldCharType="end"/>
        </w:r>
      </w:hyperlink>
    </w:p>
    <w:p w14:paraId="5C7505F2" w14:textId="1FCB7400"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21" w:history="1">
        <w:r w:rsidRPr="00711919">
          <w:rPr>
            <w:rStyle w:val="Lienhypertexte"/>
            <w:rFonts w:asciiTheme="minorHAnsi" w:hAnsiTheme="minorHAnsi"/>
            <w:noProof/>
            <w:color w:val="001042"/>
          </w:rPr>
          <w:t>10.3.4</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 mégenrage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_Toc229131321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83</w:t>
        </w:r>
        <w:r w:rsidRPr="00711919">
          <w:rPr>
            <w:rFonts w:asciiTheme="minorHAnsi" w:hAnsiTheme="minorHAnsi"/>
            <w:noProof/>
            <w:webHidden/>
            <w:color w:val="001042"/>
          </w:rPr>
          <w:fldChar w:fldCharType="end"/>
        </w:r>
      </w:hyperlink>
    </w:p>
    <w:p w14:paraId="10720948" w14:textId="2B373689"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22" w:history="1">
        <w:r w:rsidRPr="00711919">
          <w:rPr>
            <w:rStyle w:val="Lienhypertexte"/>
            <w:rFonts w:asciiTheme="minorHAnsi" w:hAnsiTheme="minorHAnsi"/>
            <w:noProof/>
            <w:color w:val="001042"/>
          </w:rPr>
          <w:t>10.3.5</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 rôle de l’expression de genre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_Toc229131322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84</w:t>
        </w:r>
        <w:r w:rsidRPr="00711919">
          <w:rPr>
            <w:rFonts w:asciiTheme="minorHAnsi" w:hAnsiTheme="minorHAnsi"/>
            <w:noProof/>
            <w:webHidden/>
            <w:color w:val="001042"/>
          </w:rPr>
          <w:fldChar w:fldCharType="end"/>
        </w:r>
      </w:hyperlink>
    </w:p>
    <w:p w14:paraId="01DAC602" w14:textId="53323F6C" w:rsidR="00B06AAE" w:rsidRPr="00711919" w:rsidRDefault="00B06AAE">
      <w:pPr>
        <w:pStyle w:val="TM2"/>
        <w:rPr>
          <w:rFonts w:eastAsiaTheme="minorEastAsia"/>
          <w:bCs w:val="0"/>
          <w:color w:val="001042"/>
          <w:kern w:val="2"/>
          <w:lang w:eastAsia="fr-CA"/>
          <w14:ligatures w14:val="standardContextual"/>
        </w:rPr>
      </w:pPr>
      <w:hyperlink w:anchor="_Toc229131323" w:history="1">
        <w:r w:rsidRPr="00711919">
          <w:rPr>
            <w:rStyle w:val="Lienhypertexte"/>
            <w:color w:val="001042"/>
          </w:rPr>
          <w:t>10.4</w:t>
        </w:r>
        <w:r w:rsidRPr="00711919">
          <w:rPr>
            <w:rFonts w:eastAsiaTheme="minorEastAsia"/>
            <w:bCs w:val="0"/>
            <w:color w:val="001042"/>
            <w:kern w:val="2"/>
            <w:lang w:eastAsia="fr-CA"/>
            <w14:ligatures w14:val="standardContextual"/>
          </w:rPr>
          <w:tab/>
        </w:r>
        <w:r w:rsidRPr="00711919">
          <w:rPr>
            <w:rStyle w:val="Lienhypertexte"/>
            <w:color w:val="001042"/>
          </w:rPr>
          <w:t>Les conduites dénoncées</w:t>
        </w:r>
        <w:r w:rsidRPr="00711919">
          <w:rPr>
            <w:webHidden/>
            <w:color w:val="001042"/>
          </w:rPr>
          <w:tab/>
        </w:r>
        <w:r w:rsidRPr="00711919">
          <w:rPr>
            <w:webHidden/>
            <w:color w:val="001042"/>
          </w:rPr>
          <w:fldChar w:fldCharType="begin"/>
        </w:r>
        <w:r w:rsidRPr="00711919">
          <w:rPr>
            <w:webHidden/>
            <w:color w:val="001042"/>
          </w:rPr>
          <w:instrText xml:space="preserve"> PAGEREF _Toc229131323 \h </w:instrText>
        </w:r>
        <w:r w:rsidRPr="00711919">
          <w:rPr>
            <w:webHidden/>
            <w:color w:val="001042"/>
          </w:rPr>
        </w:r>
        <w:r w:rsidRPr="00711919">
          <w:rPr>
            <w:webHidden/>
            <w:color w:val="001042"/>
          </w:rPr>
          <w:fldChar w:fldCharType="separate"/>
        </w:r>
        <w:r w:rsidR="00FC231E">
          <w:rPr>
            <w:webHidden/>
            <w:color w:val="001042"/>
          </w:rPr>
          <w:t>86</w:t>
        </w:r>
        <w:r w:rsidRPr="00711919">
          <w:rPr>
            <w:webHidden/>
            <w:color w:val="001042"/>
          </w:rPr>
          <w:fldChar w:fldCharType="end"/>
        </w:r>
      </w:hyperlink>
    </w:p>
    <w:p w14:paraId="40EAECB4" w14:textId="0AF4A0A8" w:rsidR="00B06AAE" w:rsidRPr="00711919" w:rsidRDefault="00B06AAE">
      <w:pPr>
        <w:pStyle w:val="TM2"/>
        <w:rPr>
          <w:rFonts w:eastAsiaTheme="minorEastAsia"/>
          <w:bCs w:val="0"/>
          <w:color w:val="001042"/>
          <w:kern w:val="2"/>
          <w:lang w:eastAsia="fr-CA"/>
          <w14:ligatures w14:val="standardContextual"/>
        </w:rPr>
      </w:pPr>
      <w:hyperlink w:anchor="_Toc229131324" w:history="1">
        <w:r w:rsidRPr="00711919">
          <w:rPr>
            <w:rStyle w:val="Lienhypertexte"/>
            <w:color w:val="001042"/>
          </w:rPr>
          <w:t>10.5</w:t>
        </w:r>
        <w:r w:rsidRPr="00711919">
          <w:rPr>
            <w:rFonts w:eastAsiaTheme="minorEastAsia"/>
            <w:bCs w:val="0"/>
            <w:color w:val="001042"/>
            <w:kern w:val="2"/>
            <w:lang w:eastAsia="fr-CA"/>
            <w14:ligatures w14:val="standardContextual"/>
          </w:rPr>
          <w:tab/>
        </w:r>
        <w:r w:rsidRPr="00711919">
          <w:rPr>
            <w:rStyle w:val="Lienhypertexte"/>
            <w:color w:val="001042"/>
          </w:rPr>
          <w:t>Les normes dénoncées</w:t>
        </w:r>
        <w:r w:rsidRPr="00711919">
          <w:rPr>
            <w:webHidden/>
            <w:color w:val="001042"/>
          </w:rPr>
          <w:tab/>
        </w:r>
        <w:r w:rsidRPr="00711919">
          <w:rPr>
            <w:webHidden/>
            <w:color w:val="001042"/>
          </w:rPr>
          <w:fldChar w:fldCharType="begin"/>
        </w:r>
        <w:r w:rsidRPr="00711919">
          <w:rPr>
            <w:webHidden/>
            <w:color w:val="001042"/>
          </w:rPr>
          <w:instrText xml:space="preserve"> PAGEREF _Toc229131324 \h </w:instrText>
        </w:r>
        <w:r w:rsidRPr="00711919">
          <w:rPr>
            <w:webHidden/>
            <w:color w:val="001042"/>
          </w:rPr>
        </w:r>
        <w:r w:rsidRPr="00711919">
          <w:rPr>
            <w:webHidden/>
            <w:color w:val="001042"/>
          </w:rPr>
          <w:fldChar w:fldCharType="separate"/>
        </w:r>
        <w:r w:rsidR="00FC231E">
          <w:rPr>
            <w:webHidden/>
            <w:color w:val="001042"/>
          </w:rPr>
          <w:t>86</w:t>
        </w:r>
        <w:r w:rsidRPr="00711919">
          <w:rPr>
            <w:webHidden/>
            <w:color w:val="001042"/>
          </w:rPr>
          <w:fldChar w:fldCharType="end"/>
        </w:r>
      </w:hyperlink>
    </w:p>
    <w:p w14:paraId="0F879528" w14:textId="483532A3" w:rsidR="00B06AAE" w:rsidRPr="00711919" w:rsidRDefault="00B06AAE">
      <w:pPr>
        <w:pStyle w:val="TM2"/>
        <w:rPr>
          <w:rFonts w:eastAsiaTheme="minorEastAsia"/>
          <w:bCs w:val="0"/>
          <w:color w:val="001042"/>
          <w:kern w:val="2"/>
          <w:lang w:eastAsia="fr-CA"/>
          <w14:ligatures w14:val="standardContextual"/>
        </w:rPr>
      </w:pPr>
      <w:hyperlink w:anchor="_Toc229131325" w:history="1">
        <w:r w:rsidRPr="00711919">
          <w:rPr>
            <w:rStyle w:val="Lienhypertexte"/>
            <w:color w:val="001042"/>
          </w:rPr>
          <w:t>10.6</w:t>
        </w:r>
        <w:r w:rsidRPr="00711919">
          <w:rPr>
            <w:rFonts w:eastAsiaTheme="minorEastAsia"/>
            <w:bCs w:val="0"/>
            <w:color w:val="001042"/>
            <w:kern w:val="2"/>
            <w:lang w:eastAsia="fr-CA"/>
            <w14:ligatures w14:val="standardContextual"/>
          </w:rPr>
          <w:tab/>
        </w:r>
        <w:r w:rsidRPr="00711919">
          <w:rPr>
            <w:rStyle w:val="Lienhypertexte"/>
            <w:color w:val="001042"/>
          </w:rPr>
          <w:t>Les climats de travail dénoncés</w:t>
        </w:r>
        <w:r w:rsidRPr="00711919">
          <w:rPr>
            <w:webHidden/>
            <w:color w:val="001042"/>
          </w:rPr>
          <w:tab/>
        </w:r>
        <w:r w:rsidRPr="00711919">
          <w:rPr>
            <w:webHidden/>
            <w:color w:val="001042"/>
          </w:rPr>
          <w:fldChar w:fldCharType="begin"/>
        </w:r>
        <w:r w:rsidRPr="00711919">
          <w:rPr>
            <w:webHidden/>
            <w:color w:val="001042"/>
          </w:rPr>
          <w:instrText xml:space="preserve"> PAGEREF _Toc229131325 \h </w:instrText>
        </w:r>
        <w:r w:rsidRPr="00711919">
          <w:rPr>
            <w:webHidden/>
            <w:color w:val="001042"/>
          </w:rPr>
        </w:r>
        <w:r w:rsidRPr="00711919">
          <w:rPr>
            <w:webHidden/>
            <w:color w:val="001042"/>
          </w:rPr>
          <w:fldChar w:fldCharType="separate"/>
        </w:r>
        <w:r w:rsidR="00FC231E">
          <w:rPr>
            <w:webHidden/>
            <w:color w:val="001042"/>
          </w:rPr>
          <w:t>87</w:t>
        </w:r>
        <w:r w:rsidRPr="00711919">
          <w:rPr>
            <w:webHidden/>
            <w:color w:val="001042"/>
          </w:rPr>
          <w:fldChar w:fldCharType="end"/>
        </w:r>
      </w:hyperlink>
    </w:p>
    <w:p w14:paraId="5F71C8E4" w14:textId="0931EC3B" w:rsidR="00B06AAE" w:rsidRPr="00711919" w:rsidRDefault="00B06AAE">
      <w:pPr>
        <w:pStyle w:val="TM2"/>
        <w:rPr>
          <w:rFonts w:eastAsiaTheme="minorEastAsia"/>
          <w:bCs w:val="0"/>
          <w:color w:val="001042"/>
          <w:kern w:val="2"/>
          <w:lang w:eastAsia="fr-CA"/>
          <w14:ligatures w14:val="standardContextual"/>
        </w:rPr>
      </w:pPr>
      <w:hyperlink w:anchor="_Toc229131326" w:history="1">
        <w:r w:rsidRPr="00711919">
          <w:rPr>
            <w:rStyle w:val="Lienhypertexte"/>
            <w:color w:val="001042"/>
          </w:rPr>
          <w:t>10.7</w:t>
        </w:r>
        <w:r w:rsidRPr="00711919">
          <w:rPr>
            <w:rFonts w:eastAsiaTheme="minorEastAsia"/>
            <w:bCs w:val="0"/>
            <w:color w:val="001042"/>
            <w:kern w:val="2"/>
            <w:lang w:eastAsia="fr-CA"/>
            <w14:ligatures w14:val="standardContextual"/>
          </w:rPr>
          <w:tab/>
        </w:r>
        <w:r w:rsidRPr="00711919">
          <w:rPr>
            <w:rStyle w:val="Lienhypertexte"/>
            <w:color w:val="001042"/>
          </w:rPr>
          <w:t>Des enjeux spécifiques dans certains contextes</w:t>
        </w:r>
        <w:r w:rsidRPr="00711919">
          <w:rPr>
            <w:webHidden/>
            <w:color w:val="001042"/>
          </w:rPr>
          <w:tab/>
        </w:r>
        <w:r w:rsidRPr="00711919">
          <w:rPr>
            <w:webHidden/>
            <w:color w:val="001042"/>
          </w:rPr>
          <w:fldChar w:fldCharType="begin"/>
        </w:r>
        <w:r w:rsidRPr="00711919">
          <w:rPr>
            <w:webHidden/>
            <w:color w:val="001042"/>
          </w:rPr>
          <w:instrText xml:space="preserve"> PAGEREF _Toc229131326 \h </w:instrText>
        </w:r>
        <w:r w:rsidRPr="00711919">
          <w:rPr>
            <w:webHidden/>
            <w:color w:val="001042"/>
          </w:rPr>
        </w:r>
        <w:r w:rsidRPr="00711919">
          <w:rPr>
            <w:webHidden/>
            <w:color w:val="001042"/>
          </w:rPr>
          <w:fldChar w:fldCharType="separate"/>
        </w:r>
        <w:r w:rsidR="00FC231E">
          <w:rPr>
            <w:webHidden/>
            <w:color w:val="001042"/>
          </w:rPr>
          <w:t>90</w:t>
        </w:r>
        <w:r w:rsidRPr="00711919">
          <w:rPr>
            <w:webHidden/>
            <w:color w:val="001042"/>
          </w:rPr>
          <w:fldChar w:fldCharType="end"/>
        </w:r>
      </w:hyperlink>
    </w:p>
    <w:p w14:paraId="2B34B6DC" w14:textId="72FE993F"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27" w:history="1">
        <w:r w:rsidRPr="00711919">
          <w:rPr>
            <w:rStyle w:val="Lienhypertexte"/>
            <w:rFonts w:asciiTheme="minorHAnsi" w:hAnsiTheme="minorHAnsi"/>
            <w:noProof/>
            <w:color w:val="001042"/>
          </w:rPr>
          <w:t>10.7.1</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emplois de service à la clientèle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_Toc229131327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90</w:t>
        </w:r>
        <w:r w:rsidRPr="00711919">
          <w:rPr>
            <w:rFonts w:asciiTheme="minorHAnsi" w:hAnsiTheme="minorHAnsi"/>
            <w:noProof/>
            <w:webHidden/>
            <w:color w:val="001042"/>
          </w:rPr>
          <w:fldChar w:fldCharType="end"/>
        </w:r>
      </w:hyperlink>
    </w:p>
    <w:p w14:paraId="2057DC35" w14:textId="434C8808"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28" w:history="1">
        <w:r w:rsidRPr="00711919">
          <w:rPr>
            <w:rStyle w:val="Lienhypertexte"/>
            <w:rFonts w:asciiTheme="minorHAnsi" w:hAnsiTheme="minorHAnsi"/>
            <w:noProof/>
            <w:color w:val="001042"/>
          </w:rPr>
          <w:t>10.7.2</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milieux de travail hors des grands centres urbains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_Toc229131328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91</w:t>
        </w:r>
        <w:r w:rsidRPr="00711919">
          <w:rPr>
            <w:rFonts w:asciiTheme="minorHAnsi" w:hAnsiTheme="minorHAnsi"/>
            <w:noProof/>
            <w:webHidden/>
            <w:color w:val="001042"/>
          </w:rPr>
          <w:fldChar w:fldCharType="end"/>
        </w:r>
      </w:hyperlink>
    </w:p>
    <w:p w14:paraId="65A79F44" w14:textId="7D17EA55"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29" w:history="1">
        <w:r w:rsidRPr="00711919">
          <w:rPr>
            <w:rStyle w:val="Lienhypertexte"/>
            <w:rFonts w:asciiTheme="minorHAnsi" w:hAnsiTheme="minorHAnsi"/>
            <w:noProof/>
            <w:color w:val="001042"/>
          </w:rPr>
          <w:t>10.7.3</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milieux de travail dits traditionnellement masculins ou féminins</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_Toc229131329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92</w:t>
        </w:r>
        <w:r w:rsidRPr="00711919">
          <w:rPr>
            <w:rFonts w:asciiTheme="minorHAnsi" w:hAnsiTheme="minorHAnsi"/>
            <w:noProof/>
            <w:webHidden/>
            <w:color w:val="001042"/>
          </w:rPr>
          <w:fldChar w:fldCharType="end"/>
        </w:r>
      </w:hyperlink>
    </w:p>
    <w:p w14:paraId="6A95CE84" w14:textId="2D361847"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30" w:history="1">
        <w:r w:rsidRPr="00711919">
          <w:rPr>
            <w:rStyle w:val="Lienhypertexte"/>
            <w:rFonts w:asciiTheme="minorHAnsi" w:hAnsiTheme="minorHAnsi"/>
            <w:noProof/>
            <w:color w:val="001042"/>
          </w:rPr>
          <w:t>10.7.4</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postes réservés à un sexe ou un genre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_Toc229131330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93</w:t>
        </w:r>
        <w:r w:rsidRPr="00711919">
          <w:rPr>
            <w:rFonts w:asciiTheme="minorHAnsi" w:hAnsiTheme="minorHAnsi"/>
            <w:noProof/>
            <w:webHidden/>
            <w:color w:val="001042"/>
          </w:rPr>
          <w:fldChar w:fldCharType="end"/>
        </w:r>
      </w:hyperlink>
    </w:p>
    <w:p w14:paraId="10207D7D" w14:textId="0F6FB197" w:rsidR="00B06AAE" w:rsidRPr="00711919" w:rsidRDefault="00B06AAE">
      <w:pPr>
        <w:pStyle w:val="TM2"/>
        <w:rPr>
          <w:rFonts w:eastAsiaTheme="minorEastAsia"/>
          <w:bCs w:val="0"/>
          <w:color w:val="001042"/>
          <w:kern w:val="2"/>
          <w:lang w:eastAsia="fr-CA"/>
          <w14:ligatures w14:val="standardContextual"/>
        </w:rPr>
      </w:pPr>
      <w:hyperlink w:anchor="_Toc229131331" w:history="1">
        <w:r w:rsidRPr="00711919">
          <w:rPr>
            <w:rStyle w:val="Lienhypertexte"/>
            <w:color w:val="001042"/>
          </w:rPr>
          <w:t>10.8</w:t>
        </w:r>
        <w:r w:rsidRPr="00711919">
          <w:rPr>
            <w:rFonts w:eastAsiaTheme="minorEastAsia"/>
            <w:bCs w:val="0"/>
            <w:color w:val="001042"/>
            <w:kern w:val="2"/>
            <w:lang w:eastAsia="fr-CA"/>
            <w14:ligatures w14:val="standardContextual"/>
          </w:rPr>
          <w:tab/>
        </w:r>
        <w:r w:rsidRPr="00711919">
          <w:rPr>
            <w:rStyle w:val="Lienhypertexte"/>
            <w:color w:val="001042"/>
          </w:rPr>
          <w:t>Les effets sur les personnes plaignantes et le travail</w:t>
        </w:r>
        <w:r w:rsidRPr="00711919">
          <w:rPr>
            <w:webHidden/>
            <w:color w:val="001042"/>
          </w:rPr>
          <w:tab/>
        </w:r>
        <w:r w:rsidRPr="00711919">
          <w:rPr>
            <w:webHidden/>
            <w:color w:val="001042"/>
          </w:rPr>
          <w:fldChar w:fldCharType="begin"/>
        </w:r>
        <w:r w:rsidRPr="00711919">
          <w:rPr>
            <w:webHidden/>
            <w:color w:val="001042"/>
          </w:rPr>
          <w:instrText xml:space="preserve"> PAGEREF _Toc229131331 \h </w:instrText>
        </w:r>
        <w:r w:rsidRPr="00711919">
          <w:rPr>
            <w:webHidden/>
            <w:color w:val="001042"/>
          </w:rPr>
        </w:r>
        <w:r w:rsidRPr="00711919">
          <w:rPr>
            <w:webHidden/>
            <w:color w:val="001042"/>
          </w:rPr>
          <w:fldChar w:fldCharType="separate"/>
        </w:r>
        <w:r w:rsidR="00FC231E">
          <w:rPr>
            <w:webHidden/>
            <w:color w:val="001042"/>
          </w:rPr>
          <w:t>93</w:t>
        </w:r>
        <w:r w:rsidRPr="00711919">
          <w:rPr>
            <w:webHidden/>
            <w:color w:val="001042"/>
          </w:rPr>
          <w:fldChar w:fldCharType="end"/>
        </w:r>
      </w:hyperlink>
    </w:p>
    <w:p w14:paraId="497AEE97" w14:textId="63E17D60"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32" w:history="1">
        <w:r w:rsidRPr="00711919">
          <w:rPr>
            <w:rStyle w:val="Lienhypertexte"/>
            <w:rFonts w:asciiTheme="minorHAnsi" w:hAnsiTheme="minorHAnsi"/>
            <w:noProof/>
            <w:color w:val="001042"/>
          </w:rPr>
          <w:t>10.8.1</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effets sur les conditions de travail</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_Toc229131332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95</w:t>
        </w:r>
        <w:r w:rsidRPr="00711919">
          <w:rPr>
            <w:rFonts w:asciiTheme="minorHAnsi" w:hAnsiTheme="minorHAnsi"/>
            <w:noProof/>
            <w:webHidden/>
            <w:color w:val="001042"/>
          </w:rPr>
          <w:fldChar w:fldCharType="end"/>
        </w:r>
      </w:hyperlink>
    </w:p>
    <w:p w14:paraId="0C1FE9F4" w14:textId="4B3739ED"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33" w:history="1">
        <w:r w:rsidRPr="00711919">
          <w:rPr>
            <w:rStyle w:val="Lienhypertexte"/>
            <w:rFonts w:asciiTheme="minorHAnsi" w:hAnsiTheme="minorHAnsi"/>
            <w:noProof/>
            <w:color w:val="001042"/>
          </w:rPr>
          <w:t>10.8.2</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effets sur la personne au travail</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_Toc229131333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96</w:t>
        </w:r>
        <w:r w:rsidRPr="00711919">
          <w:rPr>
            <w:rFonts w:asciiTheme="minorHAnsi" w:hAnsiTheme="minorHAnsi"/>
            <w:noProof/>
            <w:webHidden/>
            <w:color w:val="001042"/>
          </w:rPr>
          <w:fldChar w:fldCharType="end"/>
        </w:r>
      </w:hyperlink>
    </w:p>
    <w:p w14:paraId="3F5EF9FA" w14:textId="6CC357DA" w:rsidR="00B06AAE" w:rsidRPr="00711919" w:rsidRDefault="00B06AAE">
      <w:pPr>
        <w:pStyle w:val="TM3"/>
        <w:rPr>
          <w:rFonts w:asciiTheme="minorHAnsi" w:eastAsiaTheme="minorEastAsia" w:hAnsiTheme="minorHAnsi"/>
          <w:noProof/>
          <w:color w:val="001042"/>
          <w:kern w:val="2"/>
          <w:lang w:eastAsia="fr-CA"/>
          <w14:ligatures w14:val="standardContextual"/>
        </w:rPr>
      </w:pPr>
      <w:hyperlink w:anchor="_Toc229131334" w:history="1">
        <w:r w:rsidRPr="00711919">
          <w:rPr>
            <w:rStyle w:val="Lienhypertexte"/>
            <w:rFonts w:asciiTheme="minorHAnsi" w:hAnsiTheme="minorHAnsi"/>
            <w:noProof/>
            <w:color w:val="001042"/>
          </w:rPr>
          <w:t>10.8.3</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effets sur l’exécution du travail</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_Toc229131334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97</w:t>
        </w:r>
        <w:r w:rsidRPr="00711919">
          <w:rPr>
            <w:rFonts w:asciiTheme="minorHAnsi" w:hAnsiTheme="minorHAnsi"/>
            <w:noProof/>
            <w:webHidden/>
            <w:color w:val="001042"/>
          </w:rPr>
          <w:fldChar w:fldCharType="end"/>
        </w:r>
      </w:hyperlink>
    </w:p>
    <w:p w14:paraId="39A8B879" w14:textId="0A4219E9" w:rsidR="00B06AAE" w:rsidRDefault="00B06AAE">
      <w:pPr>
        <w:pStyle w:val="TM3"/>
        <w:rPr>
          <w:noProof/>
        </w:rPr>
      </w:pPr>
      <w:hyperlink w:anchor="_Toc229131335" w:history="1">
        <w:r w:rsidRPr="00711919">
          <w:rPr>
            <w:rStyle w:val="Lienhypertexte"/>
            <w:rFonts w:asciiTheme="minorHAnsi" w:hAnsiTheme="minorHAnsi"/>
            <w:noProof/>
            <w:color w:val="001042"/>
          </w:rPr>
          <w:t>10.8.4</w:t>
        </w:r>
        <w:r w:rsidRPr="00711919">
          <w:rPr>
            <w:rFonts w:asciiTheme="minorHAnsi" w:eastAsiaTheme="minorEastAsia" w:hAnsiTheme="minorHAnsi"/>
            <w:noProof/>
            <w:color w:val="001042"/>
            <w:kern w:val="2"/>
            <w:lang w:eastAsia="fr-CA"/>
            <w14:ligatures w14:val="standardContextual"/>
          </w:rPr>
          <w:tab/>
        </w:r>
        <w:r w:rsidRPr="00711919">
          <w:rPr>
            <w:rStyle w:val="Lienhypertexte"/>
            <w:rFonts w:asciiTheme="minorHAnsi" w:hAnsiTheme="minorHAnsi"/>
            <w:noProof/>
            <w:color w:val="001042"/>
          </w:rPr>
          <w:t>Les effets sur la vie personnelle</w:t>
        </w:r>
        <w:r w:rsidRPr="00711919">
          <w:rPr>
            <w:rFonts w:asciiTheme="minorHAnsi" w:hAnsiTheme="minorHAnsi"/>
            <w:noProof/>
            <w:webHidden/>
            <w:color w:val="001042"/>
          </w:rPr>
          <w:tab/>
        </w:r>
        <w:r w:rsidRPr="00711919">
          <w:rPr>
            <w:rFonts w:asciiTheme="minorHAnsi" w:hAnsiTheme="minorHAnsi"/>
            <w:noProof/>
            <w:webHidden/>
            <w:color w:val="001042"/>
          </w:rPr>
          <w:fldChar w:fldCharType="begin"/>
        </w:r>
        <w:r w:rsidRPr="00711919">
          <w:rPr>
            <w:rFonts w:asciiTheme="minorHAnsi" w:hAnsiTheme="minorHAnsi"/>
            <w:noProof/>
            <w:webHidden/>
            <w:color w:val="001042"/>
          </w:rPr>
          <w:instrText xml:space="preserve"> PAGEREF _Toc229131335 \h </w:instrText>
        </w:r>
        <w:r w:rsidRPr="00711919">
          <w:rPr>
            <w:rFonts w:asciiTheme="minorHAnsi" w:hAnsiTheme="minorHAnsi"/>
            <w:noProof/>
            <w:webHidden/>
            <w:color w:val="001042"/>
          </w:rPr>
        </w:r>
        <w:r w:rsidRPr="00711919">
          <w:rPr>
            <w:rFonts w:asciiTheme="minorHAnsi" w:hAnsiTheme="minorHAnsi"/>
            <w:noProof/>
            <w:webHidden/>
            <w:color w:val="001042"/>
          </w:rPr>
          <w:fldChar w:fldCharType="separate"/>
        </w:r>
        <w:r w:rsidR="00FC231E">
          <w:rPr>
            <w:rFonts w:asciiTheme="minorHAnsi" w:hAnsiTheme="minorHAnsi"/>
            <w:noProof/>
            <w:webHidden/>
            <w:color w:val="001042"/>
          </w:rPr>
          <w:t>97</w:t>
        </w:r>
        <w:r w:rsidRPr="00711919">
          <w:rPr>
            <w:rFonts w:asciiTheme="minorHAnsi" w:hAnsiTheme="minorHAnsi"/>
            <w:noProof/>
            <w:webHidden/>
            <w:color w:val="001042"/>
          </w:rPr>
          <w:fldChar w:fldCharType="end"/>
        </w:r>
      </w:hyperlink>
    </w:p>
    <w:p w14:paraId="60CEAA18" w14:textId="77777777" w:rsidR="00302D72" w:rsidRPr="00302D72" w:rsidRDefault="00302D72" w:rsidP="00302D72">
      <w:pPr>
        <w:rPr>
          <w:noProof/>
        </w:rPr>
      </w:pPr>
    </w:p>
    <w:p w14:paraId="6C4A4A92" w14:textId="77777777" w:rsidR="00711919" w:rsidRPr="00711919" w:rsidRDefault="00711919" w:rsidP="00711919">
      <w:pPr>
        <w:rPr>
          <w:rFonts w:asciiTheme="minorHAnsi" w:hAnsiTheme="minorHAnsi"/>
          <w:noProof/>
          <w:color w:val="001042"/>
          <w:lang w:eastAsia="fr-CA"/>
        </w:rPr>
      </w:pPr>
    </w:p>
    <w:p w14:paraId="18B9CCD5" w14:textId="47965063" w:rsidR="00B06AAE" w:rsidRPr="00711919" w:rsidRDefault="00B06AAE">
      <w:pPr>
        <w:pStyle w:val="TM1"/>
        <w:rPr>
          <w:rStyle w:val="Lienhypertexte"/>
          <w:rFonts w:asciiTheme="minorHAnsi" w:hAnsiTheme="minorHAnsi"/>
          <w:color w:val="001042"/>
        </w:rPr>
      </w:pPr>
      <w:hyperlink w:anchor="_Toc229131336" w:history="1">
        <w:r w:rsidRPr="00711919">
          <w:rPr>
            <w:rStyle w:val="Lienhypertexte"/>
            <w:rFonts w:asciiTheme="minorHAnsi" w:hAnsiTheme="minorHAnsi"/>
            <w:color w:val="001042"/>
          </w:rPr>
          <w:t>11</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Les motifs de fermeture des dossiers</w:t>
        </w:r>
        <w:r w:rsidRPr="0080713B">
          <w:rPr>
            <w:rFonts w:asciiTheme="minorHAnsi" w:hAnsiTheme="minorHAnsi"/>
            <w:b w:val="0"/>
            <w:bCs w:val="0"/>
            <w:webHidden/>
            <w:color w:val="001042"/>
          </w:rPr>
          <w:tab/>
        </w:r>
        <w:r w:rsidRPr="0080713B">
          <w:rPr>
            <w:rFonts w:asciiTheme="minorHAnsi" w:hAnsiTheme="minorHAnsi"/>
            <w:b w:val="0"/>
            <w:bCs w:val="0"/>
            <w:webHidden/>
            <w:color w:val="001042"/>
          </w:rPr>
          <w:fldChar w:fldCharType="begin"/>
        </w:r>
        <w:r w:rsidRPr="0080713B">
          <w:rPr>
            <w:rFonts w:asciiTheme="minorHAnsi" w:hAnsiTheme="minorHAnsi"/>
            <w:b w:val="0"/>
            <w:bCs w:val="0"/>
            <w:webHidden/>
            <w:color w:val="001042"/>
          </w:rPr>
          <w:instrText xml:space="preserve"> PAGEREF _Toc229131336 \h </w:instrText>
        </w:r>
        <w:r w:rsidRPr="0080713B">
          <w:rPr>
            <w:rFonts w:asciiTheme="minorHAnsi" w:hAnsiTheme="minorHAnsi"/>
            <w:b w:val="0"/>
            <w:bCs w:val="0"/>
            <w:webHidden/>
            <w:color w:val="001042"/>
          </w:rPr>
        </w:r>
        <w:r w:rsidRPr="0080713B">
          <w:rPr>
            <w:rFonts w:asciiTheme="minorHAnsi" w:hAnsiTheme="minorHAnsi"/>
            <w:b w:val="0"/>
            <w:bCs w:val="0"/>
            <w:webHidden/>
            <w:color w:val="001042"/>
          </w:rPr>
          <w:fldChar w:fldCharType="separate"/>
        </w:r>
        <w:r w:rsidR="00FC231E">
          <w:rPr>
            <w:rFonts w:asciiTheme="minorHAnsi" w:hAnsiTheme="minorHAnsi"/>
            <w:b w:val="0"/>
            <w:bCs w:val="0"/>
            <w:webHidden/>
            <w:color w:val="001042"/>
          </w:rPr>
          <w:t>99</w:t>
        </w:r>
        <w:r w:rsidRPr="0080713B">
          <w:rPr>
            <w:rFonts w:asciiTheme="minorHAnsi" w:hAnsiTheme="minorHAnsi"/>
            <w:b w:val="0"/>
            <w:bCs w:val="0"/>
            <w:webHidden/>
            <w:color w:val="001042"/>
          </w:rPr>
          <w:fldChar w:fldCharType="end"/>
        </w:r>
      </w:hyperlink>
    </w:p>
    <w:p w14:paraId="36665291" w14:textId="77777777" w:rsidR="00711919" w:rsidRPr="00711919" w:rsidRDefault="00711919" w:rsidP="00711919">
      <w:pPr>
        <w:rPr>
          <w:rFonts w:asciiTheme="minorHAnsi" w:hAnsiTheme="minorHAnsi"/>
          <w:noProof/>
          <w:color w:val="001042"/>
          <w:lang w:eastAsia="fr-CA"/>
        </w:rPr>
      </w:pPr>
    </w:p>
    <w:p w14:paraId="2AF3B6CF" w14:textId="45CB37E5" w:rsidR="00B06AAE" w:rsidRPr="00711919" w:rsidRDefault="00B06AAE">
      <w:pPr>
        <w:pStyle w:val="TM2"/>
        <w:rPr>
          <w:rFonts w:eastAsiaTheme="minorEastAsia"/>
          <w:bCs w:val="0"/>
          <w:color w:val="001042"/>
          <w:kern w:val="2"/>
          <w:lang w:eastAsia="fr-CA"/>
          <w14:ligatures w14:val="standardContextual"/>
        </w:rPr>
      </w:pPr>
      <w:hyperlink w:anchor="_Toc229131337" w:history="1">
        <w:r w:rsidRPr="00711919">
          <w:rPr>
            <w:rStyle w:val="Lienhypertexte"/>
            <w:color w:val="001042"/>
          </w:rPr>
          <w:t>11.1</w:t>
        </w:r>
        <w:r w:rsidRPr="00711919">
          <w:rPr>
            <w:rFonts w:eastAsiaTheme="minorEastAsia"/>
            <w:bCs w:val="0"/>
            <w:color w:val="001042"/>
            <w:kern w:val="2"/>
            <w:lang w:eastAsia="fr-CA"/>
            <w14:ligatures w14:val="standardContextual"/>
          </w:rPr>
          <w:tab/>
        </w:r>
        <w:r w:rsidRPr="00711919">
          <w:rPr>
            <w:rStyle w:val="Lienhypertexte"/>
            <w:color w:val="001042"/>
          </w:rPr>
          <w:t>Les plaintes non recevables</w:t>
        </w:r>
        <w:r w:rsidRPr="00711919">
          <w:rPr>
            <w:webHidden/>
            <w:color w:val="001042"/>
          </w:rPr>
          <w:tab/>
        </w:r>
        <w:r w:rsidRPr="00711919">
          <w:rPr>
            <w:webHidden/>
            <w:color w:val="001042"/>
          </w:rPr>
          <w:fldChar w:fldCharType="begin"/>
        </w:r>
        <w:r w:rsidRPr="00711919">
          <w:rPr>
            <w:webHidden/>
            <w:color w:val="001042"/>
          </w:rPr>
          <w:instrText xml:space="preserve"> PAGEREF _Toc229131337 \h </w:instrText>
        </w:r>
        <w:r w:rsidRPr="00711919">
          <w:rPr>
            <w:webHidden/>
            <w:color w:val="001042"/>
          </w:rPr>
        </w:r>
        <w:r w:rsidRPr="00711919">
          <w:rPr>
            <w:webHidden/>
            <w:color w:val="001042"/>
          </w:rPr>
          <w:fldChar w:fldCharType="separate"/>
        </w:r>
        <w:r w:rsidR="00FC231E">
          <w:rPr>
            <w:webHidden/>
            <w:color w:val="001042"/>
          </w:rPr>
          <w:t>100</w:t>
        </w:r>
        <w:r w:rsidRPr="00711919">
          <w:rPr>
            <w:webHidden/>
            <w:color w:val="001042"/>
          </w:rPr>
          <w:fldChar w:fldCharType="end"/>
        </w:r>
      </w:hyperlink>
    </w:p>
    <w:p w14:paraId="62B8FC36" w14:textId="580D13BA" w:rsidR="00B06AAE" w:rsidRPr="00711919" w:rsidRDefault="00B06AAE">
      <w:pPr>
        <w:pStyle w:val="TM2"/>
        <w:rPr>
          <w:rFonts w:eastAsiaTheme="minorEastAsia"/>
          <w:bCs w:val="0"/>
          <w:color w:val="001042"/>
          <w:kern w:val="2"/>
          <w:lang w:eastAsia="fr-CA"/>
          <w14:ligatures w14:val="standardContextual"/>
        </w:rPr>
      </w:pPr>
      <w:hyperlink w:anchor="_Toc229131338" w:history="1">
        <w:r w:rsidRPr="00711919">
          <w:rPr>
            <w:rStyle w:val="Lienhypertexte"/>
            <w:color w:val="001042"/>
          </w:rPr>
          <w:t>11.2</w:t>
        </w:r>
        <w:r w:rsidRPr="00711919">
          <w:rPr>
            <w:rFonts w:eastAsiaTheme="minorEastAsia"/>
            <w:bCs w:val="0"/>
            <w:color w:val="001042"/>
            <w:kern w:val="2"/>
            <w:lang w:eastAsia="fr-CA"/>
            <w14:ligatures w14:val="standardContextual"/>
          </w:rPr>
          <w:tab/>
        </w:r>
        <w:r w:rsidRPr="00711919">
          <w:rPr>
            <w:rStyle w:val="Lienhypertexte"/>
            <w:color w:val="001042"/>
          </w:rPr>
          <w:t>Les fermetures pour motifs administratifs</w:t>
        </w:r>
        <w:r w:rsidRPr="00711919">
          <w:rPr>
            <w:webHidden/>
            <w:color w:val="001042"/>
          </w:rPr>
          <w:tab/>
        </w:r>
        <w:r w:rsidRPr="00711919">
          <w:rPr>
            <w:webHidden/>
            <w:color w:val="001042"/>
          </w:rPr>
          <w:fldChar w:fldCharType="begin"/>
        </w:r>
        <w:r w:rsidRPr="00711919">
          <w:rPr>
            <w:webHidden/>
            <w:color w:val="001042"/>
          </w:rPr>
          <w:instrText xml:space="preserve"> PAGEREF _Toc229131338 \h </w:instrText>
        </w:r>
        <w:r w:rsidRPr="00711919">
          <w:rPr>
            <w:webHidden/>
            <w:color w:val="001042"/>
          </w:rPr>
        </w:r>
        <w:r w:rsidRPr="00711919">
          <w:rPr>
            <w:webHidden/>
            <w:color w:val="001042"/>
          </w:rPr>
          <w:fldChar w:fldCharType="separate"/>
        </w:r>
        <w:r w:rsidR="00FC231E">
          <w:rPr>
            <w:webHidden/>
            <w:color w:val="001042"/>
          </w:rPr>
          <w:t>100</w:t>
        </w:r>
        <w:r w:rsidRPr="00711919">
          <w:rPr>
            <w:webHidden/>
            <w:color w:val="001042"/>
          </w:rPr>
          <w:fldChar w:fldCharType="end"/>
        </w:r>
      </w:hyperlink>
    </w:p>
    <w:p w14:paraId="6DB09BBA" w14:textId="1AF89726" w:rsidR="00B06AAE" w:rsidRPr="00711919" w:rsidRDefault="00B06AAE">
      <w:pPr>
        <w:pStyle w:val="TM2"/>
        <w:rPr>
          <w:rFonts w:eastAsiaTheme="minorEastAsia"/>
          <w:bCs w:val="0"/>
          <w:color w:val="001042"/>
          <w:kern w:val="2"/>
          <w:lang w:eastAsia="fr-CA"/>
          <w14:ligatures w14:val="standardContextual"/>
        </w:rPr>
      </w:pPr>
      <w:hyperlink w:anchor="_Toc229131339" w:history="1">
        <w:r w:rsidRPr="00711919">
          <w:rPr>
            <w:rStyle w:val="Lienhypertexte"/>
            <w:color w:val="001042"/>
          </w:rPr>
          <w:t>11.3</w:t>
        </w:r>
        <w:r w:rsidRPr="00711919">
          <w:rPr>
            <w:rFonts w:eastAsiaTheme="minorEastAsia"/>
            <w:bCs w:val="0"/>
            <w:color w:val="001042"/>
            <w:kern w:val="2"/>
            <w:lang w:eastAsia="fr-CA"/>
            <w14:ligatures w14:val="standardContextual"/>
          </w:rPr>
          <w:tab/>
        </w:r>
        <w:r w:rsidRPr="00711919">
          <w:rPr>
            <w:rStyle w:val="Lienhypertexte"/>
            <w:color w:val="001042"/>
          </w:rPr>
          <w:t>Les règlements à l’amiable</w:t>
        </w:r>
        <w:r w:rsidRPr="00711919">
          <w:rPr>
            <w:webHidden/>
            <w:color w:val="001042"/>
          </w:rPr>
          <w:tab/>
        </w:r>
        <w:r w:rsidRPr="00711919">
          <w:rPr>
            <w:webHidden/>
            <w:color w:val="001042"/>
          </w:rPr>
          <w:fldChar w:fldCharType="begin"/>
        </w:r>
        <w:r w:rsidRPr="00711919">
          <w:rPr>
            <w:webHidden/>
            <w:color w:val="001042"/>
          </w:rPr>
          <w:instrText xml:space="preserve"> PAGEREF _Toc229131339 \h </w:instrText>
        </w:r>
        <w:r w:rsidRPr="00711919">
          <w:rPr>
            <w:webHidden/>
            <w:color w:val="001042"/>
          </w:rPr>
        </w:r>
        <w:r w:rsidRPr="00711919">
          <w:rPr>
            <w:webHidden/>
            <w:color w:val="001042"/>
          </w:rPr>
          <w:fldChar w:fldCharType="separate"/>
        </w:r>
        <w:r w:rsidR="00FC231E">
          <w:rPr>
            <w:webHidden/>
            <w:color w:val="001042"/>
          </w:rPr>
          <w:t>101</w:t>
        </w:r>
        <w:r w:rsidRPr="00711919">
          <w:rPr>
            <w:webHidden/>
            <w:color w:val="001042"/>
          </w:rPr>
          <w:fldChar w:fldCharType="end"/>
        </w:r>
      </w:hyperlink>
    </w:p>
    <w:p w14:paraId="2B530EEE" w14:textId="6306EB2E" w:rsidR="00B06AAE" w:rsidRPr="00711919" w:rsidRDefault="00B06AAE">
      <w:pPr>
        <w:pStyle w:val="TM2"/>
        <w:rPr>
          <w:rStyle w:val="Lienhypertexte"/>
          <w:color w:val="001042"/>
        </w:rPr>
      </w:pPr>
      <w:hyperlink w:anchor="_Toc229131340" w:history="1">
        <w:r w:rsidRPr="00711919">
          <w:rPr>
            <w:rStyle w:val="Lienhypertexte"/>
            <w:color w:val="001042"/>
          </w:rPr>
          <w:t>11.4</w:t>
        </w:r>
        <w:r w:rsidRPr="00711919">
          <w:rPr>
            <w:rFonts w:eastAsiaTheme="minorEastAsia"/>
            <w:bCs w:val="0"/>
            <w:color w:val="001042"/>
            <w:kern w:val="2"/>
            <w:lang w:eastAsia="fr-CA"/>
            <w14:ligatures w14:val="standardContextual"/>
          </w:rPr>
          <w:tab/>
        </w:r>
        <w:r w:rsidRPr="00711919">
          <w:rPr>
            <w:rStyle w:val="Lienhypertexte"/>
            <w:color w:val="001042"/>
          </w:rPr>
          <w:t>Les décisions de fermeture à l’étape de l’enquête</w:t>
        </w:r>
        <w:r w:rsidRPr="00711919">
          <w:rPr>
            <w:webHidden/>
            <w:color w:val="001042"/>
          </w:rPr>
          <w:tab/>
        </w:r>
        <w:r w:rsidRPr="00711919">
          <w:rPr>
            <w:webHidden/>
            <w:color w:val="001042"/>
          </w:rPr>
          <w:fldChar w:fldCharType="begin"/>
        </w:r>
        <w:r w:rsidRPr="00711919">
          <w:rPr>
            <w:webHidden/>
            <w:color w:val="001042"/>
          </w:rPr>
          <w:instrText xml:space="preserve"> PAGEREF _Toc229131340 \h </w:instrText>
        </w:r>
        <w:r w:rsidRPr="00711919">
          <w:rPr>
            <w:webHidden/>
            <w:color w:val="001042"/>
          </w:rPr>
        </w:r>
        <w:r w:rsidRPr="00711919">
          <w:rPr>
            <w:webHidden/>
            <w:color w:val="001042"/>
          </w:rPr>
          <w:fldChar w:fldCharType="separate"/>
        </w:r>
        <w:r w:rsidR="00FC231E">
          <w:rPr>
            <w:webHidden/>
            <w:color w:val="001042"/>
          </w:rPr>
          <w:t>101</w:t>
        </w:r>
        <w:r w:rsidRPr="00711919">
          <w:rPr>
            <w:webHidden/>
            <w:color w:val="001042"/>
          </w:rPr>
          <w:fldChar w:fldCharType="end"/>
        </w:r>
      </w:hyperlink>
    </w:p>
    <w:p w14:paraId="087FF482" w14:textId="77777777" w:rsidR="00711919" w:rsidRPr="00711919" w:rsidRDefault="00711919" w:rsidP="00711919">
      <w:pPr>
        <w:rPr>
          <w:rFonts w:asciiTheme="minorHAnsi" w:hAnsiTheme="minorHAnsi"/>
          <w:noProof/>
          <w:color w:val="001042"/>
          <w:lang w:eastAsia="fr-CA"/>
        </w:rPr>
      </w:pPr>
    </w:p>
    <w:p w14:paraId="6AD7259D" w14:textId="77777777" w:rsidR="00711919" w:rsidRPr="00711919" w:rsidRDefault="00711919" w:rsidP="00711919">
      <w:pPr>
        <w:rPr>
          <w:rFonts w:asciiTheme="minorHAnsi" w:hAnsiTheme="minorHAnsi"/>
          <w:noProof/>
          <w:color w:val="001042"/>
          <w:lang w:eastAsia="fr-CA"/>
        </w:rPr>
      </w:pPr>
    </w:p>
    <w:p w14:paraId="2C708AB7" w14:textId="0031E736" w:rsidR="00B06AAE" w:rsidRPr="00711919" w:rsidRDefault="00B06AAE">
      <w:pPr>
        <w:pStyle w:val="TM1"/>
        <w:rPr>
          <w:rStyle w:val="Lienhypertexte"/>
          <w:rFonts w:asciiTheme="minorHAnsi" w:hAnsiTheme="minorHAnsi"/>
          <w:color w:val="001042"/>
        </w:rPr>
      </w:pPr>
      <w:hyperlink w:anchor="_Toc229131341" w:history="1">
        <w:r w:rsidRPr="00711919">
          <w:rPr>
            <w:rStyle w:val="Lienhypertexte"/>
            <w:rFonts w:asciiTheme="minorHAnsi" w:hAnsiTheme="minorHAnsi"/>
            <w:color w:val="001042"/>
          </w:rPr>
          <w:t>12</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Porter plainte : les obstacles à l’exercice de recours</w:t>
        </w:r>
        <w:r w:rsidRPr="0080713B">
          <w:rPr>
            <w:rFonts w:asciiTheme="minorHAnsi" w:hAnsiTheme="minorHAnsi"/>
            <w:b w:val="0"/>
            <w:bCs w:val="0"/>
            <w:webHidden/>
            <w:color w:val="001042"/>
          </w:rPr>
          <w:tab/>
        </w:r>
        <w:r w:rsidRPr="0080713B">
          <w:rPr>
            <w:rFonts w:asciiTheme="minorHAnsi" w:hAnsiTheme="minorHAnsi"/>
            <w:b w:val="0"/>
            <w:bCs w:val="0"/>
            <w:webHidden/>
            <w:color w:val="001042"/>
          </w:rPr>
          <w:fldChar w:fldCharType="begin"/>
        </w:r>
        <w:r w:rsidRPr="0080713B">
          <w:rPr>
            <w:rFonts w:asciiTheme="minorHAnsi" w:hAnsiTheme="minorHAnsi"/>
            <w:b w:val="0"/>
            <w:bCs w:val="0"/>
            <w:webHidden/>
            <w:color w:val="001042"/>
          </w:rPr>
          <w:instrText xml:space="preserve"> PAGEREF _Toc229131341 \h </w:instrText>
        </w:r>
        <w:r w:rsidRPr="0080713B">
          <w:rPr>
            <w:rFonts w:asciiTheme="minorHAnsi" w:hAnsiTheme="minorHAnsi"/>
            <w:b w:val="0"/>
            <w:bCs w:val="0"/>
            <w:webHidden/>
            <w:color w:val="001042"/>
          </w:rPr>
        </w:r>
        <w:r w:rsidRPr="0080713B">
          <w:rPr>
            <w:rFonts w:asciiTheme="minorHAnsi" w:hAnsiTheme="minorHAnsi"/>
            <w:b w:val="0"/>
            <w:bCs w:val="0"/>
            <w:webHidden/>
            <w:color w:val="001042"/>
          </w:rPr>
          <w:fldChar w:fldCharType="separate"/>
        </w:r>
        <w:r w:rsidR="00FC231E">
          <w:rPr>
            <w:rFonts w:asciiTheme="minorHAnsi" w:hAnsiTheme="minorHAnsi"/>
            <w:b w:val="0"/>
            <w:bCs w:val="0"/>
            <w:webHidden/>
            <w:color w:val="001042"/>
          </w:rPr>
          <w:t>102</w:t>
        </w:r>
        <w:r w:rsidRPr="0080713B">
          <w:rPr>
            <w:rFonts w:asciiTheme="minorHAnsi" w:hAnsiTheme="minorHAnsi"/>
            <w:b w:val="0"/>
            <w:bCs w:val="0"/>
            <w:webHidden/>
            <w:color w:val="001042"/>
          </w:rPr>
          <w:fldChar w:fldCharType="end"/>
        </w:r>
      </w:hyperlink>
    </w:p>
    <w:p w14:paraId="3620DF3D" w14:textId="77777777" w:rsidR="00711919" w:rsidRPr="00711919" w:rsidRDefault="00711919" w:rsidP="00711919">
      <w:pPr>
        <w:rPr>
          <w:rFonts w:asciiTheme="minorHAnsi" w:hAnsiTheme="minorHAnsi"/>
          <w:noProof/>
          <w:color w:val="001042"/>
          <w:lang w:eastAsia="fr-CA"/>
        </w:rPr>
      </w:pPr>
    </w:p>
    <w:p w14:paraId="7486688B" w14:textId="0B18B60C" w:rsidR="00B06AAE" w:rsidRPr="00711919" w:rsidRDefault="00B06AAE">
      <w:pPr>
        <w:pStyle w:val="TM2"/>
        <w:rPr>
          <w:rFonts w:eastAsiaTheme="minorEastAsia"/>
          <w:bCs w:val="0"/>
          <w:color w:val="001042"/>
          <w:kern w:val="2"/>
          <w:lang w:eastAsia="fr-CA"/>
          <w14:ligatures w14:val="standardContextual"/>
        </w:rPr>
      </w:pPr>
      <w:hyperlink w:anchor="_Toc229131342" w:history="1">
        <w:r w:rsidRPr="00711919">
          <w:rPr>
            <w:rStyle w:val="Lienhypertexte"/>
            <w:color w:val="001042"/>
          </w:rPr>
          <w:t>12.1</w:t>
        </w:r>
        <w:r w:rsidRPr="00711919">
          <w:rPr>
            <w:rFonts w:eastAsiaTheme="minorEastAsia"/>
            <w:bCs w:val="0"/>
            <w:color w:val="001042"/>
            <w:kern w:val="2"/>
            <w:lang w:eastAsia="fr-CA"/>
            <w14:ligatures w14:val="standardContextual"/>
          </w:rPr>
          <w:tab/>
        </w:r>
        <w:r w:rsidRPr="00711919">
          <w:rPr>
            <w:rStyle w:val="Lienhypertexte"/>
            <w:color w:val="001042"/>
          </w:rPr>
          <w:t>Les effets de la discrimination sur la personne</w:t>
        </w:r>
        <w:r w:rsidRPr="00711919">
          <w:rPr>
            <w:webHidden/>
            <w:color w:val="001042"/>
          </w:rPr>
          <w:tab/>
        </w:r>
        <w:r w:rsidRPr="00711919">
          <w:rPr>
            <w:webHidden/>
            <w:color w:val="001042"/>
          </w:rPr>
          <w:fldChar w:fldCharType="begin"/>
        </w:r>
        <w:r w:rsidRPr="00711919">
          <w:rPr>
            <w:webHidden/>
            <w:color w:val="001042"/>
          </w:rPr>
          <w:instrText xml:space="preserve"> PAGEREF _Toc229131342 \h </w:instrText>
        </w:r>
        <w:r w:rsidRPr="00711919">
          <w:rPr>
            <w:webHidden/>
            <w:color w:val="001042"/>
          </w:rPr>
        </w:r>
        <w:r w:rsidRPr="00711919">
          <w:rPr>
            <w:webHidden/>
            <w:color w:val="001042"/>
          </w:rPr>
          <w:fldChar w:fldCharType="separate"/>
        </w:r>
        <w:r w:rsidR="00FC231E">
          <w:rPr>
            <w:webHidden/>
            <w:color w:val="001042"/>
          </w:rPr>
          <w:t>102</w:t>
        </w:r>
        <w:r w:rsidRPr="00711919">
          <w:rPr>
            <w:webHidden/>
            <w:color w:val="001042"/>
          </w:rPr>
          <w:fldChar w:fldCharType="end"/>
        </w:r>
      </w:hyperlink>
    </w:p>
    <w:p w14:paraId="63658312" w14:textId="792DD9F5" w:rsidR="00B06AAE" w:rsidRPr="00711919" w:rsidRDefault="00B06AAE">
      <w:pPr>
        <w:pStyle w:val="TM2"/>
        <w:rPr>
          <w:rFonts w:eastAsiaTheme="minorEastAsia"/>
          <w:bCs w:val="0"/>
          <w:color w:val="001042"/>
          <w:kern w:val="2"/>
          <w:lang w:eastAsia="fr-CA"/>
          <w14:ligatures w14:val="standardContextual"/>
        </w:rPr>
      </w:pPr>
      <w:hyperlink w:anchor="_Toc229131343" w:history="1">
        <w:r w:rsidRPr="00711919">
          <w:rPr>
            <w:rStyle w:val="Lienhypertexte"/>
            <w:color w:val="001042"/>
          </w:rPr>
          <w:t>12.2</w:t>
        </w:r>
        <w:r w:rsidRPr="00711919">
          <w:rPr>
            <w:rFonts w:eastAsiaTheme="minorEastAsia"/>
            <w:bCs w:val="0"/>
            <w:color w:val="001042"/>
            <w:kern w:val="2"/>
            <w:lang w:eastAsia="fr-CA"/>
            <w14:ligatures w14:val="standardContextual"/>
          </w:rPr>
          <w:tab/>
        </w:r>
        <w:r w:rsidRPr="00711919">
          <w:rPr>
            <w:rStyle w:val="Lienhypertexte"/>
            <w:color w:val="001042"/>
          </w:rPr>
          <w:t>La difficulté à pleinement reconnaître la discrimination</w:t>
        </w:r>
        <w:r w:rsidRPr="00711919">
          <w:rPr>
            <w:webHidden/>
            <w:color w:val="001042"/>
          </w:rPr>
          <w:tab/>
        </w:r>
        <w:r w:rsidRPr="00711919">
          <w:rPr>
            <w:webHidden/>
            <w:color w:val="001042"/>
          </w:rPr>
          <w:fldChar w:fldCharType="begin"/>
        </w:r>
        <w:r w:rsidRPr="00711919">
          <w:rPr>
            <w:webHidden/>
            <w:color w:val="001042"/>
          </w:rPr>
          <w:instrText xml:space="preserve"> PAGEREF _Toc229131343 \h </w:instrText>
        </w:r>
        <w:r w:rsidRPr="00711919">
          <w:rPr>
            <w:webHidden/>
            <w:color w:val="001042"/>
          </w:rPr>
        </w:r>
        <w:r w:rsidRPr="00711919">
          <w:rPr>
            <w:webHidden/>
            <w:color w:val="001042"/>
          </w:rPr>
          <w:fldChar w:fldCharType="separate"/>
        </w:r>
        <w:r w:rsidR="00FC231E">
          <w:rPr>
            <w:webHidden/>
            <w:color w:val="001042"/>
          </w:rPr>
          <w:t>102</w:t>
        </w:r>
        <w:r w:rsidRPr="00711919">
          <w:rPr>
            <w:webHidden/>
            <w:color w:val="001042"/>
          </w:rPr>
          <w:fldChar w:fldCharType="end"/>
        </w:r>
      </w:hyperlink>
    </w:p>
    <w:p w14:paraId="48623D01" w14:textId="743BF009" w:rsidR="00B06AAE" w:rsidRPr="00711919" w:rsidRDefault="00B06AAE">
      <w:pPr>
        <w:pStyle w:val="TM2"/>
        <w:rPr>
          <w:rFonts w:eastAsiaTheme="minorEastAsia"/>
          <w:bCs w:val="0"/>
          <w:color w:val="001042"/>
          <w:kern w:val="2"/>
          <w:lang w:eastAsia="fr-CA"/>
          <w14:ligatures w14:val="standardContextual"/>
        </w:rPr>
      </w:pPr>
      <w:hyperlink w:anchor="_Toc229131344" w:history="1">
        <w:r w:rsidRPr="00711919">
          <w:rPr>
            <w:rStyle w:val="Lienhypertexte"/>
            <w:color w:val="001042"/>
            <w:bdr w:val="none" w:sz="0" w:space="0" w:color="auto" w:frame="1"/>
          </w:rPr>
          <w:t>12.3</w:t>
        </w:r>
        <w:r w:rsidRPr="00711919">
          <w:rPr>
            <w:rFonts w:eastAsiaTheme="minorEastAsia"/>
            <w:bCs w:val="0"/>
            <w:color w:val="001042"/>
            <w:kern w:val="2"/>
            <w:lang w:eastAsia="fr-CA"/>
            <w14:ligatures w14:val="standardContextual"/>
          </w:rPr>
          <w:tab/>
        </w:r>
        <w:r w:rsidRPr="00711919">
          <w:rPr>
            <w:rStyle w:val="Lienhypertexte"/>
            <w:color w:val="001042"/>
          </w:rPr>
          <w:t>La d</w:t>
        </w:r>
        <w:r w:rsidRPr="00711919">
          <w:rPr>
            <w:rStyle w:val="Lienhypertexte"/>
            <w:color w:val="001042"/>
            <w:bdr w:val="none" w:sz="0" w:space="0" w:color="auto" w:frame="1"/>
          </w:rPr>
          <w:t xml:space="preserve">ifficulté à </w:t>
        </w:r>
        <w:r w:rsidRPr="00711919">
          <w:rPr>
            <w:rStyle w:val="Lienhypertexte"/>
            <w:color w:val="001042"/>
          </w:rPr>
          <w:t xml:space="preserve">faire </w:t>
        </w:r>
        <w:r w:rsidRPr="00711919">
          <w:rPr>
            <w:rStyle w:val="Lienhypertexte"/>
            <w:color w:val="001042"/>
            <w:bdr w:val="none" w:sz="0" w:space="0" w:color="auto" w:frame="1"/>
          </w:rPr>
          <w:t>reconnaître</w:t>
        </w:r>
        <w:r w:rsidRPr="00711919">
          <w:rPr>
            <w:rStyle w:val="Lienhypertexte"/>
            <w:color w:val="001042"/>
          </w:rPr>
          <w:t xml:space="preserve"> </w:t>
        </w:r>
        <w:r w:rsidRPr="00711919">
          <w:rPr>
            <w:rStyle w:val="Lienhypertexte"/>
            <w:color w:val="001042"/>
            <w:bdr w:val="none" w:sz="0" w:space="0" w:color="auto" w:frame="1"/>
          </w:rPr>
          <w:t>la discrimination</w:t>
        </w:r>
        <w:r w:rsidRPr="00711919">
          <w:rPr>
            <w:webHidden/>
            <w:color w:val="001042"/>
          </w:rPr>
          <w:tab/>
        </w:r>
        <w:r w:rsidRPr="00711919">
          <w:rPr>
            <w:webHidden/>
            <w:color w:val="001042"/>
          </w:rPr>
          <w:fldChar w:fldCharType="begin"/>
        </w:r>
        <w:r w:rsidRPr="00711919">
          <w:rPr>
            <w:webHidden/>
            <w:color w:val="001042"/>
          </w:rPr>
          <w:instrText xml:space="preserve"> PAGEREF _Toc229131344 \h </w:instrText>
        </w:r>
        <w:r w:rsidRPr="00711919">
          <w:rPr>
            <w:webHidden/>
            <w:color w:val="001042"/>
          </w:rPr>
        </w:r>
        <w:r w:rsidRPr="00711919">
          <w:rPr>
            <w:webHidden/>
            <w:color w:val="001042"/>
          </w:rPr>
          <w:fldChar w:fldCharType="separate"/>
        </w:r>
        <w:r w:rsidR="00FC231E">
          <w:rPr>
            <w:webHidden/>
            <w:color w:val="001042"/>
          </w:rPr>
          <w:t>103</w:t>
        </w:r>
        <w:r w:rsidRPr="00711919">
          <w:rPr>
            <w:webHidden/>
            <w:color w:val="001042"/>
          </w:rPr>
          <w:fldChar w:fldCharType="end"/>
        </w:r>
      </w:hyperlink>
    </w:p>
    <w:p w14:paraId="7BCB25AD" w14:textId="6DC6A5B3" w:rsidR="00B06AAE" w:rsidRPr="00711919" w:rsidRDefault="00B06AAE">
      <w:pPr>
        <w:pStyle w:val="TM2"/>
        <w:rPr>
          <w:rFonts w:eastAsiaTheme="minorEastAsia"/>
          <w:bCs w:val="0"/>
          <w:color w:val="001042"/>
          <w:kern w:val="2"/>
          <w:lang w:eastAsia="fr-CA"/>
          <w14:ligatures w14:val="standardContextual"/>
        </w:rPr>
      </w:pPr>
      <w:hyperlink w:anchor="_Toc229131345" w:history="1">
        <w:r w:rsidRPr="00711919">
          <w:rPr>
            <w:rStyle w:val="Lienhypertexte"/>
            <w:color w:val="001042"/>
          </w:rPr>
          <w:t>12.4</w:t>
        </w:r>
        <w:r w:rsidRPr="00711919">
          <w:rPr>
            <w:rFonts w:eastAsiaTheme="minorEastAsia"/>
            <w:bCs w:val="0"/>
            <w:color w:val="001042"/>
            <w:kern w:val="2"/>
            <w:lang w:eastAsia="fr-CA"/>
            <w14:ligatures w14:val="standardContextual"/>
          </w:rPr>
          <w:tab/>
        </w:r>
        <w:r w:rsidRPr="00711919">
          <w:rPr>
            <w:rStyle w:val="Lienhypertexte"/>
            <w:color w:val="001042"/>
          </w:rPr>
          <w:t>La méconnaissance des recours</w:t>
        </w:r>
        <w:r w:rsidRPr="00711919">
          <w:rPr>
            <w:webHidden/>
            <w:color w:val="001042"/>
          </w:rPr>
          <w:tab/>
        </w:r>
        <w:r w:rsidRPr="00711919">
          <w:rPr>
            <w:webHidden/>
            <w:color w:val="001042"/>
          </w:rPr>
          <w:fldChar w:fldCharType="begin"/>
        </w:r>
        <w:r w:rsidRPr="00711919">
          <w:rPr>
            <w:webHidden/>
            <w:color w:val="001042"/>
          </w:rPr>
          <w:instrText xml:space="preserve"> PAGEREF _Toc229131345 \h </w:instrText>
        </w:r>
        <w:r w:rsidRPr="00711919">
          <w:rPr>
            <w:webHidden/>
            <w:color w:val="001042"/>
          </w:rPr>
        </w:r>
        <w:r w:rsidRPr="00711919">
          <w:rPr>
            <w:webHidden/>
            <w:color w:val="001042"/>
          </w:rPr>
          <w:fldChar w:fldCharType="separate"/>
        </w:r>
        <w:r w:rsidR="00FC231E">
          <w:rPr>
            <w:webHidden/>
            <w:color w:val="001042"/>
          </w:rPr>
          <w:t>104</w:t>
        </w:r>
        <w:r w:rsidRPr="00711919">
          <w:rPr>
            <w:webHidden/>
            <w:color w:val="001042"/>
          </w:rPr>
          <w:fldChar w:fldCharType="end"/>
        </w:r>
      </w:hyperlink>
    </w:p>
    <w:p w14:paraId="3B7167A4" w14:textId="73DBB045" w:rsidR="00B06AAE" w:rsidRPr="00711919" w:rsidRDefault="00B06AAE">
      <w:pPr>
        <w:pStyle w:val="TM2"/>
        <w:rPr>
          <w:rFonts w:eastAsiaTheme="minorEastAsia"/>
          <w:bCs w:val="0"/>
          <w:color w:val="001042"/>
          <w:kern w:val="2"/>
          <w:lang w:eastAsia="fr-CA"/>
          <w14:ligatures w14:val="standardContextual"/>
        </w:rPr>
      </w:pPr>
      <w:hyperlink w:anchor="_Toc229131346" w:history="1">
        <w:r w:rsidRPr="00711919">
          <w:rPr>
            <w:rStyle w:val="Lienhypertexte"/>
            <w:color w:val="001042"/>
          </w:rPr>
          <w:t>12.5</w:t>
        </w:r>
        <w:r w:rsidRPr="00711919">
          <w:rPr>
            <w:rFonts w:eastAsiaTheme="minorEastAsia"/>
            <w:bCs w:val="0"/>
            <w:color w:val="001042"/>
            <w:kern w:val="2"/>
            <w:lang w:eastAsia="fr-CA"/>
            <w14:ligatures w14:val="standardContextual"/>
          </w:rPr>
          <w:tab/>
        </w:r>
        <w:r w:rsidRPr="00711919">
          <w:rPr>
            <w:rStyle w:val="Lienhypertexte"/>
            <w:color w:val="001042"/>
          </w:rPr>
          <w:t>Le manque de confiance envers l’employeur et/ou le syndicat</w:t>
        </w:r>
        <w:r w:rsidRPr="00711919">
          <w:rPr>
            <w:webHidden/>
            <w:color w:val="001042"/>
          </w:rPr>
          <w:tab/>
        </w:r>
        <w:r w:rsidRPr="00711919">
          <w:rPr>
            <w:webHidden/>
            <w:color w:val="001042"/>
          </w:rPr>
          <w:fldChar w:fldCharType="begin"/>
        </w:r>
        <w:r w:rsidRPr="00711919">
          <w:rPr>
            <w:webHidden/>
            <w:color w:val="001042"/>
          </w:rPr>
          <w:instrText xml:space="preserve"> PAGEREF _Toc229131346 \h </w:instrText>
        </w:r>
        <w:r w:rsidRPr="00711919">
          <w:rPr>
            <w:webHidden/>
            <w:color w:val="001042"/>
          </w:rPr>
        </w:r>
        <w:r w:rsidRPr="00711919">
          <w:rPr>
            <w:webHidden/>
            <w:color w:val="001042"/>
          </w:rPr>
          <w:fldChar w:fldCharType="separate"/>
        </w:r>
        <w:r w:rsidR="00FC231E">
          <w:rPr>
            <w:webHidden/>
            <w:color w:val="001042"/>
          </w:rPr>
          <w:t>104</w:t>
        </w:r>
        <w:r w:rsidRPr="00711919">
          <w:rPr>
            <w:webHidden/>
            <w:color w:val="001042"/>
          </w:rPr>
          <w:fldChar w:fldCharType="end"/>
        </w:r>
      </w:hyperlink>
    </w:p>
    <w:p w14:paraId="08A1D9EB" w14:textId="551F5CC0" w:rsidR="00B06AAE" w:rsidRPr="00711919" w:rsidRDefault="00B06AAE">
      <w:pPr>
        <w:pStyle w:val="TM2"/>
        <w:rPr>
          <w:rFonts w:eastAsiaTheme="minorEastAsia"/>
          <w:bCs w:val="0"/>
          <w:color w:val="001042"/>
          <w:kern w:val="2"/>
          <w:lang w:eastAsia="fr-CA"/>
          <w14:ligatures w14:val="standardContextual"/>
        </w:rPr>
      </w:pPr>
      <w:hyperlink w:anchor="_Toc229131347" w:history="1">
        <w:r w:rsidRPr="00711919">
          <w:rPr>
            <w:rStyle w:val="Lienhypertexte"/>
            <w:color w:val="001042"/>
          </w:rPr>
          <w:t>12.6</w:t>
        </w:r>
        <w:r w:rsidRPr="00711919">
          <w:rPr>
            <w:rFonts w:eastAsiaTheme="minorEastAsia"/>
            <w:bCs w:val="0"/>
            <w:color w:val="001042"/>
            <w:kern w:val="2"/>
            <w:lang w:eastAsia="fr-CA"/>
            <w14:ligatures w14:val="standardContextual"/>
          </w:rPr>
          <w:tab/>
        </w:r>
        <w:r w:rsidRPr="00711919">
          <w:rPr>
            <w:rStyle w:val="Lienhypertexte"/>
            <w:color w:val="001042"/>
          </w:rPr>
          <w:t>La méfiance envers les mécanismes de recours</w:t>
        </w:r>
        <w:r w:rsidRPr="00711919">
          <w:rPr>
            <w:webHidden/>
            <w:color w:val="001042"/>
          </w:rPr>
          <w:tab/>
        </w:r>
        <w:r w:rsidRPr="00711919">
          <w:rPr>
            <w:webHidden/>
            <w:color w:val="001042"/>
          </w:rPr>
          <w:fldChar w:fldCharType="begin"/>
        </w:r>
        <w:r w:rsidRPr="00711919">
          <w:rPr>
            <w:webHidden/>
            <w:color w:val="001042"/>
          </w:rPr>
          <w:instrText xml:space="preserve"> PAGEREF _Toc229131347 \h </w:instrText>
        </w:r>
        <w:r w:rsidRPr="00711919">
          <w:rPr>
            <w:webHidden/>
            <w:color w:val="001042"/>
          </w:rPr>
        </w:r>
        <w:r w:rsidRPr="00711919">
          <w:rPr>
            <w:webHidden/>
            <w:color w:val="001042"/>
          </w:rPr>
          <w:fldChar w:fldCharType="separate"/>
        </w:r>
        <w:r w:rsidR="00FC231E">
          <w:rPr>
            <w:webHidden/>
            <w:color w:val="001042"/>
          </w:rPr>
          <w:t>105</w:t>
        </w:r>
        <w:r w:rsidRPr="00711919">
          <w:rPr>
            <w:webHidden/>
            <w:color w:val="001042"/>
          </w:rPr>
          <w:fldChar w:fldCharType="end"/>
        </w:r>
      </w:hyperlink>
    </w:p>
    <w:p w14:paraId="4431CFF5" w14:textId="5FF5216B" w:rsidR="00B06AAE" w:rsidRPr="00711919" w:rsidRDefault="00B06AAE">
      <w:pPr>
        <w:pStyle w:val="TM2"/>
        <w:rPr>
          <w:rFonts w:eastAsiaTheme="minorEastAsia"/>
          <w:bCs w:val="0"/>
          <w:color w:val="001042"/>
          <w:kern w:val="2"/>
          <w:lang w:eastAsia="fr-CA"/>
          <w14:ligatures w14:val="standardContextual"/>
        </w:rPr>
      </w:pPr>
      <w:hyperlink w:anchor="_Toc229131348" w:history="1">
        <w:r w:rsidRPr="00711919">
          <w:rPr>
            <w:rStyle w:val="Lienhypertexte"/>
            <w:color w:val="001042"/>
          </w:rPr>
          <w:t>12.7</w:t>
        </w:r>
        <w:r w:rsidRPr="00711919">
          <w:rPr>
            <w:rFonts w:eastAsiaTheme="minorEastAsia"/>
            <w:bCs w:val="0"/>
            <w:color w:val="001042"/>
            <w:kern w:val="2"/>
            <w:lang w:eastAsia="fr-CA"/>
            <w14:ligatures w14:val="standardContextual"/>
          </w:rPr>
          <w:tab/>
        </w:r>
        <w:r w:rsidRPr="00711919">
          <w:rPr>
            <w:rStyle w:val="Lienhypertexte"/>
            <w:color w:val="001042"/>
          </w:rPr>
          <w:t>Le risque de dévoiler son orientation sexuelle ou sa transidentité</w:t>
        </w:r>
        <w:r w:rsidRPr="00711919">
          <w:rPr>
            <w:webHidden/>
            <w:color w:val="001042"/>
          </w:rPr>
          <w:tab/>
        </w:r>
        <w:r w:rsidRPr="00711919">
          <w:rPr>
            <w:webHidden/>
            <w:color w:val="001042"/>
          </w:rPr>
          <w:fldChar w:fldCharType="begin"/>
        </w:r>
        <w:r w:rsidRPr="00711919">
          <w:rPr>
            <w:webHidden/>
            <w:color w:val="001042"/>
          </w:rPr>
          <w:instrText xml:space="preserve"> PAGEREF _Toc229131348 \h </w:instrText>
        </w:r>
        <w:r w:rsidRPr="00711919">
          <w:rPr>
            <w:webHidden/>
            <w:color w:val="001042"/>
          </w:rPr>
        </w:r>
        <w:r w:rsidRPr="00711919">
          <w:rPr>
            <w:webHidden/>
            <w:color w:val="001042"/>
          </w:rPr>
          <w:fldChar w:fldCharType="separate"/>
        </w:r>
        <w:r w:rsidR="00FC231E">
          <w:rPr>
            <w:webHidden/>
            <w:color w:val="001042"/>
          </w:rPr>
          <w:t>105</w:t>
        </w:r>
        <w:r w:rsidRPr="00711919">
          <w:rPr>
            <w:webHidden/>
            <w:color w:val="001042"/>
          </w:rPr>
          <w:fldChar w:fldCharType="end"/>
        </w:r>
      </w:hyperlink>
    </w:p>
    <w:p w14:paraId="4603BDB3" w14:textId="1D72EC42" w:rsidR="00B06AAE" w:rsidRPr="00711919" w:rsidRDefault="00B06AAE">
      <w:pPr>
        <w:pStyle w:val="TM2"/>
        <w:rPr>
          <w:rStyle w:val="Lienhypertexte"/>
          <w:color w:val="001042"/>
        </w:rPr>
      </w:pPr>
      <w:hyperlink w:anchor="_Toc229131349" w:history="1">
        <w:r w:rsidRPr="00711919">
          <w:rPr>
            <w:rStyle w:val="Lienhypertexte"/>
            <w:color w:val="001042"/>
          </w:rPr>
          <w:t>12.8</w:t>
        </w:r>
        <w:r w:rsidRPr="00711919">
          <w:rPr>
            <w:rFonts w:eastAsiaTheme="minorEastAsia"/>
            <w:bCs w:val="0"/>
            <w:color w:val="001042"/>
            <w:kern w:val="2"/>
            <w:lang w:eastAsia="fr-CA"/>
            <w14:ligatures w14:val="standardContextual"/>
          </w:rPr>
          <w:tab/>
        </w:r>
        <w:r w:rsidRPr="00711919">
          <w:rPr>
            <w:rStyle w:val="Lienhypertexte"/>
            <w:color w:val="001042"/>
          </w:rPr>
          <w:t>L</w:t>
        </w:r>
        <w:r w:rsidR="003D71A6">
          <w:rPr>
            <w:rStyle w:val="Lienhypertexte"/>
            <w:color w:val="001042"/>
          </w:rPr>
          <w:t>a</w:t>
        </w:r>
        <w:r w:rsidRPr="00711919">
          <w:rPr>
            <w:rStyle w:val="Lienhypertexte"/>
            <w:color w:val="001042"/>
          </w:rPr>
          <w:t xml:space="preserve"> crainte de répercussions et représailles</w:t>
        </w:r>
        <w:r w:rsidRPr="00711919">
          <w:rPr>
            <w:webHidden/>
            <w:color w:val="001042"/>
          </w:rPr>
          <w:tab/>
        </w:r>
        <w:r w:rsidRPr="00711919">
          <w:rPr>
            <w:webHidden/>
            <w:color w:val="001042"/>
          </w:rPr>
          <w:fldChar w:fldCharType="begin"/>
        </w:r>
        <w:r w:rsidRPr="00711919">
          <w:rPr>
            <w:webHidden/>
            <w:color w:val="001042"/>
          </w:rPr>
          <w:instrText xml:space="preserve"> PAGEREF _Toc229131349 \h </w:instrText>
        </w:r>
        <w:r w:rsidRPr="00711919">
          <w:rPr>
            <w:webHidden/>
            <w:color w:val="001042"/>
          </w:rPr>
        </w:r>
        <w:r w:rsidRPr="00711919">
          <w:rPr>
            <w:webHidden/>
            <w:color w:val="001042"/>
          </w:rPr>
          <w:fldChar w:fldCharType="separate"/>
        </w:r>
        <w:r w:rsidR="00FC231E">
          <w:rPr>
            <w:webHidden/>
            <w:color w:val="001042"/>
          </w:rPr>
          <w:t>105</w:t>
        </w:r>
        <w:r w:rsidRPr="00711919">
          <w:rPr>
            <w:webHidden/>
            <w:color w:val="001042"/>
          </w:rPr>
          <w:fldChar w:fldCharType="end"/>
        </w:r>
      </w:hyperlink>
    </w:p>
    <w:p w14:paraId="58AF2B83" w14:textId="77777777" w:rsidR="00711919" w:rsidRPr="00711919" w:rsidRDefault="00711919" w:rsidP="00711919">
      <w:pPr>
        <w:rPr>
          <w:rFonts w:asciiTheme="minorHAnsi" w:hAnsiTheme="minorHAnsi"/>
          <w:noProof/>
          <w:color w:val="001042"/>
          <w:lang w:eastAsia="fr-CA"/>
        </w:rPr>
      </w:pPr>
    </w:p>
    <w:p w14:paraId="51206362" w14:textId="77777777" w:rsidR="00711919" w:rsidRPr="00711919" w:rsidRDefault="00711919" w:rsidP="00711919">
      <w:pPr>
        <w:rPr>
          <w:rFonts w:asciiTheme="minorHAnsi" w:hAnsiTheme="minorHAnsi"/>
          <w:noProof/>
          <w:color w:val="001042"/>
          <w:lang w:eastAsia="fr-CA"/>
        </w:rPr>
      </w:pPr>
    </w:p>
    <w:p w14:paraId="189151BF" w14:textId="3A3CE645" w:rsidR="00B06AAE" w:rsidRPr="00711919" w:rsidRDefault="00B06AAE">
      <w:pPr>
        <w:pStyle w:val="TM1"/>
        <w:rPr>
          <w:rStyle w:val="Lienhypertexte"/>
          <w:rFonts w:asciiTheme="minorHAnsi" w:hAnsiTheme="minorHAnsi"/>
          <w:color w:val="001042"/>
        </w:rPr>
      </w:pPr>
      <w:hyperlink w:anchor="_Toc229131350" w:history="1">
        <w:r w:rsidRPr="00711919">
          <w:rPr>
            <w:rStyle w:val="Lienhypertexte"/>
            <w:rFonts w:asciiTheme="minorHAnsi" w:hAnsiTheme="minorHAnsi"/>
            <w:color w:val="001042"/>
          </w:rPr>
          <w:t>13</w:t>
        </w:r>
        <w:r w:rsidRPr="00711919">
          <w:rPr>
            <w:rFonts w:asciiTheme="minorHAnsi" w:eastAsiaTheme="minorEastAsia" w:hAnsiTheme="minorHAnsi"/>
            <w:b w:val="0"/>
            <w:bCs w:val="0"/>
            <w:color w:val="001042"/>
            <w:kern w:val="2"/>
            <w:lang w:eastAsia="fr-CA"/>
            <w14:ligatures w14:val="standardContextual"/>
          </w:rPr>
          <w:tab/>
        </w:r>
        <w:r w:rsidRPr="00711919">
          <w:rPr>
            <w:rStyle w:val="Lienhypertexte"/>
            <w:rFonts w:asciiTheme="minorHAnsi" w:hAnsiTheme="minorHAnsi"/>
            <w:color w:val="001042"/>
          </w:rPr>
          <w:t>Écouter les plaintes pour comprendre et prévenir la discrimination</w:t>
        </w:r>
        <w:r w:rsidRPr="0080713B">
          <w:rPr>
            <w:rFonts w:asciiTheme="minorHAnsi" w:hAnsiTheme="minorHAnsi"/>
            <w:b w:val="0"/>
            <w:bCs w:val="0"/>
            <w:webHidden/>
            <w:color w:val="001042"/>
          </w:rPr>
          <w:tab/>
        </w:r>
        <w:r w:rsidRPr="0080713B">
          <w:rPr>
            <w:rFonts w:asciiTheme="minorHAnsi" w:hAnsiTheme="minorHAnsi"/>
            <w:b w:val="0"/>
            <w:bCs w:val="0"/>
            <w:webHidden/>
            <w:color w:val="001042"/>
          </w:rPr>
          <w:fldChar w:fldCharType="begin"/>
        </w:r>
        <w:r w:rsidRPr="0080713B">
          <w:rPr>
            <w:rFonts w:asciiTheme="minorHAnsi" w:hAnsiTheme="minorHAnsi"/>
            <w:b w:val="0"/>
            <w:bCs w:val="0"/>
            <w:webHidden/>
            <w:color w:val="001042"/>
          </w:rPr>
          <w:instrText xml:space="preserve"> PAGEREF _Toc229131350 \h </w:instrText>
        </w:r>
        <w:r w:rsidRPr="0080713B">
          <w:rPr>
            <w:rFonts w:asciiTheme="minorHAnsi" w:hAnsiTheme="minorHAnsi"/>
            <w:b w:val="0"/>
            <w:bCs w:val="0"/>
            <w:webHidden/>
            <w:color w:val="001042"/>
          </w:rPr>
        </w:r>
        <w:r w:rsidRPr="0080713B">
          <w:rPr>
            <w:rFonts w:asciiTheme="minorHAnsi" w:hAnsiTheme="minorHAnsi"/>
            <w:b w:val="0"/>
            <w:bCs w:val="0"/>
            <w:webHidden/>
            <w:color w:val="001042"/>
          </w:rPr>
          <w:fldChar w:fldCharType="separate"/>
        </w:r>
        <w:r w:rsidR="00FC231E">
          <w:rPr>
            <w:rFonts w:asciiTheme="minorHAnsi" w:hAnsiTheme="minorHAnsi"/>
            <w:b w:val="0"/>
            <w:bCs w:val="0"/>
            <w:webHidden/>
            <w:color w:val="001042"/>
          </w:rPr>
          <w:t>106</w:t>
        </w:r>
        <w:r w:rsidRPr="0080713B">
          <w:rPr>
            <w:rFonts w:asciiTheme="minorHAnsi" w:hAnsiTheme="minorHAnsi"/>
            <w:b w:val="0"/>
            <w:bCs w:val="0"/>
            <w:webHidden/>
            <w:color w:val="001042"/>
          </w:rPr>
          <w:fldChar w:fldCharType="end"/>
        </w:r>
      </w:hyperlink>
    </w:p>
    <w:p w14:paraId="039199DF" w14:textId="77777777" w:rsidR="00711919" w:rsidRPr="00711919" w:rsidRDefault="00711919" w:rsidP="00711919">
      <w:pPr>
        <w:rPr>
          <w:rFonts w:asciiTheme="minorHAnsi" w:hAnsiTheme="minorHAnsi"/>
          <w:noProof/>
          <w:color w:val="001042"/>
          <w:lang w:eastAsia="fr-CA"/>
        </w:rPr>
      </w:pPr>
    </w:p>
    <w:p w14:paraId="19F9DE70" w14:textId="06185817" w:rsidR="00B06AAE" w:rsidRPr="00711919" w:rsidRDefault="00B06AAE">
      <w:pPr>
        <w:pStyle w:val="TM2"/>
        <w:rPr>
          <w:rFonts w:eastAsiaTheme="minorEastAsia"/>
          <w:bCs w:val="0"/>
          <w:color w:val="001042"/>
          <w:kern w:val="2"/>
          <w:lang w:eastAsia="fr-CA"/>
          <w14:ligatures w14:val="standardContextual"/>
        </w:rPr>
      </w:pPr>
      <w:hyperlink w:anchor="_Toc229131351" w:history="1">
        <w:r w:rsidRPr="00711919">
          <w:rPr>
            <w:rStyle w:val="Lienhypertexte"/>
            <w:color w:val="001042"/>
          </w:rPr>
          <w:t>13.1</w:t>
        </w:r>
        <w:r w:rsidRPr="00711919">
          <w:rPr>
            <w:rFonts w:eastAsiaTheme="minorEastAsia"/>
            <w:bCs w:val="0"/>
            <w:color w:val="001042"/>
            <w:kern w:val="2"/>
            <w:lang w:eastAsia="fr-CA"/>
            <w14:ligatures w14:val="standardContextual"/>
          </w:rPr>
          <w:tab/>
        </w:r>
        <w:r w:rsidRPr="00711919">
          <w:rPr>
            <w:rStyle w:val="Lienhypertexte"/>
            <w:color w:val="001042"/>
          </w:rPr>
          <w:t>L’homophobie et la transphobie au quotidien</w:t>
        </w:r>
        <w:r w:rsidRPr="00711919">
          <w:rPr>
            <w:webHidden/>
            <w:color w:val="001042"/>
          </w:rPr>
          <w:tab/>
        </w:r>
        <w:r w:rsidRPr="00711919">
          <w:rPr>
            <w:webHidden/>
            <w:color w:val="001042"/>
          </w:rPr>
          <w:fldChar w:fldCharType="begin"/>
        </w:r>
        <w:r w:rsidRPr="00711919">
          <w:rPr>
            <w:webHidden/>
            <w:color w:val="001042"/>
          </w:rPr>
          <w:instrText xml:space="preserve"> PAGEREF _Toc229131351 \h </w:instrText>
        </w:r>
        <w:r w:rsidRPr="00711919">
          <w:rPr>
            <w:webHidden/>
            <w:color w:val="001042"/>
          </w:rPr>
        </w:r>
        <w:r w:rsidRPr="00711919">
          <w:rPr>
            <w:webHidden/>
            <w:color w:val="001042"/>
          </w:rPr>
          <w:fldChar w:fldCharType="separate"/>
        </w:r>
        <w:r w:rsidR="00FC231E">
          <w:rPr>
            <w:webHidden/>
            <w:color w:val="001042"/>
          </w:rPr>
          <w:t>106</w:t>
        </w:r>
        <w:r w:rsidRPr="00711919">
          <w:rPr>
            <w:webHidden/>
            <w:color w:val="001042"/>
          </w:rPr>
          <w:fldChar w:fldCharType="end"/>
        </w:r>
      </w:hyperlink>
    </w:p>
    <w:p w14:paraId="21D71E32" w14:textId="168EBBF8" w:rsidR="00B06AAE" w:rsidRPr="00711919" w:rsidRDefault="00B06AAE">
      <w:pPr>
        <w:pStyle w:val="TM2"/>
        <w:rPr>
          <w:rFonts w:eastAsiaTheme="minorEastAsia"/>
          <w:bCs w:val="0"/>
          <w:color w:val="001042"/>
          <w:kern w:val="2"/>
          <w:lang w:eastAsia="fr-CA"/>
          <w14:ligatures w14:val="standardContextual"/>
        </w:rPr>
      </w:pPr>
      <w:hyperlink w:anchor="_Toc229131352" w:history="1">
        <w:r w:rsidRPr="00711919">
          <w:rPr>
            <w:rStyle w:val="Lienhypertexte"/>
            <w:color w:val="001042"/>
            <w:lang w:bidi="fr-CA"/>
          </w:rPr>
          <w:t>13.2</w:t>
        </w:r>
        <w:r w:rsidRPr="00711919">
          <w:rPr>
            <w:rFonts w:eastAsiaTheme="minorEastAsia"/>
            <w:bCs w:val="0"/>
            <w:color w:val="001042"/>
            <w:kern w:val="2"/>
            <w:lang w:eastAsia="fr-CA"/>
            <w14:ligatures w14:val="standardContextual"/>
          </w:rPr>
          <w:tab/>
        </w:r>
        <w:r w:rsidRPr="00711919">
          <w:rPr>
            <w:rStyle w:val="Lienhypertexte"/>
            <w:color w:val="001042"/>
            <w:lang w:bidi="fr-CA"/>
          </w:rPr>
          <w:t>Les droits au travail à protéger à la lumière d’une trajectoire de vie</w:t>
        </w:r>
        <w:r w:rsidRPr="00711919">
          <w:rPr>
            <w:webHidden/>
            <w:color w:val="001042"/>
          </w:rPr>
          <w:tab/>
        </w:r>
        <w:r w:rsidRPr="00711919">
          <w:rPr>
            <w:webHidden/>
            <w:color w:val="001042"/>
          </w:rPr>
          <w:fldChar w:fldCharType="begin"/>
        </w:r>
        <w:r w:rsidRPr="00711919">
          <w:rPr>
            <w:webHidden/>
            <w:color w:val="001042"/>
          </w:rPr>
          <w:instrText xml:space="preserve"> PAGEREF _Toc229131352 \h </w:instrText>
        </w:r>
        <w:r w:rsidRPr="00711919">
          <w:rPr>
            <w:webHidden/>
            <w:color w:val="001042"/>
          </w:rPr>
        </w:r>
        <w:r w:rsidRPr="00711919">
          <w:rPr>
            <w:webHidden/>
            <w:color w:val="001042"/>
          </w:rPr>
          <w:fldChar w:fldCharType="separate"/>
        </w:r>
        <w:r w:rsidR="00FC231E">
          <w:rPr>
            <w:webHidden/>
            <w:color w:val="001042"/>
          </w:rPr>
          <w:t>107</w:t>
        </w:r>
        <w:r w:rsidRPr="00711919">
          <w:rPr>
            <w:webHidden/>
            <w:color w:val="001042"/>
          </w:rPr>
          <w:fldChar w:fldCharType="end"/>
        </w:r>
      </w:hyperlink>
    </w:p>
    <w:p w14:paraId="54AE1DC8" w14:textId="6A4D6FCC" w:rsidR="00B06AAE" w:rsidRPr="00711919" w:rsidRDefault="00B06AAE">
      <w:pPr>
        <w:pStyle w:val="TM2"/>
        <w:rPr>
          <w:rFonts w:eastAsiaTheme="minorEastAsia"/>
          <w:bCs w:val="0"/>
          <w:color w:val="001042"/>
          <w:kern w:val="2"/>
          <w:lang w:eastAsia="fr-CA"/>
          <w14:ligatures w14:val="standardContextual"/>
        </w:rPr>
      </w:pPr>
      <w:hyperlink w:anchor="_Toc229131353" w:history="1">
        <w:r w:rsidRPr="00711919">
          <w:rPr>
            <w:rStyle w:val="Lienhypertexte"/>
            <w:color w:val="001042"/>
            <w:lang w:bidi="fr-CA"/>
          </w:rPr>
          <w:t>13.3</w:t>
        </w:r>
        <w:r w:rsidRPr="00711919">
          <w:rPr>
            <w:rFonts w:eastAsiaTheme="minorEastAsia"/>
            <w:bCs w:val="0"/>
            <w:color w:val="001042"/>
            <w:kern w:val="2"/>
            <w:lang w:eastAsia="fr-CA"/>
            <w14:ligatures w14:val="standardContextual"/>
          </w:rPr>
          <w:tab/>
        </w:r>
        <w:r w:rsidRPr="00711919">
          <w:rPr>
            <w:rStyle w:val="Lienhypertexte"/>
            <w:color w:val="001042"/>
            <w:lang w:bidi="fr-CA"/>
          </w:rPr>
          <w:t>Le travail, indissociable des autres sphères de la vie des personnes</w:t>
        </w:r>
        <w:r w:rsidRPr="00711919">
          <w:rPr>
            <w:webHidden/>
            <w:color w:val="001042"/>
          </w:rPr>
          <w:tab/>
        </w:r>
        <w:r w:rsidRPr="00711919">
          <w:rPr>
            <w:webHidden/>
            <w:color w:val="001042"/>
          </w:rPr>
          <w:fldChar w:fldCharType="begin"/>
        </w:r>
        <w:r w:rsidRPr="00711919">
          <w:rPr>
            <w:webHidden/>
            <w:color w:val="001042"/>
          </w:rPr>
          <w:instrText xml:space="preserve"> PAGEREF _Toc229131353 \h </w:instrText>
        </w:r>
        <w:r w:rsidRPr="00711919">
          <w:rPr>
            <w:webHidden/>
            <w:color w:val="001042"/>
          </w:rPr>
        </w:r>
        <w:r w:rsidRPr="00711919">
          <w:rPr>
            <w:webHidden/>
            <w:color w:val="001042"/>
          </w:rPr>
          <w:fldChar w:fldCharType="separate"/>
        </w:r>
        <w:r w:rsidR="00FC231E">
          <w:rPr>
            <w:webHidden/>
            <w:color w:val="001042"/>
          </w:rPr>
          <w:t>108</w:t>
        </w:r>
        <w:r w:rsidRPr="00711919">
          <w:rPr>
            <w:webHidden/>
            <w:color w:val="001042"/>
          </w:rPr>
          <w:fldChar w:fldCharType="end"/>
        </w:r>
      </w:hyperlink>
    </w:p>
    <w:p w14:paraId="36B975A5" w14:textId="7F683554" w:rsidR="00B06AAE" w:rsidRPr="00711919" w:rsidRDefault="00B06AAE">
      <w:pPr>
        <w:pStyle w:val="TM2"/>
        <w:rPr>
          <w:rFonts w:eastAsiaTheme="minorEastAsia"/>
          <w:bCs w:val="0"/>
          <w:color w:val="001042"/>
          <w:kern w:val="2"/>
          <w:lang w:eastAsia="fr-CA"/>
          <w14:ligatures w14:val="standardContextual"/>
        </w:rPr>
      </w:pPr>
      <w:hyperlink w:anchor="_Toc229131354" w:history="1">
        <w:r w:rsidRPr="00711919">
          <w:rPr>
            <w:rStyle w:val="Lienhypertexte"/>
            <w:color w:val="001042"/>
            <w:lang w:bidi="fr-CA"/>
          </w:rPr>
          <w:t>13.4</w:t>
        </w:r>
        <w:r w:rsidRPr="00711919">
          <w:rPr>
            <w:rFonts w:eastAsiaTheme="minorEastAsia"/>
            <w:bCs w:val="0"/>
            <w:color w:val="001042"/>
            <w:kern w:val="2"/>
            <w:lang w:eastAsia="fr-CA"/>
            <w14:ligatures w14:val="standardContextual"/>
          </w:rPr>
          <w:tab/>
        </w:r>
        <w:r w:rsidRPr="00711919">
          <w:rPr>
            <w:rStyle w:val="Lienhypertexte"/>
            <w:color w:val="001042"/>
            <w:lang w:bidi="fr-CA"/>
          </w:rPr>
          <w:t>Le dilemme du dévoilement au travail, une question de droit au respect de sa vie privée</w:t>
        </w:r>
        <w:r w:rsidRPr="00711919">
          <w:rPr>
            <w:webHidden/>
            <w:color w:val="001042"/>
          </w:rPr>
          <w:tab/>
        </w:r>
        <w:r w:rsidRPr="00711919">
          <w:rPr>
            <w:webHidden/>
            <w:color w:val="001042"/>
          </w:rPr>
          <w:fldChar w:fldCharType="begin"/>
        </w:r>
        <w:r w:rsidRPr="00711919">
          <w:rPr>
            <w:webHidden/>
            <w:color w:val="001042"/>
          </w:rPr>
          <w:instrText xml:space="preserve"> PAGEREF _Toc229131354 \h </w:instrText>
        </w:r>
        <w:r w:rsidRPr="00711919">
          <w:rPr>
            <w:webHidden/>
            <w:color w:val="001042"/>
          </w:rPr>
        </w:r>
        <w:r w:rsidRPr="00711919">
          <w:rPr>
            <w:webHidden/>
            <w:color w:val="001042"/>
          </w:rPr>
          <w:fldChar w:fldCharType="separate"/>
        </w:r>
        <w:r w:rsidR="00FC231E">
          <w:rPr>
            <w:webHidden/>
            <w:color w:val="001042"/>
          </w:rPr>
          <w:t>108</w:t>
        </w:r>
        <w:r w:rsidRPr="00711919">
          <w:rPr>
            <w:webHidden/>
            <w:color w:val="001042"/>
          </w:rPr>
          <w:fldChar w:fldCharType="end"/>
        </w:r>
      </w:hyperlink>
    </w:p>
    <w:p w14:paraId="03E31BAE" w14:textId="6FEF9C59" w:rsidR="00B06AAE" w:rsidRPr="00711919" w:rsidRDefault="00B06AAE">
      <w:pPr>
        <w:pStyle w:val="TM2"/>
        <w:rPr>
          <w:rFonts w:eastAsiaTheme="minorEastAsia"/>
          <w:bCs w:val="0"/>
          <w:color w:val="001042"/>
          <w:kern w:val="2"/>
          <w:lang w:eastAsia="fr-CA"/>
          <w14:ligatures w14:val="standardContextual"/>
        </w:rPr>
      </w:pPr>
      <w:hyperlink w:anchor="_Toc229131355" w:history="1">
        <w:r w:rsidRPr="00711919">
          <w:rPr>
            <w:rStyle w:val="Lienhypertexte"/>
            <w:color w:val="001042"/>
            <w:lang w:bidi="fr-CA"/>
          </w:rPr>
          <w:t>13.5</w:t>
        </w:r>
        <w:r w:rsidRPr="00711919">
          <w:rPr>
            <w:rFonts w:eastAsiaTheme="minorEastAsia"/>
            <w:bCs w:val="0"/>
            <w:color w:val="001042"/>
            <w:kern w:val="2"/>
            <w:lang w:eastAsia="fr-CA"/>
            <w14:ligatures w14:val="standardContextual"/>
          </w:rPr>
          <w:tab/>
        </w:r>
        <w:r w:rsidRPr="00711919">
          <w:rPr>
            <w:rStyle w:val="Lienhypertexte"/>
            <w:color w:val="001042"/>
            <w:lang w:bidi="fr-CA"/>
          </w:rPr>
          <w:t>Le sexisme comme élément structurant de la discrimination envers les personnes LGBTQ+</w:t>
        </w:r>
        <w:r w:rsidRPr="00711919">
          <w:rPr>
            <w:webHidden/>
            <w:color w:val="001042"/>
          </w:rPr>
          <w:tab/>
        </w:r>
        <w:r w:rsidRPr="00711919">
          <w:rPr>
            <w:webHidden/>
            <w:color w:val="001042"/>
          </w:rPr>
          <w:fldChar w:fldCharType="begin"/>
        </w:r>
        <w:r w:rsidRPr="00711919">
          <w:rPr>
            <w:webHidden/>
            <w:color w:val="001042"/>
          </w:rPr>
          <w:instrText xml:space="preserve"> PAGEREF _Toc229131355 \h </w:instrText>
        </w:r>
        <w:r w:rsidRPr="00711919">
          <w:rPr>
            <w:webHidden/>
            <w:color w:val="001042"/>
          </w:rPr>
        </w:r>
        <w:r w:rsidRPr="00711919">
          <w:rPr>
            <w:webHidden/>
            <w:color w:val="001042"/>
          </w:rPr>
          <w:fldChar w:fldCharType="separate"/>
        </w:r>
        <w:r w:rsidR="00FC231E">
          <w:rPr>
            <w:webHidden/>
            <w:color w:val="001042"/>
          </w:rPr>
          <w:t>109</w:t>
        </w:r>
        <w:r w:rsidRPr="00711919">
          <w:rPr>
            <w:webHidden/>
            <w:color w:val="001042"/>
          </w:rPr>
          <w:fldChar w:fldCharType="end"/>
        </w:r>
      </w:hyperlink>
    </w:p>
    <w:p w14:paraId="3AA9826E" w14:textId="19B3CA95" w:rsidR="00B06AAE" w:rsidRPr="00711919" w:rsidRDefault="00B06AAE">
      <w:pPr>
        <w:pStyle w:val="TM2"/>
        <w:rPr>
          <w:rFonts w:eastAsiaTheme="minorEastAsia"/>
          <w:bCs w:val="0"/>
          <w:color w:val="001042"/>
          <w:kern w:val="2"/>
          <w:lang w:eastAsia="fr-CA"/>
          <w14:ligatures w14:val="standardContextual"/>
        </w:rPr>
      </w:pPr>
      <w:hyperlink w:anchor="_Toc229131356" w:history="1">
        <w:r w:rsidRPr="00711919">
          <w:rPr>
            <w:rStyle w:val="Lienhypertexte"/>
            <w:color w:val="001042"/>
            <w:lang w:bidi="fr-CA"/>
          </w:rPr>
          <w:t>13.6</w:t>
        </w:r>
        <w:r w:rsidRPr="00711919">
          <w:rPr>
            <w:rFonts w:eastAsiaTheme="minorEastAsia"/>
            <w:bCs w:val="0"/>
            <w:color w:val="001042"/>
            <w:kern w:val="2"/>
            <w:lang w:eastAsia="fr-CA"/>
            <w14:ligatures w14:val="standardContextual"/>
          </w:rPr>
          <w:tab/>
        </w:r>
        <w:r w:rsidRPr="00711919">
          <w:rPr>
            <w:rStyle w:val="Lienhypertexte"/>
            <w:color w:val="001042"/>
            <w:lang w:bidi="fr-CA"/>
          </w:rPr>
          <w:t>L’embauche, le maintien en emploi et le climat de travail, trois aspects à travailler pour les employeurs</w:t>
        </w:r>
        <w:r w:rsidRPr="00711919">
          <w:rPr>
            <w:webHidden/>
            <w:color w:val="001042"/>
          </w:rPr>
          <w:tab/>
        </w:r>
        <w:r w:rsidRPr="00711919">
          <w:rPr>
            <w:webHidden/>
            <w:color w:val="001042"/>
          </w:rPr>
          <w:fldChar w:fldCharType="begin"/>
        </w:r>
        <w:r w:rsidRPr="00711919">
          <w:rPr>
            <w:webHidden/>
            <w:color w:val="001042"/>
          </w:rPr>
          <w:instrText xml:space="preserve"> PAGEREF _Toc229131356 \h </w:instrText>
        </w:r>
        <w:r w:rsidRPr="00711919">
          <w:rPr>
            <w:webHidden/>
            <w:color w:val="001042"/>
          </w:rPr>
        </w:r>
        <w:r w:rsidRPr="00711919">
          <w:rPr>
            <w:webHidden/>
            <w:color w:val="001042"/>
          </w:rPr>
          <w:fldChar w:fldCharType="separate"/>
        </w:r>
        <w:r w:rsidR="00FC231E">
          <w:rPr>
            <w:webHidden/>
            <w:color w:val="001042"/>
          </w:rPr>
          <w:t>110</w:t>
        </w:r>
        <w:r w:rsidRPr="00711919">
          <w:rPr>
            <w:webHidden/>
            <w:color w:val="001042"/>
          </w:rPr>
          <w:fldChar w:fldCharType="end"/>
        </w:r>
      </w:hyperlink>
    </w:p>
    <w:p w14:paraId="13FD93D9" w14:textId="571162DF" w:rsidR="00B06AAE" w:rsidRPr="00711919" w:rsidRDefault="00B06AAE">
      <w:pPr>
        <w:pStyle w:val="TM2"/>
        <w:rPr>
          <w:rStyle w:val="Lienhypertexte"/>
          <w:color w:val="001042"/>
        </w:rPr>
      </w:pPr>
      <w:hyperlink w:anchor="_Toc229131357" w:history="1">
        <w:r w:rsidRPr="00711919">
          <w:rPr>
            <w:rStyle w:val="Lienhypertexte"/>
            <w:color w:val="001042"/>
          </w:rPr>
          <w:t>13.7</w:t>
        </w:r>
        <w:r w:rsidRPr="00711919">
          <w:rPr>
            <w:rFonts w:eastAsiaTheme="minorEastAsia"/>
            <w:bCs w:val="0"/>
            <w:color w:val="001042"/>
            <w:kern w:val="2"/>
            <w:lang w:eastAsia="fr-CA"/>
            <w14:ligatures w14:val="standardContextual"/>
          </w:rPr>
          <w:tab/>
        </w:r>
        <w:r w:rsidRPr="00711919">
          <w:rPr>
            <w:rStyle w:val="Lienhypertexte"/>
            <w:color w:val="001042"/>
          </w:rPr>
          <w:t>Des défis différents selon la taille du milieu de travail</w:t>
        </w:r>
        <w:r w:rsidRPr="00711919">
          <w:rPr>
            <w:webHidden/>
            <w:color w:val="001042"/>
          </w:rPr>
          <w:tab/>
        </w:r>
        <w:r w:rsidRPr="00711919">
          <w:rPr>
            <w:webHidden/>
            <w:color w:val="001042"/>
          </w:rPr>
          <w:fldChar w:fldCharType="begin"/>
        </w:r>
        <w:r w:rsidRPr="00711919">
          <w:rPr>
            <w:webHidden/>
            <w:color w:val="001042"/>
          </w:rPr>
          <w:instrText xml:space="preserve"> PAGEREF _Toc229131357 \h </w:instrText>
        </w:r>
        <w:r w:rsidRPr="00711919">
          <w:rPr>
            <w:webHidden/>
            <w:color w:val="001042"/>
          </w:rPr>
        </w:r>
        <w:r w:rsidRPr="00711919">
          <w:rPr>
            <w:webHidden/>
            <w:color w:val="001042"/>
          </w:rPr>
          <w:fldChar w:fldCharType="separate"/>
        </w:r>
        <w:r w:rsidR="00FC231E">
          <w:rPr>
            <w:webHidden/>
            <w:color w:val="001042"/>
          </w:rPr>
          <w:t>111</w:t>
        </w:r>
        <w:r w:rsidRPr="00711919">
          <w:rPr>
            <w:webHidden/>
            <w:color w:val="001042"/>
          </w:rPr>
          <w:fldChar w:fldCharType="end"/>
        </w:r>
      </w:hyperlink>
    </w:p>
    <w:p w14:paraId="474CA08E" w14:textId="77777777" w:rsidR="00711919" w:rsidRPr="00711919" w:rsidRDefault="00711919" w:rsidP="00711919">
      <w:pPr>
        <w:rPr>
          <w:rFonts w:asciiTheme="minorHAnsi" w:hAnsiTheme="minorHAnsi"/>
          <w:noProof/>
          <w:color w:val="001042"/>
          <w:lang w:eastAsia="fr-CA"/>
        </w:rPr>
      </w:pPr>
    </w:p>
    <w:p w14:paraId="735CB3A8" w14:textId="77777777" w:rsidR="00711919" w:rsidRPr="00711919" w:rsidRDefault="00711919" w:rsidP="00711919">
      <w:pPr>
        <w:rPr>
          <w:rFonts w:asciiTheme="minorHAnsi" w:hAnsiTheme="minorHAnsi"/>
          <w:noProof/>
          <w:color w:val="001042"/>
          <w:lang w:eastAsia="fr-CA"/>
        </w:rPr>
      </w:pPr>
    </w:p>
    <w:p w14:paraId="021DB62A" w14:textId="6B6F0F34" w:rsidR="00B06AAE" w:rsidRPr="00711919" w:rsidRDefault="00B06AAE">
      <w:pPr>
        <w:pStyle w:val="TM1"/>
        <w:rPr>
          <w:rFonts w:asciiTheme="minorHAnsi" w:eastAsiaTheme="minorEastAsia" w:hAnsiTheme="minorHAnsi"/>
          <w:b w:val="0"/>
          <w:bCs w:val="0"/>
          <w:color w:val="001042"/>
          <w:kern w:val="2"/>
          <w:lang w:eastAsia="fr-CA"/>
          <w14:ligatures w14:val="standardContextual"/>
        </w:rPr>
      </w:pPr>
      <w:hyperlink w:anchor="_Toc229131358" w:history="1">
        <w:r w:rsidRPr="00711919">
          <w:rPr>
            <w:rStyle w:val="Lienhypertexte"/>
            <w:rFonts w:asciiTheme="minorHAnsi" w:hAnsiTheme="minorHAnsi"/>
            <w:color w:val="001042"/>
          </w:rPr>
          <w:t>Conclusion</w:t>
        </w:r>
        <w:r w:rsidRPr="0080713B">
          <w:rPr>
            <w:rFonts w:asciiTheme="minorHAnsi" w:hAnsiTheme="minorHAnsi"/>
            <w:b w:val="0"/>
            <w:bCs w:val="0"/>
            <w:webHidden/>
            <w:color w:val="001042"/>
          </w:rPr>
          <w:tab/>
        </w:r>
        <w:r w:rsidRPr="0080713B">
          <w:rPr>
            <w:rFonts w:asciiTheme="minorHAnsi" w:hAnsiTheme="minorHAnsi"/>
            <w:b w:val="0"/>
            <w:bCs w:val="0"/>
            <w:webHidden/>
            <w:color w:val="001042"/>
          </w:rPr>
          <w:fldChar w:fldCharType="begin"/>
        </w:r>
        <w:r w:rsidRPr="0080713B">
          <w:rPr>
            <w:rFonts w:asciiTheme="minorHAnsi" w:hAnsiTheme="minorHAnsi"/>
            <w:b w:val="0"/>
            <w:bCs w:val="0"/>
            <w:webHidden/>
            <w:color w:val="001042"/>
          </w:rPr>
          <w:instrText xml:space="preserve"> PAGEREF _Toc229131358 \h </w:instrText>
        </w:r>
        <w:r w:rsidRPr="0080713B">
          <w:rPr>
            <w:rFonts w:asciiTheme="minorHAnsi" w:hAnsiTheme="minorHAnsi"/>
            <w:b w:val="0"/>
            <w:bCs w:val="0"/>
            <w:webHidden/>
            <w:color w:val="001042"/>
          </w:rPr>
        </w:r>
        <w:r w:rsidRPr="0080713B">
          <w:rPr>
            <w:rFonts w:asciiTheme="minorHAnsi" w:hAnsiTheme="minorHAnsi"/>
            <w:b w:val="0"/>
            <w:bCs w:val="0"/>
            <w:webHidden/>
            <w:color w:val="001042"/>
          </w:rPr>
          <w:fldChar w:fldCharType="separate"/>
        </w:r>
        <w:r w:rsidR="00FC231E">
          <w:rPr>
            <w:rFonts w:asciiTheme="minorHAnsi" w:hAnsiTheme="minorHAnsi"/>
            <w:b w:val="0"/>
            <w:bCs w:val="0"/>
            <w:webHidden/>
            <w:color w:val="001042"/>
          </w:rPr>
          <w:t>112</w:t>
        </w:r>
        <w:r w:rsidRPr="0080713B">
          <w:rPr>
            <w:rFonts w:asciiTheme="minorHAnsi" w:hAnsiTheme="minorHAnsi"/>
            <w:b w:val="0"/>
            <w:bCs w:val="0"/>
            <w:webHidden/>
            <w:color w:val="001042"/>
          </w:rPr>
          <w:fldChar w:fldCharType="end"/>
        </w:r>
      </w:hyperlink>
    </w:p>
    <w:p w14:paraId="6BF63302" w14:textId="48E223ED" w:rsidR="001D198A" w:rsidRPr="00A839DD" w:rsidRDefault="00B06AAE" w:rsidP="0098108A">
      <w:r w:rsidRPr="00711919">
        <w:rPr>
          <w:rFonts w:asciiTheme="minorHAnsi" w:hAnsiTheme="minorHAnsi"/>
          <w:color w:val="0F243E"/>
        </w:rPr>
        <w:fldChar w:fldCharType="end"/>
      </w:r>
    </w:p>
    <w:p w14:paraId="78B037C4" w14:textId="77777777" w:rsidR="001D198A" w:rsidRPr="00A839DD" w:rsidRDefault="001D198A" w:rsidP="0098108A"/>
    <w:p w14:paraId="0245A50E" w14:textId="550EF6A4" w:rsidR="00FA5D00" w:rsidRPr="00A839DD" w:rsidRDefault="00FA5D00" w:rsidP="0098108A"/>
    <w:p w14:paraId="7271F627" w14:textId="77777777" w:rsidR="00FA5D00" w:rsidRPr="00A839DD" w:rsidRDefault="00FA5D00" w:rsidP="0098108A"/>
    <w:p w14:paraId="72E60B0E" w14:textId="77777777" w:rsidR="00FA5D00" w:rsidRPr="00A839DD" w:rsidRDefault="00FA5D00" w:rsidP="0098108A"/>
    <w:p w14:paraId="6B084EAB" w14:textId="77777777" w:rsidR="00FA5D00" w:rsidRPr="00A839DD" w:rsidRDefault="00FA5D00" w:rsidP="0098108A"/>
    <w:p w14:paraId="0D9E46B3" w14:textId="77777777" w:rsidR="00FA5D00" w:rsidRPr="00A839DD" w:rsidRDefault="00FA5D00" w:rsidP="0098108A"/>
    <w:p w14:paraId="1D9A5049" w14:textId="77777777" w:rsidR="00FA5D00" w:rsidRPr="00A839DD" w:rsidRDefault="00FA5D00" w:rsidP="002A60C5"/>
    <w:p w14:paraId="0A2AF9F1" w14:textId="77777777" w:rsidR="00FA5D00" w:rsidRPr="00A839DD" w:rsidRDefault="00FA5D00" w:rsidP="002A60C5"/>
    <w:p w14:paraId="7A97E319" w14:textId="77777777" w:rsidR="00FA5D00" w:rsidRPr="00A839DD" w:rsidRDefault="00FA5D00" w:rsidP="002A60C5">
      <w:pPr>
        <w:pStyle w:val="TM2"/>
        <w:ind w:left="1276"/>
        <w:rPr>
          <w:noProof w:val="0"/>
        </w:rPr>
        <w:sectPr w:rsidR="00FA5D00" w:rsidRPr="00A839DD" w:rsidSect="00FB315B">
          <w:headerReference w:type="even" r:id="rId24"/>
          <w:headerReference w:type="default" r:id="rId25"/>
          <w:headerReference w:type="first" r:id="rId26"/>
          <w:pgSz w:w="12240" w:h="15840" w:code="1"/>
          <w:pgMar w:top="1985" w:right="1134" w:bottom="1418" w:left="1418" w:header="709" w:footer="709" w:gutter="0"/>
          <w:pgNumType w:fmt="lowerRoman"/>
          <w:cols w:space="708"/>
          <w:docGrid w:linePitch="360"/>
        </w:sectPr>
      </w:pPr>
    </w:p>
    <w:p w14:paraId="4BF332B9" w14:textId="2B3E7B63" w:rsidR="002F031D" w:rsidRPr="00A839DD" w:rsidRDefault="00362EE1" w:rsidP="006471A9">
      <w:pPr>
        <w:pStyle w:val="Titre"/>
        <w:rPr>
          <w:sz w:val="28"/>
        </w:rPr>
      </w:pPr>
      <w:bookmarkStart w:id="12" w:name="_Toc229131241"/>
      <w:r w:rsidRPr="00FD49C2">
        <w:rPr>
          <w:rFonts w:ascii="Times New Roman" w:hAnsi="Times New Roman"/>
          <w:noProof/>
          <w:color w:val="auto"/>
          <w:sz w:val="24"/>
          <w:szCs w:val="24"/>
        </w:rPr>
        <w:lastRenderedPageBreak/>
        <w:drawing>
          <wp:anchor distT="0" distB="0" distL="114300" distR="114300" simplePos="0" relativeHeight="251658243" behindDoc="1" locked="0" layoutInCell="1" allowOverlap="1" wp14:anchorId="51193E2A" wp14:editId="17105EA8">
            <wp:simplePos x="0" y="0"/>
            <wp:positionH relativeFrom="column">
              <wp:posOffset>59055</wp:posOffset>
            </wp:positionH>
            <wp:positionV relativeFrom="paragraph">
              <wp:posOffset>550545</wp:posOffset>
            </wp:positionV>
            <wp:extent cx="1115695" cy="1263015"/>
            <wp:effectExtent l="19050" t="19050" r="27305" b="13335"/>
            <wp:wrapTight wrapText="bothSides">
              <wp:wrapPolygon edited="0">
                <wp:start x="-369" y="-326"/>
                <wp:lineTo x="-369" y="21502"/>
                <wp:lineTo x="21760" y="21502"/>
                <wp:lineTo x="21760" y="-326"/>
                <wp:lineTo x="-369" y="-326"/>
              </wp:wrapPolygon>
            </wp:wrapTight>
            <wp:docPr id="1735198863" name="Image 1735198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98863" name="Image 1735198863">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3804"/>
                    <a:stretch>
                      <a:fillRect/>
                    </a:stretch>
                  </pic:blipFill>
                  <pic:spPr bwMode="auto">
                    <a:xfrm>
                      <a:off x="0" y="0"/>
                      <a:ext cx="1115695" cy="126301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31D" w:rsidRPr="00A839DD">
        <w:t>M</w:t>
      </w:r>
      <w:r w:rsidR="001075E6">
        <w:t>essage</w:t>
      </w:r>
      <w:r w:rsidR="002F031D" w:rsidRPr="00A839DD">
        <w:t xml:space="preserve"> de la présiden</w:t>
      </w:r>
      <w:r w:rsidR="00DF2E9A">
        <w:t>t</w:t>
      </w:r>
      <w:r w:rsidR="002F031D" w:rsidRPr="00A839DD">
        <w:t>e</w:t>
      </w:r>
      <w:bookmarkEnd w:id="12"/>
    </w:p>
    <w:p w14:paraId="44485383" w14:textId="6A892ADE" w:rsidR="00573766" w:rsidRDefault="00573766" w:rsidP="0006339A">
      <w:pPr>
        <w:pStyle w:val="Paragraphe"/>
      </w:pPr>
      <w:r>
        <w:t xml:space="preserve">La Commission des droits de la personne et des droits de la jeunesse est fière de dévoiler la présente étude qui </w:t>
      </w:r>
      <w:r w:rsidR="008D7C2A">
        <w:t>brosse</w:t>
      </w:r>
      <w:r>
        <w:t xml:space="preserve"> un portrait sur 30</w:t>
      </w:r>
      <w:r w:rsidR="00F53AB9">
        <w:t> </w:t>
      </w:r>
      <w:r>
        <w:t xml:space="preserve">ans de plaintes pour discrimination en emploi déposées par des personnes LGBTQ+. </w:t>
      </w:r>
    </w:p>
    <w:p w14:paraId="25B898C4" w14:textId="77777777" w:rsidR="00573766" w:rsidRDefault="00573766" w:rsidP="0006339A">
      <w:pPr>
        <w:pStyle w:val="Paragraphe"/>
      </w:pPr>
      <w:r>
        <w:t>Elle met en lumière que le principal secteur visé par les plaintes que reçoit la Commission pour discrimination fondée sur l’orientation sexuelle et l’identité ou l’expression de genre est l’emploi. Cette étude nous rappelle également que l’atteinte de l’égalité pour les personnes LGBTQ+ requiert des actions concrètes et soutenues de la part de l’ensemble des acteurs du marché du travail.</w:t>
      </w:r>
    </w:p>
    <w:p w14:paraId="35C95851" w14:textId="77777777" w:rsidR="00573766" w:rsidRDefault="00573766" w:rsidP="0006339A">
      <w:pPr>
        <w:pStyle w:val="Paragraphe"/>
      </w:pPr>
      <w:r>
        <w:t>Réalisée dans le cadre d’un partenariat avec le projet de recherche SAVIE-LGBTQ, cette étude apporte un nouvel éclairage sur les expériences et les profils des personnes LGBTQ+ qui ont porté plainte à la Commission. Elle constitue à ce titre un outil précieux pour la Commission, tant pour orienter ses actions que pour approfondir sa connaissance des réalités des personnes LGBTQ+.</w:t>
      </w:r>
    </w:p>
    <w:p w14:paraId="084DEF59" w14:textId="0F13E108" w:rsidR="00573766" w:rsidRDefault="00573766" w:rsidP="0006339A">
      <w:pPr>
        <w:pStyle w:val="Paragraphe"/>
      </w:pPr>
      <w:r>
        <w:t>L’étude témoigne également de la complémentarité des différentes responsabilités confiées par la Charte des droits et libertés de la personne à la Commission pour favoriser l’avancement des droits</w:t>
      </w:r>
      <w:r w:rsidR="00F53AB9">
        <w:t> </w:t>
      </w:r>
      <w:r>
        <w:t>: la recherche, le traitement de plaintes et la promotion des droits.</w:t>
      </w:r>
    </w:p>
    <w:p w14:paraId="30E3ED98" w14:textId="386942F4" w:rsidR="00573766" w:rsidRDefault="00573766" w:rsidP="0006339A">
      <w:pPr>
        <w:pStyle w:val="Paragraphe"/>
      </w:pPr>
      <w:r>
        <w:t>Alors que la Charte célèbre son 50e</w:t>
      </w:r>
      <w:r w:rsidR="00F53AB9">
        <w:t> </w:t>
      </w:r>
      <w:r>
        <w:t>anniversaire, la Commission tient à souligner les avancées significatives qu’elle a rendues possibles pour les personnes LGBTQ+. Cela dit, la Commission est consciente du chemin qu’il reste à parcourir pour assurer leur pleine égalité.  Elle entend donc poursuivre ses actions en soutien à ces personnes en mobilisant tous les leviers à sa disposition.</w:t>
      </w:r>
    </w:p>
    <w:p w14:paraId="331EA5E7" w14:textId="041D36D4" w:rsidR="00573766" w:rsidRDefault="00573766" w:rsidP="0006339A">
      <w:pPr>
        <w:pStyle w:val="Paragraphe"/>
      </w:pPr>
      <w:r>
        <w:t>Je tiens enfin à exprimer mes plus sincères remerciements aux équipes de la Commission et du projet SAVIE-LGBTQ dont la précieuse collaboration a été déterminante pour la réalisation et le rayonnement de cette étude.</w:t>
      </w:r>
      <w:r w:rsidR="001A54BB">
        <w:t xml:space="preserve"> </w:t>
      </w:r>
    </w:p>
    <w:p w14:paraId="39CF65E9" w14:textId="77777777" w:rsidR="00573766" w:rsidRDefault="00573766" w:rsidP="0006339A">
      <w:pPr>
        <w:pStyle w:val="Paragraphe"/>
      </w:pPr>
      <w:r>
        <w:t>La présidente,</w:t>
      </w:r>
    </w:p>
    <w:p w14:paraId="57BA8DF4" w14:textId="587DDC6C" w:rsidR="00E8213E" w:rsidRDefault="00E8213E" w:rsidP="0006339A">
      <w:pPr>
        <w:pStyle w:val="Paragraphe"/>
      </w:pPr>
      <w:r w:rsidRPr="008F11DB">
        <w:drawing>
          <wp:inline distT="0" distB="0" distL="0" distR="0" wp14:anchorId="6346664F" wp14:editId="0E7D824B">
            <wp:extent cx="1661160" cy="518160"/>
            <wp:effectExtent l="0" t="0" r="0" b="0"/>
            <wp:docPr id="170979192" name="Image 1" descr="Signature de Nadine Kou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9192" name="Image 1" descr="Signature de Nadine Kouss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1160" cy="518160"/>
                    </a:xfrm>
                    <a:prstGeom prst="rect">
                      <a:avLst/>
                    </a:prstGeom>
                    <a:noFill/>
                    <a:ln>
                      <a:noFill/>
                    </a:ln>
                  </pic:spPr>
                </pic:pic>
              </a:graphicData>
            </a:graphic>
          </wp:inline>
        </w:drawing>
      </w:r>
    </w:p>
    <w:p w14:paraId="00522A17" w14:textId="695C7236" w:rsidR="002F031D" w:rsidRDefault="00573766" w:rsidP="0006339A">
      <w:pPr>
        <w:pStyle w:val="Paragraphe"/>
      </w:pPr>
      <w:r>
        <w:t xml:space="preserve">Nadine </w:t>
      </w:r>
      <w:r w:rsidR="004804EE">
        <w:t>KOUSSA</w:t>
      </w:r>
    </w:p>
    <w:p w14:paraId="2A33C126" w14:textId="77777777" w:rsidR="00A110AB" w:rsidRPr="00A839DD" w:rsidRDefault="00A110AB" w:rsidP="0006339A">
      <w:pPr>
        <w:pStyle w:val="Paragraphe"/>
      </w:pPr>
    </w:p>
    <w:p w14:paraId="264714DB" w14:textId="77777777" w:rsidR="002F031D" w:rsidRPr="00A110AB" w:rsidRDefault="002F031D" w:rsidP="004F080D">
      <w:r w:rsidRPr="00A839DD">
        <w:br w:type="page"/>
      </w:r>
    </w:p>
    <w:p w14:paraId="54B44192" w14:textId="34532280" w:rsidR="002F031D" w:rsidRDefault="002F031D" w:rsidP="006471A9">
      <w:pPr>
        <w:pStyle w:val="Titre"/>
      </w:pPr>
      <w:bookmarkStart w:id="13" w:name="_Toc229131242"/>
      <w:r w:rsidRPr="00A839DD">
        <w:lastRenderedPageBreak/>
        <w:t>M</w:t>
      </w:r>
      <w:r w:rsidR="009237FA">
        <w:t>essage</w:t>
      </w:r>
      <w:r w:rsidRPr="00A839DD">
        <w:t xml:space="preserve"> de la direction </w:t>
      </w:r>
      <w:r w:rsidR="00DF2E9A">
        <w:t xml:space="preserve">du projet </w:t>
      </w:r>
      <w:r w:rsidRPr="00A839DD">
        <w:t>SAVIE-LGBTQ</w:t>
      </w:r>
      <w:bookmarkEnd w:id="13"/>
    </w:p>
    <w:p w14:paraId="28874E58" w14:textId="70D226C4" w:rsidR="0087725C" w:rsidRPr="005841CD" w:rsidRDefault="00B61590" w:rsidP="0006339A">
      <w:pPr>
        <w:pStyle w:val="Paragraphe"/>
      </w:pPr>
      <w:r>
        <w:t>À</w:t>
      </w:r>
      <w:r w:rsidR="0087725C">
        <w:t xml:space="preserve"> titre de codirecteur et codirectrice du projet SAVIE-LGBTQ, nous tenons à souligner l’importance particulière du présent rapport, qui constitue une contribution majeure à la compréhension des obstacles qui continuent de compromettre l’égalité réelle des personnes LGBTQ+ au Québec.</w:t>
      </w:r>
    </w:p>
    <w:p w14:paraId="69D54D39" w14:textId="4B17E2F7" w:rsidR="0087725C" w:rsidRDefault="0087725C" w:rsidP="0006339A">
      <w:pPr>
        <w:pStyle w:val="Paragraphe"/>
      </w:pPr>
      <w:r>
        <w:t>Ce rapport représente une pièce maîtresse du projet SAVIE-LGBTQ. En s’appuyant sur trente années de plaintes pour discrimination en emploi fondée sur l’orientation sexuelle, l’identité de genre ou l’expression de genre, il donne accès à des situations concrètes, vécues et rapportées par des personnes qui se sont tournées vers la Commission pour faire reconnaître leurs droits. Il rend ainsi visibles des formes d’exclusion qui traversent les milieux de travail, parfois de manière frontale, parfois de façon plus diffuse, et rappelle que les avancées juridiques et sociales, bien que majeures, ne suffisent pas à garantir des environnements de travail réellement inclusifs, sécuritaires et respectueux des droits.</w:t>
      </w:r>
    </w:p>
    <w:p w14:paraId="370079F2" w14:textId="26DA5949" w:rsidR="0087725C" w:rsidRDefault="0087725C" w:rsidP="0006339A">
      <w:pPr>
        <w:pStyle w:val="Paragraphe"/>
      </w:pPr>
      <w:r>
        <w:t>Dans un contexte où les droits fondamentaux des personnes LGBTQ+ font l’objet d’attaques grandissantes, au Québec comme ailleurs, ce travail prend une portée particulière. Il rappelle que l’égalité ne peut être tenue pour acquise et que la protection des droits exige une vigilance constante, appuyée sur des données, une analyse rigoureuse et une écoute attentive des expériences vécues. En documentant les formes persistantes de discrimination en emploi, ce rapport contribue ainsi à contrer l’invisibilisation des injustices et à soutenir les institutions, les milieux de travail et les acteurs sociaux dans leurs responsabilités à l’égard de l’égalité réelle.</w:t>
      </w:r>
    </w:p>
    <w:p w14:paraId="28530485" w14:textId="57F3B2F1" w:rsidR="0087725C" w:rsidRDefault="0087725C" w:rsidP="0006339A">
      <w:pPr>
        <w:pStyle w:val="Paragraphe"/>
      </w:pPr>
      <w:r>
        <w:t>En mettant en dialogue l’analyse des plaintes, les connaissances scientifiques et les préoccupations issues des milieux communautaires et institutionnels, ce rapport contribue à mieux comprendre les conditions d’inclusion et d’exclusion des personnes LGBTQ+ et offre une base empirique pour développer des actions concrètes en faveur de l’égalité réelle en milieu de travail.</w:t>
      </w:r>
    </w:p>
    <w:p w14:paraId="13E1205C" w14:textId="2356ED81" w:rsidR="0087725C" w:rsidRDefault="0087725C" w:rsidP="0006339A">
      <w:pPr>
        <w:pStyle w:val="Paragraphe"/>
      </w:pPr>
      <w:r>
        <w:t>Nous souhaitons remercier la Commission des droits de la personne et des droits de la jeunesse pour la rigueur de ce travail, pour la qualité de sa collaboration et pour son engagement constant envers la reconnaissance, la protection et la promotion des droits des personnes LGBTQ+.</w:t>
      </w:r>
    </w:p>
    <w:p w14:paraId="01E58564" w14:textId="266D8E85" w:rsidR="00006B93" w:rsidRDefault="00A967B1" w:rsidP="0006339A">
      <w:pPr>
        <w:pStyle w:val="Paragraphe"/>
      </w:pPr>
      <w:r>
        <w:drawing>
          <wp:anchor distT="0" distB="0" distL="114300" distR="114300" simplePos="0" relativeHeight="251658242" behindDoc="1" locked="0" layoutInCell="1" allowOverlap="0" wp14:anchorId="6D214985" wp14:editId="5C02E2B3">
            <wp:simplePos x="0" y="0"/>
            <wp:positionH relativeFrom="column">
              <wp:posOffset>1268095</wp:posOffset>
            </wp:positionH>
            <wp:positionV relativeFrom="paragraph">
              <wp:posOffset>316230</wp:posOffset>
            </wp:positionV>
            <wp:extent cx="1014730" cy="1263015"/>
            <wp:effectExtent l="19050" t="19050" r="13970" b="13335"/>
            <wp:wrapTight wrapText="bothSides">
              <wp:wrapPolygon edited="0">
                <wp:start x="-406" y="-326"/>
                <wp:lineTo x="-406" y="21502"/>
                <wp:lineTo x="21492" y="21502"/>
                <wp:lineTo x="21492" y="-326"/>
                <wp:lineTo x="-406" y="-326"/>
              </wp:wrapPolygon>
            </wp:wrapTight>
            <wp:docPr id="1649467425"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67425" name="Image 3">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4730" cy="1263015"/>
                    </a:xfrm>
                    <a:prstGeom prst="rect">
                      <a:avLst/>
                    </a:prstGeom>
                    <a:noFill/>
                    <a:ln w="1270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FE36E9">
        <w:drawing>
          <wp:anchor distT="0" distB="0" distL="114300" distR="114300" simplePos="0" relativeHeight="251658241" behindDoc="0" locked="0" layoutInCell="1" allowOverlap="1" wp14:anchorId="768ADEA2" wp14:editId="37108FAB">
            <wp:simplePos x="0" y="0"/>
            <wp:positionH relativeFrom="column">
              <wp:posOffset>15240</wp:posOffset>
            </wp:positionH>
            <wp:positionV relativeFrom="paragraph">
              <wp:posOffset>316230</wp:posOffset>
            </wp:positionV>
            <wp:extent cx="1072515" cy="1259840"/>
            <wp:effectExtent l="19050" t="19050" r="13335" b="16510"/>
            <wp:wrapSquare wrapText="bothSides"/>
            <wp:docPr id="1343588148"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88148" name="Image 7">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833" r="3866"/>
                    <a:stretch>
                      <a:fillRect/>
                    </a:stretch>
                  </pic:blipFill>
                  <pic:spPr bwMode="auto">
                    <a:xfrm>
                      <a:off x="0" y="0"/>
                      <a:ext cx="1072515" cy="1259840"/>
                    </a:xfrm>
                    <a:prstGeom prst="rect">
                      <a:avLst/>
                    </a:prstGeom>
                    <a:noFill/>
                    <a:ln w="12700">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25C">
        <w:t>Le codirecteur et la codirectrice du projet SAVIE-LGBTQ,</w:t>
      </w:r>
    </w:p>
    <w:p w14:paraId="24FE735A" w14:textId="2D0EA8C6" w:rsidR="00006B93" w:rsidRDefault="00006B93" w:rsidP="0006339A">
      <w:pPr>
        <w:pStyle w:val="Paragraphe"/>
      </w:pPr>
    </w:p>
    <w:p w14:paraId="0F2EAD91" w14:textId="1EE43052" w:rsidR="00006B93" w:rsidRDefault="00006B93" w:rsidP="0006339A">
      <w:pPr>
        <w:pStyle w:val="Paragraphe"/>
      </w:pPr>
    </w:p>
    <w:p w14:paraId="0894E5D7" w14:textId="4C364E36" w:rsidR="00006B93" w:rsidRDefault="00006B93" w:rsidP="0006339A">
      <w:pPr>
        <w:pStyle w:val="Paragraphe"/>
      </w:pPr>
    </w:p>
    <w:p w14:paraId="61964EE5" w14:textId="77777777" w:rsidR="00006B93" w:rsidRDefault="00006B93" w:rsidP="0006339A">
      <w:pPr>
        <w:pStyle w:val="Paragraphe"/>
      </w:pPr>
    </w:p>
    <w:p w14:paraId="34401550" w14:textId="66DFBB50" w:rsidR="002F031D" w:rsidRPr="00AA24DF" w:rsidRDefault="000E1313" w:rsidP="0006339A">
      <w:pPr>
        <w:pStyle w:val="Paragraphe"/>
      </w:pPr>
      <w:r>
        <w:tab/>
      </w:r>
      <w:r w:rsidR="0087725C">
        <w:t xml:space="preserve">Martin </w:t>
      </w:r>
      <w:r w:rsidR="00F32B6D">
        <w:t>BLAIS</w:t>
      </w:r>
      <w:r w:rsidR="0087725C">
        <w:t xml:space="preserve"> </w:t>
      </w:r>
      <w:r>
        <w:tab/>
      </w:r>
      <w:r w:rsidR="00A967B1">
        <w:t>I</w:t>
      </w:r>
      <w:r w:rsidR="0087725C">
        <w:t xml:space="preserve">sabel </w:t>
      </w:r>
      <w:r w:rsidR="00F32B6D">
        <w:t>CÔTÉ</w:t>
      </w:r>
      <w:bookmarkStart w:id="14" w:name="_Toc195019410"/>
      <w:r w:rsidR="002F031D" w:rsidRPr="00A839DD">
        <w:br w:type="page"/>
      </w:r>
    </w:p>
    <w:p w14:paraId="4635975C" w14:textId="127BD8FD" w:rsidR="00001A60" w:rsidRPr="00A839DD" w:rsidRDefault="0045257B" w:rsidP="006471A9">
      <w:pPr>
        <w:pStyle w:val="Titre"/>
        <w:rPr>
          <w:sz w:val="28"/>
        </w:rPr>
      </w:pPr>
      <w:bookmarkStart w:id="15" w:name="_Toc229131243"/>
      <w:r w:rsidRPr="00A839DD">
        <w:lastRenderedPageBreak/>
        <w:t>Sommaire</w:t>
      </w:r>
      <w:bookmarkEnd w:id="14"/>
      <w:bookmarkEnd w:id="15"/>
    </w:p>
    <w:p w14:paraId="43D70A4C" w14:textId="406257C4" w:rsidR="00D47577" w:rsidRPr="00A839DD" w:rsidRDefault="00D47577" w:rsidP="0006339A">
      <w:pPr>
        <w:pStyle w:val="Paragraphe"/>
      </w:pPr>
      <w:r w:rsidRPr="00A839DD">
        <w:t>Depuis 50</w:t>
      </w:r>
      <w:r w:rsidR="00750B1D">
        <w:t> </w:t>
      </w:r>
      <w:r w:rsidRPr="00A839DD">
        <w:t>ans, des personnes LGBTQ+ portent plainte à la Commission des droits de la personne et des droits de la jeunesse parce qu’elles estiment avoir été discriminées au travail. Ces plaintes racontent des situations et expériences du point de vue des personnes concernées</w:t>
      </w:r>
      <w:r w:rsidR="00B40F04" w:rsidRPr="00A839DD">
        <w:rPr>
          <w:rFonts w:ascii="Arial" w:hAnsi="Arial" w:cs="Arial"/>
        </w:rPr>
        <w:t> </w:t>
      </w:r>
      <w:r w:rsidRPr="00A839DD">
        <w:t>: remarques d</w:t>
      </w:r>
      <w:r w:rsidRPr="00A839DD">
        <w:rPr>
          <w:rFonts w:cs="Aptos"/>
        </w:rPr>
        <w:t>é</w:t>
      </w:r>
      <w:r w:rsidRPr="00A839DD">
        <w:t>plac</w:t>
      </w:r>
      <w:r w:rsidRPr="00A839DD">
        <w:rPr>
          <w:rFonts w:cs="Aptos"/>
        </w:rPr>
        <w:t>é</w:t>
      </w:r>
      <w:r w:rsidRPr="00A839DD">
        <w:t>es, moqueries, m</w:t>
      </w:r>
      <w:r w:rsidRPr="00A839DD">
        <w:rPr>
          <w:rFonts w:cs="Aptos"/>
        </w:rPr>
        <w:t>é</w:t>
      </w:r>
      <w:r w:rsidRPr="00A839DD">
        <w:t>genrage, gestes violents, climat de travail hostile, cong</w:t>
      </w:r>
      <w:r w:rsidRPr="00A839DD">
        <w:rPr>
          <w:rFonts w:cs="Aptos"/>
        </w:rPr>
        <w:t>é</w:t>
      </w:r>
      <w:r w:rsidRPr="00A839DD">
        <w:t>diements injustes, refus d</w:t>
      </w:r>
      <w:r w:rsidRPr="00A839DD">
        <w:rPr>
          <w:rFonts w:cs="Aptos"/>
        </w:rPr>
        <w:t>’</w:t>
      </w:r>
      <w:r w:rsidRPr="00A839DD">
        <w:t>embauche, ou encore d</w:t>
      </w:r>
      <w:r w:rsidRPr="00A839DD">
        <w:rPr>
          <w:rFonts w:cs="Aptos"/>
        </w:rPr>
        <w:t>é</w:t>
      </w:r>
      <w:r w:rsidRPr="00A839DD">
        <w:t>voilement non souhait</w:t>
      </w:r>
      <w:r w:rsidRPr="00A839DD">
        <w:rPr>
          <w:rFonts w:cs="Aptos"/>
        </w:rPr>
        <w:t>é</w:t>
      </w:r>
      <w:r w:rsidRPr="00A839DD">
        <w:t xml:space="preserve"> d</w:t>
      </w:r>
      <w:r w:rsidRPr="00A839DD">
        <w:rPr>
          <w:rFonts w:cs="Aptos"/>
        </w:rPr>
        <w:t>’</w:t>
      </w:r>
      <w:r w:rsidRPr="00A839DD">
        <w:t>informations personnelles. Selon les personnes concern</w:t>
      </w:r>
      <w:r w:rsidRPr="00A839DD">
        <w:rPr>
          <w:rFonts w:cs="Aptos"/>
        </w:rPr>
        <w:t>é</w:t>
      </w:r>
      <w:r w:rsidRPr="00A839DD">
        <w:t>es, ces manifestations ont des effets qui peuvent être profonds sur leur vie</w:t>
      </w:r>
      <w:r w:rsidR="00B40F04" w:rsidRPr="00A839DD">
        <w:t> </w:t>
      </w:r>
      <w:r w:rsidRPr="00A839DD">
        <w:t>: perte d’emploi, abattement, peur et anxiété ou impossibilité de travailler.</w:t>
      </w:r>
    </w:p>
    <w:p w14:paraId="2BB2E12C" w14:textId="1D9BA810" w:rsidR="00D47577" w:rsidRPr="00A839DD" w:rsidRDefault="00D47577" w:rsidP="0006339A">
      <w:pPr>
        <w:pStyle w:val="Paragraphe"/>
      </w:pPr>
      <w:r w:rsidRPr="00A839DD">
        <w:t xml:space="preserve">La recherche présentée dans ce rapport porte sur </w:t>
      </w:r>
      <w:r w:rsidR="000F5631" w:rsidRPr="00A839DD">
        <w:t>769</w:t>
      </w:r>
      <w:r w:rsidR="00750B1D">
        <w:t> </w:t>
      </w:r>
      <w:r w:rsidRPr="00A839DD">
        <w:t>plaintes reçues entre 1994 et 2024 pour discrimination</w:t>
      </w:r>
      <w:r w:rsidR="006A3162" w:rsidRPr="00A839DD">
        <w:t xml:space="preserve"> en emploi</w:t>
      </w:r>
      <w:r w:rsidRPr="00A839DD">
        <w:t xml:space="preserve"> fondée sur l’orientation sexuelle ou l’identité ou l’expression de genre, dont 201 ayant fait l’objet d’une analyse qualitative approfondie. Elle constitue la première étude de ces plaintes. Sans être représentative</w:t>
      </w:r>
      <w:r w:rsidR="0077632E">
        <w:t>s</w:t>
      </w:r>
      <w:r w:rsidR="004A6353" w:rsidRPr="00A839DD">
        <w:t xml:space="preserve"> de la situation </w:t>
      </w:r>
      <w:r w:rsidR="00FB50F3" w:rsidRPr="00A839DD">
        <w:t>des personnes LGBTQ+ en emploi</w:t>
      </w:r>
      <w:r w:rsidR="00FB01D6" w:rsidRPr="00A839DD">
        <w:t xml:space="preserve"> au Québec</w:t>
      </w:r>
      <w:r w:rsidRPr="00A839DD">
        <w:t xml:space="preserve">, </w:t>
      </w:r>
      <w:r w:rsidR="00FB50F3" w:rsidRPr="00A839DD">
        <w:t>les plaintes mettent</w:t>
      </w:r>
      <w:r w:rsidRPr="00A839DD">
        <w:t xml:space="preserve"> en lumière non seulement les formes persistantes que peu</w:t>
      </w:r>
      <w:r w:rsidR="009A1618" w:rsidRPr="00A839DD">
        <w:t>ven</w:t>
      </w:r>
      <w:r w:rsidRPr="00A839DD">
        <w:t xml:space="preserve">t prendre </w:t>
      </w:r>
      <w:r w:rsidR="009A1618" w:rsidRPr="00A839DD">
        <w:t>l’homophobie et la transphobie</w:t>
      </w:r>
      <w:r w:rsidRPr="00A839DD">
        <w:t>, mais aussi le</w:t>
      </w:r>
      <w:r w:rsidR="00B634DC" w:rsidRPr="00A839DD">
        <w:t>ur</w:t>
      </w:r>
      <w:r w:rsidRPr="00A839DD">
        <w:t>s effets possibles sur la vie et le travail des personnes LGBTQ+. Combinée à d’autres sources documentaires, cette recherche contribue à alimenter le portrait de la situation des personnes LGBTQ+ en emploi.</w:t>
      </w:r>
    </w:p>
    <w:p w14:paraId="6AFC6B7E" w14:textId="46BA2423" w:rsidR="006B5773" w:rsidRPr="00A839DD" w:rsidRDefault="00D47577" w:rsidP="0006339A">
      <w:pPr>
        <w:pStyle w:val="Paragraphe"/>
      </w:pPr>
      <w:r w:rsidRPr="00A839DD">
        <w:t xml:space="preserve">La Commission des droits a réalisé cette recherche dans le cadre de son partenariat avec le projet de recherche </w:t>
      </w:r>
      <w:r w:rsidRPr="00A839DD">
        <w:rPr>
          <w:i/>
          <w:iCs/>
        </w:rPr>
        <w:t>Savoirs sur l’inclusion et l’exclusion des personnes LGBTQ</w:t>
      </w:r>
      <w:r w:rsidRPr="00A839DD">
        <w:t xml:space="preserve"> (SAVIE-LGBTQ).</w:t>
      </w:r>
    </w:p>
    <w:p w14:paraId="40F420D0" w14:textId="64330488" w:rsidR="00411DF1" w:rsidRDefault="00D06A49" w:rsidP="006471A9">
      <w:pPr>
        <w:pStyle w:val="Titre"/>
      </w:pPr>
      <w:r w:rsidRPr="00A839DD">
        <w:t>P</w:t>
      </w:r>
      <w:r w:rsidR="008944D7" w:rsidRPr="00A839DD">
        <w:t>ourquoi s’intéresser à l’emploi</w:t>
      </w:r>
      <w:r w:rsidR="00B40F04" w:rsidRPr="00A839DD">
        <w:rPr>
          <w:rFonts w:ascii="Arial" w:hAnsi="Arial" w:cs="Arial"/>
        </w:rPr>
        <w:t> </w:t>
      </w:r>
      <w:r w:rsidRPr="00A839DD">
        <w:t>?</w:t>
      </w:r>
    </w:p>
    <w:p w14:paraId="709BA6E6" w14:textId="7125D567" w:rsidR="00411DF1" w:rsidRPr="003A792C" w:rsidRDefault="00411DF1" w:rsidP="003A792C">
      <w:pPr>
        <w:rPr>
          <w:b/>
        </w:rPr>
      </w:pPr>
      <w:r w:rsidRPr="003A792C">
        <w:rPr>
          <w:b/>
        </w:rPr>
        <w:t xml:space="preserve">Parce que la Charte </w:t>
      </w:r>
      <w:r w:rsidR="0018678C" w:rsidRPr="003A792C">
        <w:rPr>
          <w:b/>
        </w:rPr>
        <w:t>québécoise</w:t>
      </w:r>
      <w:r w:rsidRPr="003A792C">
        <w:rPr>
          <w:b/>
        </w:rPr>
        <w:t xml:space="preserve"> garantit les droits des personnes LGBTQ+ au travail</w:t>
      </w:r>
    </w:p>
    <w:p w14:paraId="1E5EAF81" w14:textId="5DFC6346" w:rsidR="00411DF1" w:rsidRPr="00A839DD" w:rsidRDefault="00411DF1" w:rsidP="0006339A">
      <w:pPr>
        <w:pStyle w:val="Paragraphe"/>
      </w:pPr>
      <w:r w:rsidRPr="00A839DD">
        <w:t>Une personne au travail n</w:t>
      </w:r>
      <w:r w:rsidR="00B40F04" w:rsidRPr="00A839DD">
        <w:t>’</w:t>
      </w:r>
      <w:r w:rsidRPr="00A839DD">
        <w:t>est pas qu</w:t>
      </w:r>
      <w:r w:rsidR="00B40F04" w:rsidRPr="00A839DD">
        <w:t>’</w:t>
      </w:r>
      <w:r w:rsidRPr="00A839DD">
        <w:t>une personne employée</w:t>
      </w:r>
      <w:r w:rsidR="00B40F04" w:rsidRPr="00A839DD">
        <w:rPr>
          <w:rFonts w:ascii="Arial" w:hAnsi="Arial" w:cs="Arial"/>
        </w:rPr>
        <w:t> </w:t>
      </w:r>
      <w:r w:rsidRPr="00A839DD">
        <w:t xml:space="preserve">; elle est avant tout </w:t>
      </w:r>
      <w:r w:rsidR="00E32A1D" w:rsidRPr="00A839DD">
        <w:t xml:space="preserve">une personne </w:t>
      </w:r>
      <w:r w:rsidRPr="00A839DD">
        <w:t>titulaire de droits. Ces droits</w:t>
      </w:r>
      <w:r w:rsidR="00163428" w:rsidRPr="00A839DD">
        <w:t xml:space="preserve">, </w:t>
      </w:r>
      <w:r w:rsidR="00E30CC6" w:rsidRPr="00A839DD">
        <w:t>protégés</w:t>
      </w:r>
      <w:r w:rsidR="00163428" w:rsidRPr="00A839DD">
        <w:t xml:space="preserve"> par la </w:t>
      </w:r>
      <w:r w:rsidR="00163428" w:rsidRPr="00A839DD">
        <w:rPr>
          <w:i/>
          <w:iCs/>
        </w:rPr>
        <w:t>Charte</w:t>
      </w:r>
      <w:r w:rsidR="004C4E49" w:rsidRPr="00A839DD">
        <w:rPr>
          <w:i/>
          <w:iCs/>
        </w:rPr>
        <w:t xml:space="preserve"> des droits et libertés de la personne</w:t>
      </w:r>
      <w:r w:rsidR="00163428" w:rsidRPr="00A839DD">
        <w:t>,</w:t>
      </w:r>
      <w:r w:rsidRPr="00A839DD">
        <w:t xml:space="preserve"> incluent par exemple le droit à la sûreté, la liberté d’expression, la liberté d’association, le droit à la sauvegarde de sa dignité, le droit au respect de sa vie privée et le droit à des conditions de travail justes et raisonnables et qui respectent sa santé, sa sécurité et son intégrité physique. La Charte garantit </w:t>
      </w:r>
      <w:r w:rsidR="00C0370D" w:rsidRPr="00A839DD">
        <w:t>aussi</w:t>
      </w:r>
      <w:r w:rsidRPr="00A839DD">
        <w:t xml:space="preserve"> la reconnaissance et l</w:t>
      </w:r>
      <w:r w:rsidR="00B40F04" w:rsidRPr="00A839DD">
        <w:t>’</w:t>
      </w:r>
      <w:r w:rsidRPr="00A839DD">
        <w:t xml:space="preserve">exercice de ces droits en toute égalité et sans discrimination, </w:t>
      </w:r>
      <w:r w:rsidR="005E7C83" w:rsidRPr="00A839DD">
        <w:t xml:space="preserve">ainsi que le droit d’être protégé contre le harcèlement, </w:t>
      </w:r>
      <w:r w:rsidRPr="00A839DD">
        <w:t>notamment sur la base du sexe, de l’orientation sexuelle et de l’identité ou l’expression de genre.</w:t>
      </w:r>
    </w:p>
    <w:p w14:paraId="0C50F269" w14:textId="77777777" w:rsidR="00411DF1" w:rsidRPr="003A792C" w:rsidRDefault="00411DF1" w:rsidP="003A792C">
      <w:pPr>
        <w:rPr>
          <w:b/>
        </w:rPr>
      </w:pPr>
      <w:r w:rsidRPr="003A792C">
        <w:rPr>
          <w:b/>
        </w:rPr>
        <w:t>Parce que le travail est le secteur pour lequel la Commission reçoit le plus de plaintes pour discrimination fondée sur l’orientation sexuelle et l’identité ou l’expression de genre</w:t>
      </w:r>
    </w:p>
    <w:p w14:paraId="18706FF4" w14:textId="1B689811" w:rsidR="00411DF1" w:rsidRDefault="00411DF1" w:rsidP="0006339A">
      <w:pPr>
        <w:pStyle w:val="Paragraphe"/>
      </w:pPr>
      <w:r w:rsidRPr="00A839DD">
        <w:t>45</w:t>
      </w:r>
      <w:r w:rsidR="00EF4F3D" w:rsidRPr="00A839DD">
        <w:t> </w:t>
      </w:r>
      <w:r w:rsidRPr="00A839DD">
        <w:t xml:space="preserve">% des plaintes </w:t>
      </w:r>
      <w:r w:rsidR="00A97994" w:rsidRPr="00A839DD">
        <w:t xml:space="preserve">pour discrimination fondée sur ces motifs </w:t>
      </w:r>
      <w:r w:rsidRPr="00A839DD">
        <w:t>visent ce secteur</w:t>
      </w:r>
      <w:r w:rsidR="005810CD" w:rsidRPr="00A839DD">
        <w:t>.</w:t>
      </w:r>
    </w:p>
    <w:p w14:paraId="0B07AA79" w14:textId="77777777" w:rsidR="006471A9" w:rsidRDefault="006471A9" w:rsidP="0006339A">
      <w:pPr>
        <w:pStyle w:val="Paragraphe"/>
      </w:pPr>
    </w:p>
    <w:p w14:paraId="2C8393E5" w14:textId="77777777" w:rsidR="00411DF1" w:rsidRPr="00477653" w:rsidRDefault="00411DF1" w:rsidP="00477653">
      <w:pPr>
        <w:rPr>
          <w:b/>
        </w:rPr>
      </w:pPr>
      <w:r w:rsidRPr="00477653">
        <w:rPr>
          <w:b/>
        </w:rPr>
        <w:lastRenderedPageBreak/>
        <w:t>Parce que le travail occupe une place majeure dans la vie des personnes</w:t>
      </w:r>
    </w:p>
    <w:p w14:paraId="4ECD9121" w14:textId="517C43FF" w:rsidR="00411DF1" w:rsidRPr="00A839DD" w:rsidRDefault="00411DF1" w:rsidP="0006339A">
      <w:pPr>
        <w:pStyle w:val="Paragraphe"/>
      </w:pPr>
      <w:r w:rsidRPr="00A839DD">
        <w:t xml:space="preserve">Le travail </w:t>
      </w:r>
      <w:r w:rsidR="00792D7F" w:rsidRPr="00A839DD">
        <w:t>occupe une place fondamentale dans</w:t>
      </w:r>
      <w:r w:rsidRPr="00A839DD">
        <w:t xml:space="preserve"> la vie d’une personne parce qu’il </w:t>
      </w:r>
      <w:r w:rsidR="00CC23D6" w:rsidRPr="00A839DD">
        <w:t xml:space="preserve">lui </w:t>
      </w:r>
      <w:r w:rsidRPr="00A839DD">
        <w:t xml:space="preserve">permet de subvenir à ses besoins financiers </w:t>
      </w:r>
      <w:r w:rsidR="00714D6C" w:rsidRPr="00A839DD">
        <w:t>tout en participant activement à la société</w:t>
      </w:r>
      <w:r w:rsidRPr="00A839DD">
        <w:t>. Il peut aussi s’agir d’un lieu de sociabilité, d’entraide et de soutien social. Bref, l’exclusion au travail est susceptible d’affecter la vie d’une personne à de multiples plans, et ce, jusque dans son identité sociale.</w:t>
      </w:r>
    </w:p>
    <w:p w14:paraId="3F459021" w14:textId="77777777" w:rsidR="00411DF1" w:rsidRPr="00477653" w:rsidRDefault="00411DF1" w:rsidP="00477653">
      <w:pPr>
        <w:rPr>
          <w:b/>
        </w:rPr>
      </w:pPr>
      <w:r w:rsidRPr="00477653">
        <w:rPr>
          <w:b/>
        </w:rPr>
        <w:t>Parce que le travail préoccupe les groupes de personnes concernées</w:t>
      </w:r>
    </w:p>
    <w:p w14:paraId="0F4B9354" w14:textId="77777777" w:rsidR="00411DF1" w:rsidRPr="00A839DD" w:rsidRDefault="00411DF1" w:rsidP="0006339A">
      <w:pPr>
        <w:pStyle w:val="Paragraphe"/>
      </w:pPr>
      <w:r w:rsidRPr="00A839DD">
        <w:t>Au cours des dernières années, face aux constats du peu de données disponibles, plusieurs organismes ont multiplié les initiatives pour documenter la situation des personnes LGBTQ+ en emploi et ainsi attirer l’attention sur leurs réalités. Ce rapport représente une contribution de la Commission en ce sens.</w:t>
      </w:r>
    </w:p>
    <w:p w14:paraId="14CCC642" w14:textId="35F187BC" w:rsidR="003C0DAB" w:rsidRPr="00A839DD" w:rsidRDefault="006B5773" w:rsidP="006471A9">
      <w:pPr>
        <w:pStyle w:val="Titre"/>
      </w:pPr>
      <w:r w:rsidRPr="00A839DD">
        <w:t>L’état des connaissances : des discriminations qui persistent</w:t>
      </w:r>
    </w:p>
    <w:p w14:paraId="0EDE9F15" w14:textId="1D19EC2F" w:rsidR="003C0DAB" w:rsidRPr="00A839DD" w:rsidRDefault="003C0DAB" w:rsidP="0006339A">
      <w:pPr>
        <w:pStyle w:val="Paragraphe"/>
      </w:pPr>
      <w:r w:rsidRPr="00A839DD">
        <w:t>L</w:t>
      </w:r>
      <w:r w:rsidR="0096086A" w:rsidRPr="00A839DD">
        <w:t>’état des connaissances</w:t>
      </w:r>
      <w:r w:rsidRPr="00A839DD">
        <w:t xml:space="preserve"> montre que, malgré des avancées juridiques importantes, les personnes LGBTQ+ demeurent désavantagées sur le marché du travail, et ce, à différents degrés selon les sous-groupes. Elles continuent de faire face à des </w:t>
      </w:r>
      <w:r w:rsidR="00CD75B5" w:rsidRPr="00A839DD">
        <w:t>refus d</w:t>
      </w:r>
      <w:r w:rsidRPr="00A839DD">
        <w:t xml:space="preserve">’embauche, à des écarts de revenus, à des climats de travail parfois hostiles et à des défis liés au dévoilement de leur orientation sexuelle ou de leur </w:t>
      </w:r>
      <w:r w:rsidR="006D050B" w:rsidRPr="00A839DD">
        <w:t>transidentité</w:t>
      </w:r>
      <w:r w:rsidRPr="00A839DD">
        <w:t xml:space="preserve">. Les normes dominantes de genre et de sexualité façonnent encore les milieux de travail, </w:t>
      </w:r>
      <w:r w:rsidR="009D015E" w:rsidRPr="00A839DD">
        <w:t xml:space="preserve">pouvant </w:t>
      </w:r>
      <w:r w:rsidRPr="00A839DD">
        <w:t>entraîn</w:t>
      </w:r>
      <w:r w:rsidR="009D015E" w:rsidRPr="00A839DD">
        <w:t xml:space="preserve">er </w:t>
      </w:r>
      <w:r w:rsidRPr="00A839DD">
        <w:t>harcèlement et marginalisation, particulièrement pour les personnes trans, non binaires et bisexuelles, ainsi que les personnes LGBTQ+ racisées ou en situation de handicap. Ces expériences, qui s’entrecroisent souvent avec d’autres rapports sociaux comme le sexisme</w:t>
      </w:r>
      <w:r w:rsidR="00764E79" w:rsidRPr="00A839DD">
        <w:t>,</w:t>
      </w:r>
      <w:r w:rsidRPr="00A839DD">
        <w:t xml:space="preserve"> le racisme</w:t>
      </w:r>
      <w:r w:rsidR="00764E79" w:rsidRPr="00A839DD">
        <w:t xml:space="preserve"> et le capacitisme</w:t>
      </w:r>
      <w:r w:rsidRPr="00A839DD">
        <w:t xml:space="preserve">, influencent les parcours professionnels, </w:t>
      </w:r>
      <w:r w:rsidR="004B32ED" w:rsidRPr="00A839DD">
        <w:t>de même que</w:t>
      </w:r>
      <w:r w:rsidRPr="00A839DD">
        <w:t xml:space="preserve"> la santé et le bien-être des personnes LGBTQ+. Malgré une production grandissante de données, la recherche </w:t>
      </w:r>
      <w:r w:rsidR="004B2D2E" w:rsidRPr="00A839DD">
        <w:t xml:space="preserve">sur la situation </w:t>
      </w:r>
      <w:r w:rsidR="006D4983" w:rsidRPr="00A839DD">
        <w:t>en emploi des personnes LGBTQ+</w:t>
      </w:r>
      <w:r w:rsidRPr="00A839DD">
        <w:t xml:space="preserve"> demeure limitée et reflète encore imparfaitement la diversité des réalités vécues, notamment celles des personnes LGBTQ+ racisées, autochtones</w:t>
      </w:r>
      <w:r w:rsidR="00090B8F" w:rsidRPr="00A839DD">
        <w:t>, en situation de handicap</w:t>
      </w:r>
      <w:r w:rsidRPr="00A839DD">
        <w:t xml:space="preserve"> ou travaillant dans des secteurs précaires.</w:t>
      </w:r>
    </w:p>
    <w:p w14:paraId="36AB0BFE" w14:textId="6AF73F70" w:rsidR="00056E79" w:rsidRPr="00A839DD" w:rsidRDefault="006B5773" w:rsidP="006471A9">
      <w:pPr>
        <w:pStyle w:val="Titre"/>
      </w:pPr>
      <w:r w:rsidRPr="00A839DD">
        <w:t>Ce que révèlent les plaintes : des exclusions aux formes multiples</w:t>
      </w:r>
    </w:p>
    <w:p w14:paraId="5AF7E7FD" w14:textId="09670F30" w:rsidR="00056E79" w:rsidRPr="00477653" w:rsidRDefault="00056E79" w:rsidP="00477653">
      <w:pPr>
        <w:rPr>
          <w:b/>
        </w:rPr>
      </w:pPr>
      <w:r w:rsidRPr="00477653">
        <w:rPr>
          <w:b/>
        </w:rPr>
        <w:t xml:space="preserve">L’homophobie et la transphobie </w:t>
      </w:r>
      <w:r w:rsidR="00FB7DA1" w:rsidRPr="00477653">
        <w:rPr>
          <w:b/>
        </w:rPr>
        <w:t>au quotidien</w:t>
      </w:r>
    </w:p>
    <w:p w14:paraId="503E1C01" w14:textId="013AC0C4" w:rsidR="00725B3B" w:rsidRPr="00A839DD" w:rsidRDefault="00725B3B" w:rsidP="0006339A">
      <w:pPr>
        <w:pStyle w:val="Paragraphe"/>
      </w:pPr>
      <w:r w:rsidRPr="00A839DD">
        <w:t>Les plaintes montrent que l’exclusion n’est pas toujours spectaculaire</w:t>
      </w:r>
      <w:r w:rsidRPr="00A839DD">
        <w:rPr>
          <w:rFonts w:ascii="Arial" w:hAnsi="Arial" w:cs="Arial"/>
        </w:rPr>
        <w:t xml:space="preserve">. </w:t>
      </w:r>
      <w:r w:rsidR="00405280" w:rsidRPr="00A839DD">
        <w:t>Bien q</w:t>
      </w:r>
      <w:r w:rsidRPr="00A839DD">
        <w:t xml:space="preserve">u’elle </w:t>
      </w:r>
      <w:r w:rsidR="002606E9" w:rsidRPr="00A839DD">
        <w:t xml:space="preserve">soit </w:t>
      </w:r>
      <w:r w:rsidR="00B263B4" w:rsidRPr="00A839DD">
        <w:t>parfois</w:t>
      </w:r>
      <w:r w:rsidRPr="00A839DD">
        <w:t xml:space="preserve"> violente et explicite, elle prend </w:t>
      </w:r>
      <w:r w:rsidR="00B263B4" w:rsidRPr="00A839DD">
        <w:t>d’autres fois</w:t>
      </w:r>
      <w:r w:rsidRPr="00A839DD">
        <w:t xml:space="preserve"> la forme de gestes </w:t>
      </w:r>
      <w:r w:rsidR="00AC2507" w:rsidRPr="00A839DD">
        <w:t xml:space="preserve">en apparence </w:t>
      </w:r>
      <w:r w:rsidRPr="00A839DD">
        <w:t>banals, répétés, qui s’additionnent. Il peut s’agir de «</w:t>
      </w:r>
      <w:r w:rsidR="00B40F04" w:rsidRPr="00A839DD">
        <w:rPr>
          <w:rFonts w:ascii="Arial" w:hAnsi="Arial" w:cs="Arial"/>
        </w:rPr>
        <w:t> </w:t>
      </w:r>
      <w:r w:rsidRPr="00A839DD">
        <w:t>blagues</w:t>
      </w:r>
      <w:r w:rsidR="00B40F04" w:rsidRPr="00A839DD">
        <w:rPr>
          <w:rFonts w:ascii="Arial" w:hAnsi="Arial" w:cs="Arial"/>
        </w:rPr>
        <w:t> </w:t>
      </w:r>
      <w:r w:rsidRPr="00A839DD">
        <w:t xml:space="preserve">», de changements d’attitude après que l’orientation sexuelle ou la transidentité est connue, de rumeurs ou d’indifférence vis-à-vis du bien-être d’une personne. </w:t>
      </w:r>
    </w:p>
    <w:p w14:paraId="79C5423A" w14:textId="6D5D61F6" w:rsidR="00725B3B" w:rsidRPr="00A839DD" w:rsidRDefault="00695E53" w:rsidP="0006339A">
      <w:pPr>
        <w:pStyle w:val="Paragraphe"/>
        <w:rPr>
          <w:lang w:bidi="fr-CA"/>
        </w:rPr>
      </w:pPr>
      <w:r w:rsidRPr="00A839DD">
        <w:rPr>
          <w:lang w:bidi="fr-CA"/>
        </w:rPr>
        <w:t>L</w:t>
      </w:r>
      <w:r w:rsidR="00725B3B" w:rsidRPr="00A839DD">
        <w:rPr>
          <w:lang w:bidi="fr-CA"/>
        </w:rPr>
        <w:t xml:space="preserve">es plaintes sont une source précieuse pour saisir des expériences qui sont jugées par les personnes concernées comme suffisamment problématiques pour justifier une intervention extérieure, soit celle de la Commission des droits. Même si les faits allégués ne correspondent pas toujours complètement </w:t>
      </w:r>
      <w:r w:rsidR="00725B3B" w:rsidRPr="00A839DD">
        <w:rPr>
          <w:lang w:bidi="fr-CA"/>
        </w:rPr>
        <w:lastRenderedPageBreak/>
        <w:t>à la définition juridique de la discrimination</w:t>
      </w:r>
      <w:r w:rsidR="006C7285" w:rsidRPr="00A839DD">
        <w:rPr>
          <w:lang w:bidi="fr-CA"/>
        </w:rPr>
        <w:t xml:space="preserve"> ou du harcèlement discriminatoire</w:t>
      </w:r>
      <w:r w:rsidR="00725B3B" w:rsidRPr="00A839DD">
        <w:rPr>
          <w:lang w:bidi="fr-CA"/>
        </w:rPr>
        <w:t xml:space="preserve">, ils peuvent être des indicateurs à prendre au sérieux quant aux normes implicites qui prévalent dans un milieu de travail, au climat qui y règne, aux pratiques et politiques en vigueur et à l’attitude ou au comportement de la personne mise en cause. Sont souvent </w:t>
      </w:r>
      <w:r w:rsidR="00A15321" w:rsidRPr="00A839DD">
        <w:rPr>
          <w:lang w:bidi="fr-CA"/>
        </w:rPr>
        <w:t xml:space="preserve">visées </w:t>
      </w:r>
      <w:r w:rsidR="00725B3B" w:rsidRPr="00A839DD">
        <w:rPr>
          <w:lang w:bidi="fr-CA"/>
        </w:rPr>
        <w:t xml:space="preserve">les attentes de conformité aux stéréotypes traditionnels masculins ou féminins, ainsi que les préjugés fondés sur l’expression de genre. </w:t>
      </w:r>
      <w:r w:rsidR="007B59FD" w:rsidRPr="00A839DD">
        <w:rPr>
          <w:lang w:bidi="fr-CA"/>
        </w:rPr>
        <w:t>L</w:t>
      </w:r>
      <w:r w:rsidR="00725B3B" w:rsidRPr="00A839DD">
        <w:rPr>
          <w:lang w:bidi="fr-CA"/>
        </w:rPr>
        <w:t xml:space="preserve">es plaintes tendent </w:t>
      </w:r>
      <w:r w:rsidR="00C42DCF" w:rsidRPr="00A839DD">
        <w:rPr>
          <w:lang w:bidi="fr-CA"/>
        </w:rPr>
        <w:t>ainsi</w:t>
      </w:r>
      <w:r w:rsidR="00725B3B" w:rsidRPr="00A839DD">
        <w:rPr>
          <w:lang w:bidi="fr-CA"/>
        </w:rPr>
        <w:t xml:space="preserve"> à exposer des milieux où les personnes LGBTQ+ se sentent exclues et dévalorisées. L’écoute</w:t>
      </w:r>
      <w:r w:rsidR="00F80958" w:rsidRPr="00A839DD">
        <w:rPr>
          <w:lang w:bidi="fr-CA"/>
        </w:rPr>
        <w:t xml:space="preserve"> et la prise en compte des réalités vécues par l</w:t>
      </w:r>
      <w:r w:rsidR="00725B3B" w:rsidRPr="00A839DD">
        <w:rPr>
          <w:lang w:bidi="fr-CA"/>
        </w:rPr>
        <w:t>es personnes concernées doi</w:t>
      </w:r>
      <w:r w:rsidR="003977EF">
        <w:rPr>
          <w:lang w:bidi="fr-CA"/>
        </w:rPr>
        <w:t>ven</w:t>
      </w:r>
      <w:r w:rsidR="00725B3B" w:rsidRPr="00A839DD">
        <w:rPr>
          <w:lang w:bidi="fr-CA"/>
        </w:rPr>
        <w:t>t guider les employeurs pour</w:t>
      </w:r>
      <w:r w:rsidR="00690915" w:rsidRPr="00A839DD">
        <w:rPr>
          <w:lang w:bidi="fr-CA"/>
        </w:rPr>
        <w:t xml:space="preserve"> reconnaître ces </w:t>
      </w:r>
      <w:r w:rsidR="006E3A32" w:rsidRPr="00A839DD">
        <w:rPr>
          <w:lang w:bidi="fr-CA"/>
        </w:rPr>
        <w:t>formes d’exclusion et</w:t>
      </w:r>
      <w:r w:rsidR="00725B3B" w:rsidRPr="00A839DD">
        <w:rPr>
          <w:lang w:bidi="fr-CA"/>
        </w:rPr>
        <w:t xml:space="preserve"> éliminer toute forme d’homophobe et de transphobe dans les milieux de travail.</w:t>
      </w:r>
    </w:p>
    <w:p w14:paraId="435B62D4" w14:textId="3EAC69FE" w:rsidR="00A60D5C" w:rsidRPr="00477653" w:rsidRDefault="00A60D5C" w:rsidP="00477653">
      <w:pPr>
        <w:rPr>
          <w:b/>
        </w:rPr>
      </w:pPr>
      <w:r w:rsidRPr="00477653">
        <w:rPr>
          <w:b/>
        </w:rPr>
        <w:t>Les droits au travail</w:t>
      </w:r>
      <w:r w:rsidR="00C1663F" w:rsidRPr="00477653">
        <w:rPr>
          <w:b/>
        </w:rPr>
        <w:t xml:space="preserve">, </w:t>
      </w:r>
      <w:r w:rsidRPr="00477653">
        <w:rPr>
          <w:b/>
        </w:rPr>
        <w:t>à protéger à la lumière d’une trajectoire de vie</w:t>
      </w:r>
    </w:p>
    <w:p w14:paraId="23EB3170" w14:textId="006EFD2B" w:rsidR="00A60D5C" w:rsidRPr="00A839DD" w:rsidRDefault="00A60D5C" w:rsidP="0006339A">
      <w:pPr>
        <w:pStyle w:val="Paragraphe"/>
      </w:pPr>
      <w:r w:rsidRPr="00A839DD">
        <w:rPr>
          <w:lang w:bidi="fr-CA"/>
        </w:rPr>
        <w:t>Les effets de la discrimination alléguée vécus par les personnes plaignantes peuvent être exacerbés du fait de l’accumulation d’expériences négatives au cours de la vie. Ceux-ci ne sont pas toujours causés par un événement isolé. Ils s’ajoutent souvent à d’autres expériences négatives vécues antérieurement.</w:t>
      </w:r>
      <w:r w:rsidR="006E2D6A" w:rsidRPr="00A839DD">
        <w:rPr>
          <w:lang w:bidi="fr-CA"/>
        </w:rPr>
        <w:t xml:space="preserve"> D</w:t>
      </w:r>
      <w:r w:rsidR="005C422C" w:rsidRPr="00A839DD">
        <w:rPr>
          <w:lang w:bidi="fr-CA"/>
        </w:rPr>
        <w:t>ans de telles circonstances,</w:t>
      </w:r>
      <w:r w:rsidR="00E645A5" w:rsidRPr="00A839DD">
        <w:rPr>
          <w:lang w:bidi="fr-CA"/>
        </w:rPr>
        <w:t xml:space="preserve"> </w:t>
      </w:r>
      <w:r w:rsidR="00F00CCD" w:rsidRPr="00A839DD">
        <w:rPr>
          <w:lang w:bidi="fr-CA"/>
        </w:rPr>
        <w:t>l</w:t>
      </w:r>
      <w:r w:rsidRPr="00A839DD">
        <w:rPr>
          <w:lang w:bidi="fr-CA"/>
        </w:rPr>
        <w:t xml:space="preserve">es </w:t>
      </w:r>
      <w:r w:rsidR="001E39E8" w:rsidRPr="00A839DD">
        <w:rPr>
          <w:lang w:bidi="fr-CA"/>
        </w:rPr>
        <w:t>situations</w:t>
      </w:r>
      <w:r w:rsidRPr="00A839DD">
        <w:rPr>
          <w:lang w:bidi="fr-CA"/>
        </w:rPr>
        <w:t xml:space="preserve"> rapportées </w:t>
      </w:r>
      <w:r w:rsidR="00CD12F2" w:rsidRPr="00A839DD">
        <w:rPr>
          <w:lang w:bidi="fr-CA"/>
        </w:rPr>
        <w:t xml:space="preserve">et leurs effets </w:t>
      </w:r>
      <w:r w:rsidR="00FA2098" w:rsidRPr="00A839DD">
        <w:rPr>
          <w:lang w:bidi="fr-CA"/>
        </w:rPr>
        <w:t xml:space="preserve">peuvent </w:t>
      </w:r>
      <w:r w:rsidR="001F0BA4" w:rsidRPr="00A839DD">
        <w:rPr>
          <w:rFonts w:cstheme="minorHAnsi"/>
        </w:rPr>
        <w:t>être</w:t>
      </w:r>
      <w:r w:rsidR="003D0E41" w:rsidRPr="00A839DD">
        <w:rPr>
          <w:rFonts w:cstheme="minorHAnsi"/>
        </w:rPr>
        <w:t xml:space="preserve"> plus </w:t>
      </w:r>
      <w:r w:rsidR="00D74EAB" w:rsidRPr="00A839DD">
        <w:rPr>
          <w:rFonts w:cstheme="minorHAnsi"/>
        </w:rPr>
        <w:t>complexes</w:t>
      </w:r>
      <w:r w:rsidRPr="00A839DD">
        <w:rPr>
          <w:rFonts w:cstheme="minorHAnsi"/>
        </w:rPr>
        <w:t xml:space="preserve"> à </w:t>
      </w:r>
      <w:r w:rsidR="003759B6" w:rsidRPr="00A839DD">
        <w:rPr>
          <w:rFonts w:cstheme="minorHAnsi"/>
        </w:rPr>
        <w:t>documenter</w:t>
      </w:r>
      <w:r w:rsidRPr="00A839DD">
        <w:rPr>
          <w:rFonts w:cstheme="minorHAnsi"/>
        </w:rPr>
        <w:t>, de sorte que leur responsabilité peut être difficile à attribuer.</w:t>
      </w:r>
    </w:p>
    <w:p w14:paraId="10D46809" w14:textId="4C25C687" w:rsidR="00A60D5C" w:rsidRPr="00A839DD" w:rsidRDefault="00A60D5C" w:rsidP="0006339A">
      <w:pPr>
        <w:pStyle w:val="Paragraphe"/>
      </w:pPr>
      <w:r w:rsidRPr="00A839DD">
        <w:t>Pour assurer la réalisation des droits des personnes LGBTQ+ en milieu de travail, il est pertinent de reconnaître que leur vécu professionnel peut être influencé par d</w:t>
      </w:r>
      <w:r w:rsidR="00E1003A" w:rsidRPr="00A839DD">
        <w:t>ifférent</w:t>
      </w:r>
      <w:r w:rsidRPr="00A839DD">
        <w:t xml:space="preserve">s éléments de leur parcours de vie, </w:t>
      </w:r>
      <w:r w:rsidRPr="00B27844">
        <w:t>tels l’intimidation vécue à l’école, le dévoilement</w:t>
      </w:r>
      <w:r w:rsidRPr="00A839DD">
        <w:t xml:space="preserve"> de son orientation sexuelle ou </w:t>
      </w:r>
      <w:r w:rsidR="00B73FF7" w:rsidRPr="00A839DD">
        <w:t>sa transidentité</w:t>
      </w:r>
      <w:r w:rsidRPr="00A839DD">
        <w:t>, des obstacles dans l’accès aux services, des interactions problématiques avec les services policiers ou encore des expériences négatives dans des emplois antérieurs. Sans que l’employeur ait à assumer la responsabilité de ces expériences, en être conscient peut favoriser une réponse plus appropriée lorsqu’une situation problématique est signalée. Concrètement, l’employeur devrait écouter la personne, éviter de remettre d’emblée en cause sa crédibilité ou de l’accuser d’une supposée «</w:t>
      </w:r>
      <w:r w:rsidRPr="00A839DD">
        <w:rPr>
          <w:rFonts w:ascii="Arial" w:hAnsi="Arial" w:cs="Arial"/>
        </w:rPr>
        <w:t> </w:t>
      </w:r>
      <w:r w:rsidRPr="00A839DD">
        <w:t>sensibilité excessive</w:t>
      </w:r>
      <w:r w:rsidRPr="00A839DD">
        <w:rPr>
          <w:rFonts w:ascii="Arial" w:hAnsi="Arial" w:cs="Arial"/>
        </w:rPr>
        <w:t> </w:t>
      </w:r>
      <w:r w:rsidRPr="00A839DD">
        <w:t>», et chercher des mesures pour assurer le respect des droits de la personne au travail.</w:t>
      </w:r>
    </w:p>
    <w:p w14:paraId="59EE38EF" w14:textId="27CFB59B" w:rsidR="00F44FAA" w:rsidRPr="00477653" w:rsidRDefault="00F44FAA" w:rsidP="00477653">
      <w:pPr>
        <w:rPr>
          <w:b/>
        </w:rPr>
      </w:pPr>
      <w:r w:rsidRPr="00477653">
        <w:rPr>
          <w:b/>
        </w:rPr>
        <w:t xml:space="preserve">Le travail, indissociable </w:t>
      </w:r>
      <w:r w:rsidR="00773103" w:rsidRPr="00477653">
        <w:rPr>
          <w:b/>
        </w:rPr>
        <w:t>des autres sphères de</w:t>
      </w:r>
      <w:r w:rsidRPr="00477653">
        <w:rPr>
          <w:b/>
        </w:rPr>
        <w:t xml:space="preserve"> la vie des personnes</w:t>
      </w:r>
    </w:p>
    <w:p w14:paraId="230B04FD" w14:textId="5DB84397" w:rsidR="00F44FAA" w:rsidRPr="00A839DD" w:rsidRDefault="00F44FAA" w:rsidP="0006339A">
      <w:pPr>
        <w:pStyle w:val="Paragraphe"/>
      </w:pPr>
      <w:r w:rsidRPr="00A839DD">
        <w:t>L’imbrication de l’homophobie et de la transphobie dans le quotidien, ainsi que leur inscription dans la trajectoire des personnes concernées, montrent que leur expérience au travail ne peut être appréhendée indépendamment d</w:t>
      </w:r>
      <w:r w:rsidR="00297796" w:rsidRPr="00A839DD">
        <w:t xml:space="preserve">es autres sphères de </w:t>
      </w:r>
      <w:r w:rsidRPr="00A839DD">
        <w:t>leur vie.</w:t>
      </w:r>
    </w:p>
    <w:p w14:paraId="78CB216B" w14:textId="5805B4E0" w:rsidR="00F44FAA" w:rsidRPr="00A839DD" w:rsidRDefault="00EC16CA" w:rsidP="0006339A">
      <w:pPr>
        <w:pStyle w:val="Paragraphe"/>
      </w:pPr>
      <w:r w:rsidRPr="00A839DD">
        <w:t>En effet</w:t>
      </w:r>
      <w:r w:rsidR="00F44FAA" w:rsidRPr="00A839DD">
        <w:t xml:space="preserve">, pour être épanouie au travail, toute personne doit </w:t>
      </w:r>
      <w:r w:rsidR="002F49B6" w:rsidRPr="00A839DD">
        <w:t xml:space="preserve">plus largement </w:t>
      </w:r>
      <w:r w:rsidR="00F44FAA" w:rsidRPr="00A839DD">
        <w:t>avoir accès à des services d’éducation, de santé et de services sociaux, pouvoir compter sur des mesures de soutien social lorsqu’elle en a besoin, et disposer de moyens effectifs et accessibles pour</w:t>
      </w:r>
      <w:r w:rsidR="00C81A2D" w:rsidRPr="00A839DD">
        <w:t xml:space="preserve"> connaître et</w:t>
      </w:r>
      <w:r w:rsidR="00F44FAA" w:rsidRPr="00A839DD">
        <w:t xml:space="preserve"> faire valoir ses droits.</w:t>
      </w:r>
    </w:p>
    <w:p w14:paraId="23CDF8F7" w14:textId="1CEC449D" w:rsidR="00F44FAA" w:rsidRPr="00A839DD" w:rsidRDefault="00F44FAA" w:rsidP="0006339A">
      <w:pPr>
        <w:pStyle w:val="Paragraphe"/>
      </w:pPr>
      <w:r w:rsidRPr="00A839DD">
        <w:t>Le respect des droits en milieu de travail est donc intimement lié à la réalisation des autres droits, y compris les droits économiques et sociaux, comme ceux à l’éducation</w:t>
      </w:r>
      <w:r w:rsidR="007740C5" w:rsidRPr="00A839DD">
        <w:t>, à la santé</w:t>
      </w:r>
      <w:r w:rsidRPr="00A839DD">
        <w:t xml:space="preserve"> et à un niveau de vie </w:t>
      </w:r>
      <w:r w:rsidRPr="00A839DD">
        <w:lastRenderedPageBreak/>
        <w:t>décent. Comme chacun de ces droits doit être garanti en toute égalité, il est nécessaire d’éliminer toutes les formes de discrimination fondée sur l’orientation sexuelle et l’identité ou l’expression de genre —</w:t>
      </w:r>
      <w:r w:rsidRPr="00A839DD">
        <w:rPr>
          <w:rFonts w:ascii="Arial" w:hAnsi="Arial" w:cs="Arial"/>
        </w:rPr>
        <w:t> </w:t>
      </w:r>
      <w:r w:rsidRPr="00A839DD">
        <w:t>qu’elles soient directes, indirectes ou systémiques</w:t>
      </w:r>
      <w:r w:rsidRPr="00A839DD">
        <w:rPr>
          <w:rFonts w:ascii="Arial" w:hAnsi="Arial" w:cs="Arial"/>
        </w:rPr>
        <w:t> </w:t>
      </w:r>
      <w:r w:rsidRPr="00A839DD">
        <w:t>— et ce, dans tous les milieux, par des actions coordonnées à plusieurs niveaux, soit dans les discours publics, la législation, les politiques publiques, les normes et pratiques organisationnelles, ainsi que les relations interpersonnelles.</w:t>
      </w:r>
    </w:p>
    <w:p w14:paraId="5C7E4E9C" w14:textId="77777777" w:rsidR="005E304C" w:rsidRPr="00477653" w:rsidRDefault="005E304C" w:rsidP="00477653">
      <w:pPr>
        <w:rPr>
          <w:b/>
        </w:rPr>
      </w:pPr>
      <w:r w:rsidRPr="00477653">
        <w:rPr>
          <w:b/>
        </w:rPr>
        <w:t>Le dilemme du dévoilement</w:t>
      </w:r>
      <w:r w:rsidRPr="00477653">
        <w:rPr>
          <w:rFonts w:ascii="Arial" w:hAnsi="Arial" w:cs="Arial"/>
          <w:b/>
        </w:rPr>
        <w:t> </w:t>
      </w:r>
      <w:r w:rsidRPr="00477653">
        <w:rPr>
          <w:b/>
        </w:rPr>
        <w:t>au travail, une question de droit au respect de sa vie privée</w:t>
      </w:r>
    </w:p>
    <w:p w14:paraId="749A94DB" w14:textId="7B4807E2" w:rsidR="005E304C" w:rsidRPr="00A839DD" w:rsidRDefault="005E304C" w:rsidP="0006339A">
      <w:pPr>
        <w:pStyle w:val="Paragraphe"/>
      </w:pPr>
      <w:r w:rsidRPr="00A839DD">
        <w:t>L’analyse des plaintes montre la diversité des scénarios de dévoilement de l’orientation sexuelle ou de l</w:t>
      </w:r>
      <w:r w:rsidR="007966E0" w:rsidRPr="00A839DD">
        <w:t>a transidentité</w:t>
      </w:r>
      <w:r w:rsidRPr="00A839DD">
        <w:t xml:space="preserve"> au travail. Dans l’ensemble, une plainte sur quatre </w:t>
      </w:r>
      <w:r w:rsidR="00282AD5" w:rsidRPr="00A839DD">
        <w:t>ayant fait l’objet d’une analyse qualitative (n = 201)</w:t>
      </w:r>
      <w:r w:rsidRPr="00A839DD">
        <w:t xml:space="preserve"> indiquait que l’orientation sexuelle ou la transidentité de la personne plaignante était connue de façon générale dans le milieu de travail, tandis que 6,5</w:t>
      </w:r>
      <w:r w:rsidR="00EF4F3D" w:rsidRPr="00A839DD">
        <w:t> </w:t>
      </w:r>
      <w:r w:rsidRPr="00A839DD">
        <w:t>% spécifiaient que ces informations n’étaient partagées qu’avec une personne ou quelques personnes choisies, et 1</w:t>
      </w:r>
      <w:r w:rsidR="00EF4F3D" w:rsidRPr="00A839DD">
        <w:t> </w:t>
      </w:r>
      <w:r w:rsidRPr="00A839DD">
        <w:t>% avec la direction uniquement. En revanche, une personne plaignante sur quatre n’avait pas communiqué volontairement ces informations dans son milieu de travail. Celles-ci sont alors révélées en raison de commérages ou de l’indiscrétion volontaire ou non d’une autre personne.</w:t>
      </w:r>
    </w:p>
    <w:p w14:paraId="694D7BC2" w14:textId="77777777" w:rsidR="005E304C" w:rsidRPr="00A839DD" w:rsidRDefault="005E304C" w:rsidP="0006339A">
      <w:pPr>
        <w:pStyle w:val="Paragraphe"/>
      </w:pPr>
      <w:r w:rsidRPr="00A839DD">
        <w:t>Le droit au respect de sa vie privée, garanti par la Charte, protège la possibilité pour une personne de dévoiler ou non son orientation sexuelle ou sa transidentité, y compris en emploi. La jurisprudence reconnaît que l’orientation sexuelle et l’identité de genre font partie des renseignements relevant de l’identité fondamentale d’une personne dont la divulgation involontaire est susceptible de porter atteinte à ses droits à la sauvegarde de sa dignité et au respect de sa vie privée, en plus de l’exposer à la discrimination et à des préjudices sur le marché du travail.</w:t>
      </w:r>
    </w:p>
    <w:p w14:paraId="5C91B863" w14:textId="1AA4254C" w:rsidR="005E304C" w:rsidRPr="00A839DD" w:rsidRDefault="005E304C" w:rsidP="0006339A">
      <w:pPr>
        <w:pStyle w:val="Paragraphe"/>
      </w:pPr>
      <w:r w:rsidRPr="00A839DD">
        <w:t xml:space="preserve">Concrètement, pour assurer </w:t>
      </w:r>
      <w:r w:rsidR="005A7504" w:rsidRPr="00A839DD">
        <w:t xml:space="preserve">le respect </w:t>
      </w:r>
      <w:r w:rsidRPr="00A839DD">
        <w:t>du droit au respect de sa vie privée en milieu de travail, un employeur doit par exemple maintenir la confidentialité des informations sur le sexe, l’identité de genre et l’orientation sexuelle des membres du personnel, lorsqu’elles sont connues. Celles-ci ne devraient d’ailleurs être collectées qu’avec le consentement des personnes concernées et uniquement dans le but explicite de lutter contre la discrimination. Dans les cas où des informations sur le sexe à la naissance seraient strictement nécessaires, cette information devrait être clairement distinguée des renseignements servant à s’adresser à la personne (p. ex. titre de civilité, prénom) et les finalités auxquelles servira ce renseignement devraient être présentées à la personne concernée.</w:t>
      </w:r>
    </w:p>
    <w:p w14:paraId="240B0796" w14:textId="5FFAAFD8" w:rsidR="00817EF3" w:rsidRPr="00477653" w:rsidRDefault="00817EF3" w:rsidP="00477653">
      <w:pPr>
        <w:rPr>
          <w:b/>
        </w:rPr>
      </w:pPr>
      <w:r w:rsidRPr="00477653">
        <w:rPr>
          <w:b/>
        </w:rPr>
        <w:t>Le rôle du sexisme dans les discriminations</w:t>
      </w:r>
      <w:r w:rsidR="00F0783B" w:rsidRPr="00477653">
        <w:rPr>
          <w:b/>
        </w:rPr>
        <w:t xml:space="preserve"> envers les personnes</w:t>
      </w:r>
      <w:r w:rsidRPr="00477653">
        <w:rPr>
          <w:b/>
        </w:rPr>
        <w:t xml:space="preserve"> LGBTQ+</w:t>
      </w:r>
    </w:p>
    <w:p w14:paraId="562ECC60" w14:textId="77777777" w:rsidR="00817EF3" w:rsidRPr="00A839DD" w:rsidRDefault="00817EF3" w:rsidP="0006339A">
      <w:pPr>
        <w:pStyle w:val="Paragraphe"/>
      </w:pPr>
      <w:r w:rsidRPr="00A839DD">
        <w:t>Les plaintes montrent que l’homophobie et la transphobie sont intimement liées au sexisme. Ce qui est per</w:t>
      </w:r>
      <w:r w:rsidRPr="00A839DD">
        <w:rPr>
          <w:rFonts w:cs="Aptos"/>
        </w:rPr>
        <w:t>ç</w:t>
      </w:r>
      <w:r w:rsidRPr="00A839DD">
        <w:t xml:space="preserve">u comme </w:t>
      </w:r>
      <w:r w:rsidRPr="00A839DD">
        <w:rPr>
          <w:rFonts w:cs="Aptos"/>
        </w:rPr>
        <w:t>«</w:t>
      </w:r>
      <w:r w:rsidRPr="00A839DD">
        <w:rPr>
          <w:rFonts w:ascii="Arial" w:hAnsi="Arial" w:cs="Arial"/>
        </w:rPr>
        <w:t> </w:t>
      </w:r>
      <w:r w:rsidRPr="00A839DD">
        <w:t>trop f</w:t>
      </w:r>
      <w:r w:rsidRPr="00A839DD">
        <w:rPr>
          <w:rFonts w:cs="Aptos"/>
        </w:rPr>
        <w:t>é</w:t>
      </w:r>
      <w:r w:rsidRPr="00A839DD">
        <w:t>minin</w:t>
      </w:r>
      <w:r w:rsidRPr="00A839DD">
        <w:rPr>
          <w:rFonts w:ascii="Arial" w:hAnsi="Arial" w:cs="Arial"/>
        </w:rPr>
        <w:t> </w:t>
      </w:r>
      <w:r w:rsidRPr="00A839DD">
        <w:rPr>
          <w:rFonts w:cs="Aptos"/>
        </w:rPr>
        <w:t>»</w:t>
      </w:r>
      <w:r w:rsidRPr="00A839DD">
        <w:t xml:space="preserve"> ou </w:t>
      </w:r>
      <w:r w:rsidRPr="00A839DD">
        <w:rPr>
          <w:rFonts w:cs="Aptos"/>
        </w:rPr>
        <w:t>«</w:t>
      </w:r>
      <w:r w:rsidRPr="00A839DD">
        <w:rPr>
          <w:rFonts w:ascii="Arial" w:hAnsi="Arial" w:cs="Arial"/>
        </w:rPr>
        <w:t> </w:t>
      </w:r>
      <w:r w:rsidRPr="00A839DD">
        <w:t>pas assez masculin</w:t>
      </w:r>
      <w:r w:rsidRPr="00A839DD">
        <w:rPr>
          <w:rFonts w:ascii="Arial" w:hAnsi="Arial" w:cs="Arial"/>
        </w:rPr>
        <w:t> </w:t>
      </w:r>
      <w:r w:rsidRPr="00A839DD">
        <w:rPr>
          <w:rFonts w:cs="Aptos"/>
        </w:rPr>
        <w:t>»</w:t>
      </w:r>
      <w:r w:rsidRPr="00A839DD">
        <w:t xml:space="preserve"> est souvent d</w:t>
      </w:r>
      <w:r w:rsidRPr="00A839DD">
        <w:rPr>
          <w:rFonts w:cs="Aptos"/>
        </w:rPr>
        <w:t>é</w:t>
      </w:r>
      <w:r w:rsidRPr="00A839DD">
        <w:t>valoris</w:t>
      </w:r>
      <w:r w:rsidRPr="00A839DD">
        <w:rPr>
          <w:rFonts w:cs="Aptos"/>
        </w:rPr>
        <w:t>é</w:t>
      </w:r>
      <w:r w:rsidRPr="00A839DD">
        <w:t>.</w:t>
      </w:r>
    </w:p>
    <w:p w14:paraId="69580146" w14:textId="6E523DE0" w:rsidR="00817EF3" w:rsidRPr="00A839DD" w:rsidRDefault="00817EF3" w:rsidP="00DB777B">
      <w:pPr>
        <w:pStyle w:val="puces0"/>
      </w:pPr>
      <w:r w:rsidRPr="00A839DD">
        <w:t>Les femmes lesbiennes sont sous-représentées dans les plaintes pour discrimination en emploi fondée sur l’orientation sexuelle (18</w:t>
      </w:r>
      <w:r w:rsidR="00EF4F3D" w:rsidRPr="00A839DD">
        <w:t> </w:t>
      </w:r>
      <w:r w:rsidRPr="00A839DD">
        <w:t>% contre 77</w:t>
      </w:r>
      <w:r w:rsidR="00EF4F3D" w:rsidRPr="00A839DD">
        <w:t> </w:t>
      </w:r>
      <w:r w:rsidRPr="00A839DD">
        <w:t>% pour les hommes)</w:t>
      </w:r>
      <w:r w:rsidR="00B40F04" w:rsidRPr="00A839DD">
        <w:rPr>
          <w:rFonts w:ascii="Arial" w:hAnsi="Arial" w:cs="Arial"/>
        </w:rPr>
        <w:t> </w:t>
      </w:r>
      <w:r w:rsidRPr="00A839DD">
        <w:t>: leurs exp</w:t>
      </w:r>
      <w:r w:rsidRPr="00A839DD">
        <w:rPr>
          <w:rFonts w:cs="Aptos"/>
        </w:rPr>
        <w:t>é</w:t>
      </w:r>
      <w:r w:rsidRPr="00A839DD">
        <w:t>riences pourraient être invisibilis</w:t>
      </w:r>
      <w:r w:rsidRPr="00A839DD">
        <w:rPr>
          <w:rFonts w:cs="Aptos"/>
        </w:rPr>
        <w:t>é</w:t>
      </w:r>
      <w:r w:rsidRPr="00A839DD">
        <w:t>es ou trait</w:t>
      </w:r>
      <w:r w:rsidRPr="00A839DD">
        <w:rPr>
          <w:rFonts w:cs="Aptos"/>
        </w:rPr>
        <w:t>é</w:t>
      </w:r>
      <w:r w:rsidRPr="00A839DD">
        <w:t>es comme du sexisme avant d</w:t>
      </w:r>
      <w:r w:rsidRPr="00A839DD">
        <w:rPr>
          <w:rFonts w:cs="Aptos"/>
        </w:rPr>
        <w:t>’ê</w:t>
      </w:r>
      <w:r w:rsidRPr="00A839DD">
        <w:t>tre reconnues comme étant également une discrimination bas</w:t>
      </w:r>
      <w:r w:rsidRPr="00A839DD">
        <w:rPr>
          <w:rFonts w:cs="Aptos"/>
        </w:rPr>
        <w:t>é</w:t>
      </w:r>
      <w:r w:rsidRPr="00A839DD">
        <w:t>e sur l</w:t>
      </w:r>
      <w:r w:rsidRPr="00A839DD">
        <w:rPr>
          <w:rFonts w:cs="Aptos"/>
        </w:rPr>
        <w:t>’</w:t>
      </w:r>
      <w:r w:rsidRPr="00A839DD">
        <w:t>orientation sexuelle.</w:t>
      </w:r>
    </w:p>
    <w:p w14:paraId="7035BCF5" w14:textId="420F82C1" w:rsidR="00817EF3" w:rsidRPr="00A839DD" w:rsidRDefault="00817EF3" w:rsidP="00DB777B">
      <w:pPr>
        <w:pStyle w:val="puces0"/>
      </w:pPr>
      <w:r w:rsidRPr="00A839DD">
        <w:lastRenderedPageBreak/>
        <w:t>Les femmes trans sont trois fois plus nombreuses que les hommes trans à porter plainte pour discrimination en emploi fondée sur l’identité ou l’expression de genre</w:t>
      </w:r>
      <w:r w:rsidR="00B40F04" w:rsidRPr="00A839DD">
        <w:t> </w:t>
      </w:r>
      <w:r w:rsidRPr="00A839DD">
        <w:t xml:space="preserve">: elles font face </w:t>
      </w:r>
      <w:r w:rsidRPr="00A839DD">
        <w:rPr>
          <w:rFonts w:cs="Aptos"/>
        </w:rPr>
        <w:t>à</w:t>
      </w:r>
      <w:r w:rsidRPr="00A839DD">
        <w:t xml:space="preserve"> des st</w:t>
      </w:r>
      <w:r w:rsidRPr="00A839DD">
        <w:rPr>
          <w:rFonts w:cs="Aptos"/>
        </w:rPr>
        <w:t>é</w:t>
      </w:r>
      <w:r w:rsidRPr="00A839DD">
        <w:t>r</w:t>
      </w:r>
      <w:r w:rsidRPr="00A839DD">
        <w:rPr>
          <w:rFonts w:cs="Aptos"/>
        </w:rPr>
        <w:t>é</w:t>
      </w:r>
      <w:r w:rsidRPr="00A839DD">
        <w:t xml:space="preserve">otypes les associant </w:t>
      </w:r>
      <w:r w:rsidRPr="00A839DD">
        <w:rPr>
          <w:rFonts w:cs="Aptos"/>
        </w:rPr>
        <w:t>à</w:t>
      </w:r>
      <w:r w:rsidRPr="00A839DD">
        <w:t xml:space="preserve"> des risques ou menaces.</w:t>
      </w:r>
    </w:p>
    <w:p w14:paraId="589EFDBC" w14:textId="24913E33" w:rsidR="00817EF3" w:rsidRPr="00A839DD" w:rsidRDefault="00817EF3" w:rsidP="00DB777B">
      <w:pPr>
        <w:pStyle w:val="puces0"/>
      </w:pPr>
      <w:r w:rsidRPr="00A839DD">
        <w:t xml:space="preserve">Les hommes gais </w:t>
      </w:r>
      <w:r w:rsidR="00F24579" w:rsidRPr="00A839DD">
        <w:t xml:space="preserve">sont la cible </w:t>
      </w:r>
      <w:r w:rsidR="00E07A0A" w:rsidRPr="00A839DD">
        <w:t>d</w:t>
      </w:r>
      <w:r w:rsidR="00F24579" w:rsidRPr="00A839DD">
        <w:t>’</w:t>
      </w:r>
      <w:r w:rsidR="00E07A0A" w:rsidRPr="00A839DD">
        <w:t>insultes</w:t>
      </w:r>
      <w:r w:rsidR="00F24579" w:rsidRPr="00A839DD">
        <w:t>,</w:t>
      </w:r>
      <w:r w:rsidR="00E07A0A" w:rsidRPr="00A839DD">
        <w:t xml:space="preserve"> </w:t>
      </w:r>
      <w:r w:rsidR="00F24579" w:rsidRPr="00A839DD">
        <w:t>de</w:t>
      </w:r>
      <w:r w:rsidRPr="00A839DD">
        <w:t xml:space="preserve"> moqueries </w:t>
      </w:r>
      <w:r w:rsidR="00F24579" w:rsidRPr="00A839DD">
        <w:t>et de gestes</w:t>
      </w:r>
      <w:r w:rsidR="00E07A0A" w:rsidRPr="00A839DD">
        <w:t xml:space="preserve"> </w:t>
      </w:r>
      <w:r w:rsidRPr="00A839DD">
        <w:t xml:space="preserve">les </w:t>
      </w:r>
      <w:r w:rsidR="009052ED" w:rsidRPr="00A839DD">
        <w:t>associant</w:t>
      </w:r>
      <w:r w:rsidRPr="00A839DD">
        <w:t xml:space="preserve"> à une </w:t>
      </w:r>
      <w:r w:rsidR="009052ED" w:rsidRPr="00A839DD">
        <w:t>féminité stéréotypée</w:t>
      </w:r>
      <w:r w:rsidR="000F350A" w:rsidRPr="00A839DD">
        <w:t xml:space="preserve"> : ces agissements </w:t>
      </w:r>
      <w:r w:rsidR="00DE747C" w:rsidRPr="00A839DD">
        <w:t>véhiculent l’idée qu’ils</w:t>
      </w:r>
      <w:r w:rsidR="00362ECD" w:rsidRPr="00A839DD">
        <w:t xml:space="preserve"> </w:t>
      </w:r>
      <w:r w:rsidR="005D1436" w:rsidRPr="00A839DD">
        <w:t>ne s</w:t>
      </w:r>
      <w:r w:rsidR="00DE747C" w:rsidRPr="00A839DD">
        <w:t>eraien</w:t>
      </w:r>
      <w:r w:rsidR="005D1436" w:rsidRPr="00A839DD">
        <w:t>t pas de «</w:t>
      </w:r>
      <w:r w:rsidR="00B40F04" w:rsidRPr="00A839DD">
        <w:rPr>
          <w:rFonts w:ascii="Arial" w:hAnsi="Arial" w:cs="Arial"/>
        </w:rPr>
        <w:t> </w:t>
      </w:r>
      <w:r w:rsidR="005D1436" w:rsidRPr="00A839DD">
        <w:t>vrais</w:t>
      </w:r>
      <w:r w:rsidR="00B40F04" w:rsidRPr="00A839DD">
        <w:rPr>
          <w:rFonts w:ascii="Arial" w:hAnsi="Arial" w:cs="Arial"/>
        </w:rPr>
        <w:t> </w:t>
      </w:r>
      <w:r w:rsidR="005D1436" w:rsidRPr="00A839DD">
        <w:t>» hommes</w:t>
      </w:r>
      <w:r w:rsidR="00E07A0A" w:rsidRPr="00A839DD">
        <w:t>.</w:t>
      </w:r>
    </w:p>
    <w:p w14:paraId="66790384" w14:textId="53E57E6F" w:rsidR="00817EF3" w:rsidRPr="00A839DD" w:rsidRDefault="00817EF3" w:rsidP="0006339A">
      <w:pPr>
        <w:pStyle w:val="Paragraphe"/>
      </w:pPr>
      <w:r w:rsidRPr="00A839DD">
        <w:t xml:space="preserve">Pour éliminer la discrimination en emploi envers les personnes LGBTQ+, les employeurs </w:t>
      </w:r>
      <w:r w:rsidR="0019492A" w:rsidRPr="00A839DD">
        <w:t xml:space="preserve">doivent donc </w:t>
      </w:r>
      <w:r w:rsidR="00C27E6A" w:rsidRPr="00A839DD">
        <w:t xml:space="preserve">s’attaquer au </w:t>
      </w:r>
      <w:r w:rsidRPr="00A839DD">
        <w:t>sexisme, incluant les stéréotypes de genre.</w:t>
      </w:r>
    </w:p>
    <w:p w14:paraId="2A6FD864" w14:textId="712BD9A6" w:rsidR="00512A80" w:rsidRPr="00477653" w:rsidRDefault="00512A80" w:rsidP="00477653">
      <w:pPr>
        <w:rPr>
          <w:b/>
        </w:rPr>
      </w:pPr>
      <w:r w:rsidRPr="00477653">
        <w:rPr>
          <w:b/>
        </w:rPr>
        <w:t>L</w:t>
      </w:r>
      <w:r w:rsidR="009C437F" w:rsidRPr="00477653">
        <w:rPr>
          <w:b/>
        </w:rPr>
        <w:t>’embauche, le</w:t>
      </w:r>
      <w:r w:rsidRPr="00477653">
        <w:rPr>
          <w:b/>
        </w:rPr>
        <w:t xml:space="preserve"> maintien en emploi et le climat de travail, </w:t>
      </w:r>
      <w:r w:rsidR="00922318" w:rsidRPr="00477653">
        <w:rPr>
          <w:b/>
        </w:rPr>
        <w:t>trois</w:t>
      </w:r>
      <w:r w:rsidRPr="00477653">
        <w:rPr>
          <w:b/>
        </w:rPr>
        <w:t xml:space="preserve"> aspects à travailler pour les employeurs</w:t>
      </w:r>
    </w:p>
    <w:p w14:paraId="1FCD3046" w14:textId="41A53D0F" w:rsidR="00512A80" w:rsidRPr="00A839DD" w:rsidRDefault="00512A80" w:rsidP="0006339A">
      <w:pPr>
        <w:pStyle w:val="Paragraphe"/>
      </w:pPr>
      <w:r w:rsidRPr="00A839DD">
        <w:t xml:space="preserve">L’analyse qualitative des plaintes a entre autres montré que, trop souvent, </w:t>
      </w:r>
      <w:r w:rsidR="006D1753" w:rsidRPr="00A839DD">
        <w:t xml:space="preserve">les personnes plaignantes déplorent que </w:t>
      </w:r>
      <w:r w:rsidRPr="00A839DD">
        <w:t>l’employeur tolère ou minimise les situations d’homophobie ou de transphobie, alors qu’il a l’obligation légale d’agir. Dans 63</w:t>
      </w:r>
      <w:r w:rsidR="00EF4F3D" w:rsidRPr="00A839DD">
        <w:t> </w:t>
      </w:r>
      <w:r w:rsidRPr="00A839DD">
        <w:t>% des plaintes</w:t>
      </w:r>
      <w:r w:rsidR="00310A5B" w:rsidRPr="00A839DD">
        <w:t xml:space="preserve"> ayant fait l’objet d’une analyse qualitative (n</w:t>
      </w:r>
      <w:r w:rsidR="008C3DED" w:rsidRPr="00A839DD">
        <w:t> </w:t>
      </w:r>
      <w:r w:rsidR="00310A5B" w:rsidRPr="00A839DD">
        <w:t>=</w:t>
      </w:r>
      <w:r w:rsidR="008C3DED" w:rsidRPr="00A839DD">
        <w:t> </w:t>
      </w:r>
      <w:r w:rsidR="00310A5B" w:rsidRPr="00A839DD">
        <w:t>201)</w:t>
      </w:r>
      <w:r w:rsidRPr="00A839DD">
        <w:t>, les personnes plaignantes dénoncent le climat de travail. Dans 45</w:t>
      </w:r>
      <w:r w:rsidR="00EF4F3D" w:rsidRPr="00A839DD">
        <w:t> </w:t>
      </w:r>
      <w:r w:rsidRPr="00A839DD">
        <w:t xml:space="preserve">% de ces cas, la tolérance de l’employeur est directement </w:t>
      </w:r>
      <w:r w:rsidR="00FB4794" w:rsidRPr="00A839DD">
        <w:t>mise en cause</w:t>
      </w:r>
      <w:r w:rsidRPr="00A839DD">
        <w:t>.</w:t>
      </w:r>
    </w:p>
    <w:p w14:paraId="1DC1ACE5" w14:textId="24CC3E6D" w:rsidR="00512A80" w:rsidRPr="00A839DD" w:rsidRDefault="00512A80" w:rsidP="0006339A">
      <w:pPr>
        <w:pStyle w:val="Paragraphe"/>
      </w:pPr>
      <w:r w:rsidRPr="00A839DD">
        <w:t>Les employeurs p</w:t>
      </w:r>
      <w:r w:rsidR="00711AC6" w:rsidRPr="00A839DD">
        <w:t>euvent</w:t>
      </w:r>
      <w:r w:rsidRPr="00A839DD">
        <w:t xml:space="preserve"> ainsi avoir un impact important sur les situations qui amènent des personnes LGBTQ+ à porter plainte à la Commission des droits, et ce, en agissant, sans s’y limiter, au niveau d</w:t>
      </w:r>
      <w:r w:rsidR="009C437F" w:rsidRPr="00A839DD">
        <w:t>e l’embauche, du</w:t>
      </w:r>
      <w:r w:rsidRPr="00A839DD">
        <w:t xml:space="preserve"> maintien en emploi et du climat de travail. La perte d’emploi et le climat de travail représentent respectivement un tiers et un cinquième des situations visées </w:t>
      </w:r>
      <w:r w:rsidR="00FE2353" w:rsidRPr="00A839DD">
        <w:t>parmi</w:t>
      </w:r>
      <w:r w:rsidR="00993373" w:rsidRPr="00A839DD">
        <w:t xml:space="preserve"> l’ensemble des </w:t>
      </w:r>
      <w:r w:rsidRPr="00A839DD">
        <w:t xml:space="preserve">plaintes pour discrimination en emploi fondée sur l’orientation sexuelle ou l’identité ou l’expression de genre. Ces deux aspects de l’emploi se recoupent d’ailleurs parfois, un climat de travail négatif étant susceptible de nuire à la rétention en emploi, que ce soit en menant à des congédiements ou à des démissions. </w:t>
      </w:r>
      <w:r w:rsidR="00857264" w:rsidRPr="00A839DD">
        <w:t>Pour les plaintes de personnes trans, l’embauche suit de très près le climat de travail.</w:t>
      </w:r>
    </w:p>
    <w:p w14:paraId="2A12A143" w14:textId="19DEEA70" w:rsidR="00512A80" w:rsidRPr="00A839DD" w:rsidRDefault="00E63968" w:rsidP="0006339A">
      <w:pPr>
        <w:pStyle w:val="Paragraphe"/>
      </w:pPr>
      <w:r w:rsidRPr="00A839DD">
        <w:t>Pour prévenir les situations les plus couramment dénoncées dans les plaintes, l</w:t>
      </w:r>
      <w:r w:rsidR="00512A80" w:rsidRPr="00A839DD">
        <w:t xml:space="preserve">e rapport identifie plusieurs responsabilités </w:t>
      </w:r>
      <w:r w:rsidR="00711AC6" w:rsidRPr="00A839DD">
        <w:t xml:space="preserve">et obligations </w:t>
      </w:r>
      <w:r w:rsidR="00512A80" w:rsidRPr="00A839DD">
        <w:t>des employeurs</w:t>
      </w:r>
      <w:r w:rsidR="005E1AE1" w:rsidRPr="00A839DD">
        <w:t xml:space="preserve">, ainsi que </w:t>
      </w:r>
      <w:r w:rsidR="00512A80" w:rsidRPr="00A839DD">
        <w:t>des mesures</w:t>
      </w:r>
      <w:r w:rsidR="005E1AE1" w:rsidRPr="00A839DD">
        <w:t xml:space="preserve"> à mettre en place</w:t>
      </w:r>
      <w:r w:rsidR="00F21382">
        <w:t> </w:t>
      </w:r>
      <w:r w:rsidR="00512A80" w:rsidRPr="00A839DD">
        <w:t>:</w:t>
      </w:r>
    </w:p>
    <w:p w14:paraId="3F94C093" w14:textId="43F91894" w:rsidR="00512A80" w:rsidRPr="00A839DD" w:rsidRDefault="00512A80" w:rsidP="005E1AE1">
      <w:pPr>
        <w:pStyle w:val="puces0"/>
      </w:pPr>
      <w:r w:rsidRPr="00A839DD">
        <w:t>Adopter et appliquer des politiques claires contre la discrimination et le harcèlement</w:t>
      </w:r>
      <w:r w:rsidR="00551C7E" w:rsidRPr="00A839DD">
        <w:rPr>
          <w:rFonts w:ascii="Arial" w:hAnsi="Arial" w:cs="Arial"/>
        </w:rPr>
        <w:t xml:space="preserve">, </w:t>
      </w:r>
      <w:r w:rsidR="00551C7E" w:rsidRPr="00A839DD">
        <w:rPr>
          <w:rFonts w:asciiTheme="minorHAnsi" w:hAnsiTheme="minorHAnsi" w:cs="Arial"/>
        </w:rPr>
        <w:t xml:space="preserve">incluant </w:t>
      </w:r>
      <w:r w:rsidRPr="00A839DD">
        <w:t>un processus confidentiel et efficace de traitement des plaintes internes</w:t>
      </w:r>
      <w:r w:rsidR="00B40F04" w:rsidRPr="00A839DD">
        <w:rPr>
          <w:rFonts w:ascii="Arial" w:hAnsi="Arial" w:cs="Arial"/>
        </w:rPr>
        <w:t> </w:t>
      </w:r>
      <w:r w:rsidR="00925C91" w:rsidRPr="00A839DD">
        <w:t>;</w:t>
      </w:r>
    </w:p>
    <w:p w14:paraId="48AC9F25" w14:textId="1A89BB93" w:rsidR="00512A80" w:rsidRPr="00A839DD" w:rsidRDefault="00512A80" w:rsidP="008A488A">
      <w:pPr>
        <w:pStyle w:val="puces0"/>
      </w:pPr>
      <w:r w:rsidRPr="00A839DD">
        <w:t xml:space="preserve">Former les gestionnaires et les équipes sur les </w:t>
      </w:r>
      <w:r w:rsidR="004A4BF7" w:rsidRPr="00A839DD">
        <w:t>droits des personnes LGBTQ+ e</w:t>
      </w:r>
      <w:r w:rsidR="00356FD9" w:rsidRPr="00A839DD">
        <w:t>t leurs réalités</w:t>
      </w:r>
      <w:r w:rsidR="00B40F04" w:rsidRPr="00A839DD">
        <w:rPr>
          <w:rFonts w:ascii="Arial" w:hAnsi="Arial" w:cs="Arial"/>
        </w:rPr>
        <w:t> </w:t>
      </w:r>
      <w:r w:rsidR="00925C91" w:rsidRPr="00A839DD">
        <w:t>;</w:t>
      </w:r>
    </w:p>
    <w:p w14:paraId="21621CD2" w14:textId="028617CF" w:rsidR="00512A80" w:rsidRPr="00A839DD" w:rsidRDefault="00512A80" w:rsidP="008A488A">
      <w:pPr>
        <w:pStyle w:val="puces0"/>
      </w:pPr>
      <w:r w:rsidRPr="00A839DD">
        <w:t xml:space="preserve">Respecter l’identité des personnes (prénoms, pronoms, </w:t>
      </w:r>
      <w:r w:rsidR="00306658" w:rsidRPr="00A839DD">
        <w:t>expression de genre</w:t>
      </w:r>
      <w:r w:rsidRPr="00A839DD">
        <w:t>)</w:t>
      </w:r>
      <w:r w:rsidR="00B40F04" w:rsidRPr="00A839DD">
        <w:rPr>
          <w:rFonts w:ascii="Arial" w:hAnsi="Arial" w:cs="Arial"/>
        </w:rPr>
        <w:t> </w:t>
      </w:r>
      <w:r w:rsidR="00925C91" w:rsidRPr="00A839DD">
        <w:t>;</w:t>
      </w:r>
    </w:p>
    <w:p w14:paraId="4BF8579D" w14:textId="17AA8768" w:rsidR="00512A80" w:rsidRPr="00A839DD" w:rsidRDefault="00512A80" w:rsidP="008A488A">
      <w:pPr>
        <w:pStyle w:val="puces0"/>
      </w:pPr>
      <w:r w:rsidRPr="00A839DD">
        <w:t>Protéger la confidentialité des renseignements personnels</w:t>
      </w:r>
      <w:r w:rsidR="00B40F04" w:rsidRPr="00A839DD">
        <w:rPr>
          <w:rFonts w:ascii="Arial" w:hAnsi="Arial" w:cs="Arial"/>
        </w:rPr>
        <w:t> </w:t>
      </w:r>
      <w:r w:rsidR="00925C91" w:rsidRPr="00A839DD">
        <w:t>;</w:t>
      </w:r>
    </w:p>
    <w:p w14:paraId="667DAAA8" w14:textId="7EB6C5BF" w:rsidR="00E7792E" w:rsidRDefault="00512A80" w:rsidP="008A488A">
      <w:pPr>
        <w:pStyle w:val="puces0"/>
      </w:pPr>
      <w:r w:rsidRPr="00A839DD">
        <w:t>Porter une attention particulière au</w:t>
      </w:r>
      <w:r w:rsidR="009021A7" w:rsidRPr="00A839DD">
        <w:t>x aspects du</w:t>
      </w:r>
      <w:r w:rsidRPr="00A839DD">
        <w:t xml:space="preserve"> processus d’embauch</w:t>
      </w:r>
      <w:r w:rsidR="00DC5FA2" w:rsidRPr="00A839DD">
        <w:t>e</w:t>
      </w:r>
      <w:r w:rsidR="009021A7" w:rsidRPr="00A839DD">
        <w:t xml:space="preserve"> qui pourraient exclure les</w:t>
      </w:r>
      <w:r w:rsidR="00356FD9" w:rsidRPr="00A839DD">
        <w:t xml:space="preserve"> personnes LGBTQ+, particulièrement les</w:t>
      </w:r>
      <w:r w:rsidR="009021A7" w:rsidRPr="00A839DD">
        <w:t xml:space="preserve"> personnes trans</w:t>
      </w:r>
      <w:r w:rsidRPr="00A839DD">
        <w:t>.</w:t>
      </w:r>
    </w:p>
    <w:p w14:paraId="68EA08F4" w14:textId="77777777" w:rsidR="00E328C8" w:rsidRPr="00A839DD" w:rsidRDefault="00E328C8" w:rsidP="00E328C8">
      <w:pPr>
        <w:pStyle w:val="puces0"/>
        <w:numPr>
          <w:ilvl w:val="0"/>
          <w:numId w:val="0"/>
        </w:numPr>
        <w:ind w:left="851" w:hanging="284"/>
      </w:pPr>
    </w:p>
    <w:p w14:paraId="21317BE7" w14:textId="77777777" w:rsidR="00026154" w:rsidRPr="00A839DD" w:rsidRDefault="00026154" w:rsidP="00026154">
      <w:pPr>
        <w:rPr>
          <w:b/>
          <w:bCs/>
        </w:rPr>
      </w:pPr>
      <w:r w:rsidRPr="00A839DD">
        <w:rPr>
          <w:b/>
          <w:bCs/>
        </w:rPr>
        <w:lastRenderedPageBreak/>
        <w:t>Des défis différents selon la taille du milieu de travail</w:t>
      </w:r>
    </w:p>
    <w:p w14:paraId="026B0C63" w14:textId="1AB462E4" w:rsidR="00026154" w:rsidRPr="00A839DD" w:rsidRDefault="00026154" w:rsidP="0006339A">
      <w:pPr>
        <w:pStyle w:val="Paragraphe"/>
      </w:pPr>
      <w:r w:rsidRPr="00A839DD">
        <w:t>La majorité des plaintes</w:t>
      </w:r>
      <w:r w:rsidR="00DE0F47" w:rsidRPr="00A839DD">
        <w:t xml:space="preserve"> (74</w:t>
      </w:r>
      <w:r w:rsidR="00A92BE1">
        <w:t> </w:t>
      </w:r>
      <w:r w:rsidR="00DE0F47" w:rsidRPr="00A839DD">
        <w:t>%)</w:t>
      </w:r>
      <w:r w:rsidR="0049533A" w:rsidRPr="00A839DD">
        <w:t xml:space="preserve"> ayant fait l’objet d’une analyse qualitative</w:t>
      </w:r>
      <w:r w:rsidR="00DE0F47" w:rsidRPr="00A839DD">
        <w:t xml:space="preserve"> depuis 2005</w:t>
      </w:r>
      <w:r w:rsidR="0049533A" w:rsidRPr="00A839DD">
        <w:t xml:space="preserve"> (</w:t>
      </w:r>
      <w:r w:rsidR="002D14E4" w:rsidRPr="00A839DD">
        <w:t>n = 116</w:t>
      </w:r>
      <w:r w:rsidR="00C42046" w:rsidRPr="00A839DD">
        <w:t xml:space="preserve">) </w:t>
      </w:r>
      <w:r w:rsidRPr="00A839DD">
        <w:t>provient de petites et moyennes entreprises (PME, moins de 500</w:t>
      </w:r>
      <w:r w:rsidR="00750B1D">
        <w:t> </w:t>
      </w:r>
      <w:r w:rsidRPr="00A839DD">
        <w:t>membres du personnel). Ce fait n’est pas étonnant parce qu’elles employaient 70</w:t>
      </w:r>
      <w:r w:rsidR="00EF4F3D" w:rsidRPr="00A839DD">
        <w:t> </w:t>
      </w:r>
      <w:r w:rsidRPr="00A839DD">
        <w:t>% du personnel du secteur privé au Québec en 2020. Celles comptant moins de 100</w:t>
      </w:r>
      <w:r w:rsidR="00750B1D">
        <w:t> </w:t>
      </w:r>
      <w:r w:rsidRPr="00A839DD">
        <w:t xml:space="preserve">personnes employées apparaissent cependant surreprésentées dans </w:t>
      </w:r>
      <w:r w:rsidR="00527B66" w:rsidRPr="00A839DD">
        <w:t>c</w:t>
      </w:r>
      <w:r w:rsidRPr="00A839DD">
        <w:t>es plaintes : 63</w:t>
      </w:r>
      <w:r w:rsidR="00EF4F3D" w:rsidRPr="00A839DD">
        <w:t> </w:t>
      </w:r>
      <w:r w:rsidRPr="00A839DD">
        <w:t>% les visent, alors qu’elles représentaient 50</w:t>
      </w:r>
      <w:r w:rsidR="00EF4F3D" w:rsidRPr="00A839DD">
        <w:t> </w:t>
      </w:r>
      <w:r w:rsidRPr="00A839DD">
        <w:t>% de l’emploi du secteur privé en 2020.</w:t>
      </w:r>
    </w:p>
    <w:p w14:paraId="5FC6DFAB" w14:textId="77777777" w:rsidR="00026154" w:rsidRPr="00A839DD" w:rsidRDefault="00026154" w:rsidP="0006339A">
      <w:pPr>
        <w:pStyle w:val="Paragraphe"/>
      </w:pPr>
      <w:r w:rsidRPr="00A839DD">
        <w:t>À la différence des grandes entreprises qui disposent généralement de politiques anti-discrimination, de directions des ressources humaines et de mécanismes internes de traitement des plaintes, les petites structures n’ont souvent pas autant de ressources à consacrer à l’inclusion. Pourtant, leur obligation de respecter les droits des membres de leur personnel est la même. De plus, une personne LGBTQ+ peut y être particulièrement vulnérable si la direction participe elle-même au problème ou minimise les incidents. En contrepartie, de petits milieux peuvent potentiellement plus rapidement changer leurs pratiques et faire évoluer leur culture organisationnelle.</w:t>
      </w:r>
    </w:p>
    <w:p w14:paraId="37372684" w14:textId="72E31DBA" w:rsidR="00026154" w:rsidRPr="00A839DD" w:rsidRDefault="00026154" w:rsidP="0006339A">
      <w:pPr>
        <w:pStyle w:val="Paragraphe"/>
      </w:pPr>
      <w:r w:rsidRPr="00A839DD">
        <w:t>De leur côté, les grandes entreprises peuvent quant à elles être confrontées à d’autres défis, comme la pression d’actionnaires ou de l’opinion publique, dont les intérêts ne sont pas toujours alignés avec le respect des droits. Ces influences peuvent être accentuées dans un climat social marqué par des reculs ou des remises en question des politiques dites d’équité, de diversité et d’inclusion.</w:t>
      </w:r>
    </w:p>
    <w:p w14:paraId="1C3F85D7" w14:textId="39957433" w:rsidR="00E65551" w:rsidRPr="00A839DD" w:rsidRDefault="00985E2F" w:rsidP="007809F0">
      <w:pPr>
        <w:pStyle w:val="Titre"/>
      </w:pPr>
      <w:r w:rsidRPr="00A839DD">
        <w:t>L’atteinte de l’égalité réelle passe par l’emploi</w:t>
      </w:r>
    </w:p>
    <w:p w14:paraId="4BFE3C22" w14:textId="721E668C" w:rsidR="00E65551" w:rsidRPr="00A839DD" w:rsidRDefault="00E65551" w:rsidP="0006339A">
      <w:pPr>
        <w:pStyle w:val="Paragraphe"/>
      </w:pPr>
      <w:r w:rsidRPr="00A839DD">
        <w:t xml:space="preserve">L’état des connaissances et les plaintes reçues par la Commission </w:t>
      </w:r>
      <w:r w:rsidR="00802F49" w:rsidRPr="00A839DD">
        <w:t xml:space="preserve">des droits </w:t>
      </w:r>
      <w:r w:rsidRPr="00A839DD">
        <w:t>montrent que l’</w:t>
      </w:r>
      <w:r w:rsidR="00217252" w:rsidRPr="00A839DD">
        <w:t>atteinte de l’</w:t>
      </w:r>
      <w:r w:rsidRPr="00A839DD">
        <w:t xml:space="preserve">égalité réelle se fait toujours attendre. Compte tenu de la place centrale de l’emploi dans la vie des personnes, la réalisation des droits des personnes LGBTQ+ </w:t>
      </w:r>
      <w:r w:rsidR="001F7522" w:rsidRPr="00A839DD">
        <w:t xml:space="preserve">en toute égalité </w:t>
      </w:r>
      <w:r w:rsidRPr="00A839DD">
        <w:t xml:space="preserve">doit nécessairement passer par ce secteur, comme le reconnaît le </w:t>
      </w:r>
      <w:r w:rsidRPr="00A839DD">
        <w:rPr>
          <w:i/>
        </w:rPr>
        <w:t xml:space="preserve">Plan d’action gouvernemental </w:t>
      </w:r>
      <w:r w:rsidR="006B1E11" w:rsidRPr="00A839DD">
        <w:rPr>
          <w:i/>
          <w:iCs/>
        </w:rPr>
        <w:t>de lutte contre l’homophobie et la transphobie</w:t>
      </w:r>
      <w:r w:rsidR="00291541">
        <w:rPr>
          <w:i/>
          <w:iCs/>
        </w:rPr>
        <w:t> </w:t>
      </w:r>
      <w:r w:rsidR="006B1E11" w:rsidRPr="00A839DD">
        <w:rPr>
          <w:i/>
          <w:iCs/>
        </w:rPr>
        <w:t>2023-2028</w:t>
      </w:r>
      <w:r w:rsidR="006B1E11" w:rsidRPr="00A839DD">
        <w:t xml:space="preserve"> </w:t>
      </w:r>
      <w:r w:rsidRPr="00A839DD">
        <w:t>qui prévoit quelques mesures visant spécifiquement les milieux de travail.</w:t>
      </w:r>
    </w:p>
    <w:p w14:paraId="7355B293" w14:textId="7A8C9347" w:rsidR="00E65551" w:rsidRPr="00A839DD" w:rsidRDefault="00E65551" w:rsidP="0006339A">
      <w:pPr>
        <w:pStyle w:val="Paragraphe"/>
      </w:pPr>
      <w:r w:rsidRPr="00A839DD">
        <w:t xml:space="preserve">Pour </w:t>
      </w:r>
      <w:r w:rsidR="006D237F" w:rsidRPr="00A839DD">
        <w:t>continuer à</w:t>
      </w:r>
      <w:r w:rsidRPr="00A839DD">
        <w:t xml:space="preserve"> progresser vers l’égalité réelle en emploi, les actions doivent être multiples, coordonnées et menées à différents niveaux</w:t>
      </w:r>
      <w:r w:rsidR="00B40F04" w:rsidRPr="00A839DD">
        <w:t> </w:t>
      </w:r>
      <w:r w:rsidRPr="00A839DD">
        <w:t>:</w:t>
      </w:r>
    </w:p>
    <w:p w14:paraId="39B0A385" w14:textId="1B7E8C26" w:rsidR="00E65551" w:rsidRPr="00A839DD" w:rsidRDefault="00E65551" w:rsidP="008A488A">
      <w:pPr>
        <w:pStyle w:val="puces0"/>
      </w:pPr>
      <w:proofErr w:type="gramStart"/>
      <w:r w:rsidRPr="00A839DD">
        <w:t>dans</w:t>
      </w:r>
      <w:proofErr w:type="gramEnd"/>
      <w:r w:rsidRPr="00A839DD">
        <w:t xml:space="preserve"> les milieux de travail, par des politiques et pratiques respectueuses des droits</w:t>
      </w:r>
      <w:r w:rsidRPr="00A839DD">
        <w:rPr>
          <w:rFonts w:ascii="Arial" w:hAnsi="Arial" w:cs="Arial"/>
        </w:rPr>
        <w:t> </w:t>
      </w:r>
      <w:r w:rsidRPr="00A839DD">
        <w:t>;</w:t>
      </w:r>
    </w:p>
    <w:p w14:paraId="487DF15E" w14:textId="57195C06" w:rsidR="00E65551" w:rsidRPr="00A839DD" w:rsidRDefault="00E65551" w:rsidP="008A488A">
      <w:pPr>
        <w:pStyle w:val="puces0"/>
      </w:pPr>
      <w:proofErr w:type="gramStart"/>
      <w:r w:rsidRPr="00A839DD">
        <w:t>dans</w:t>
      </w:r>
      <w:proofErr w:type="gramEnd"/>
      <w:r w:rsidRPr="00A839DD">
        <w:t xml:space="preserve"> l’espace public, par la promotion des droits des personnes LGBTQ+ et l</w:t>
      </w:r>
      <w:r w:rsidR="00E827D5" w:rsidRPr="00A839DD">
        <w:t>’élimination</w:t>
      </w:r>
      <w:r w:rsidRPr="00A839DD">
        <w:t xml:space="preserve"> de la stigmatisation</w:t>
      </w:r>
      <w:r w:rsidRPr="00A839DD">
        <w:rPr>
          <w:rFonts w:ascii="Arial" w:hAnsi="Arial" w:cs="Arial"/>
        </w:rPr>
        <w:t> </w:t>
      </w:r>
      <w:r w:rsidRPr="00A839DD">
        <w:t>;</w:t>
      </w:r>
    </w:p>
    <w:p w14:paraId="22A18B00" w14:textId="5EFB0905" w:rsidR="00E65551" w:rsidRPr="00A839DD" w:rsidRDefault="00E65551" w:rsidP="008A488A">
      <w:pPr>
        <w:pStyle w:val="puces0"/>
      </w:pPr>
      <w:proofErr w:type="gramStart"/>
      <w:r w:rsidRPr="00A839DD">
        <w:t>dans</w:t>
      </w:r>
      <w:proofErr w:type="gramEnd"/>
      <w:r w:rsidRPr="00A839DD">
        <w:t xml:space="preserve"> la législation et les politiques publiques, par la consolidation et la pleine mise en œuvre des protections existantes</w:t>
      </w:r>
      <w:r w:rsidR="00B40F04" w:rsidRPr="00A839DD">
        <w:rPr>
          <w:rFonts w:ascii="Arial" w:hAnsi="Arial" w:cs="Arial"/>
        </w:rPr>
        <w:t> </w:t>
      </w:r>
      <w:r w:rsidRPr="00A839DD">
        <w:t>;</w:t>
      </w:r>
    </w:p>
    <w:p w14:paraId="2A5E4F66" w14:textId="47F4ACFD" w:rsidR="00E65551" w:rsidRPr="00A839DD" w:rsidRDefault="00E65551" w:rsidP="008A488A">
      <w:pPr>
        <w:pStyle w:val="puces0"/>
      </w:pPr>
      <w:proofErr w:type="gramStart"/>
      <w:r w:rsidRPr="00A839DD">
        <w:t>dans</w:t>
      </w:r>
      <w:proofErr w:type="gramEnd"/>
      <w:r w:rsidRPr="00A839DD">
        <w:t xml:space="preserve"> l’ensemble des services publics, par l’adaptation des programmes et </w:t>
      </w:r>
      <w:r w:rsidR="00291704" w:rsidRPr="00A839DD">
        <w:t>des</w:t>
      </w:r>
      <w:r w:rsidRPr="00A839DD">
        <w:t xml:space="preserve"> interventions pour soutenir les personnes LGBTQ+ tout au long de leur vie</w:t>
      </w:r>
      <w:r w:rsidR="00994256" w:rsidRPr="00A839DD">
        <w:t xml:space="preserve"> et dans les différents aspects de celle-ci</w:t>
      </w:r>
      <w:r w:rsidRPr="00A839DD">
        <w:t>.</w:t>
      </w:r>
    </w:p>
    <w:p w14:paraId="7F18D212" w14:textId="53B07658" w:rsidR="00E65551" w:rsidRPr="00A839DD" w:rsidRDefault="00E65551" w:rsidP="0006339A">
      <w:pPr>
        <w:pStyle w:val="Paragraphe"/>
      </w:pPr>
      <w:r w:rsidRPr="00A839DD">
        <w:lastRenderedPageBreak/>
        <w:t xml:space="preserve">Les </w:t>
      </w:r>
      <w:r w:rsidR="00EA620B" w:rsidRPr="00A839DD">
        <w:t>cinquante</w:t>
      </w:r>
      <w:r w:rsidRPr="00A839DD">
        <w:t xml:space="preserve"> dernières années ont été marquées par des avancées juridiques majeures</w:t>
      </w:r>
      <w:r w:rsidR="00B40F04" w:rsidRPr="00A839DD">
        <w:t> </w:t>
      </w:r>
      <w:r w:rsidRPr="00A839DD">
        <w:t xml:space="preserve">: interdiction de la discrimination fondée sur l’orientation sexuelle puis sur l’identité ou </w:t>
      </w:r>
      <w:r w:rsidR="00412BE8" w:rsidRPr="00A839DD">
        <w:t>l’</w:t>
      </w:r>
      <w:r w:rsidRPr="00A839DD">
        <w:t>expression de genre, reconnaissance des conjoints de même sexe, interdiction des thérapies de conversion et reconnaissance des identités non binaires. À ces étapes se sont ajoutées d</w:t>
      </w:r>
      <w:r w:rsidR="00906403" w:rsidRPr="00A839DD">
        <w:t>’autres</w:t>
      </w:r>
      <w:r w:rsidRPr="00A839DD">
        <w:t xml:space="preserve"> mesures visant la protection et la promotion des droits des personnes LGBTQ+, notamment dans </w:t>
      </w:r>
      <w:r w:rsidR="00971263" w:rsidRPr="00A839DD">
        <w:t xml:space="preserve">le </w:t>
      </w:r>
      <w:r w:rsidRPr="00A839DD">
        <w:t xml:space="preserve">cadre </w:t>
      </w:r>
      <w:r w:rsidR="00126DED" w:rsidRPr="00A839DD">
        <w:t>des plans</w:t>
      </w:r>
      <w:r w:rsidRPr="00A839DD">
        <w:rPr>
          <w:i/>
        </w:rPr>
        <w:t xml:space="preserve"> </w:t>
      </w:r>
      <w:r w:rsidRPr="00A839DD">
        <w:rPr>
          <w:iCs/>
        </w:rPr>
        <w:t>d’action gouvernementa</w:t>
      </w:r>
      <w:r w:rsidR="004A25DB">
        <w:rPr>
          <w:iCs/>
        </w:rPr>
        <w:t>ux</w:t>
      </w:r>
      <w:r w:rsidR="001A4159" w:rsidRPr="00A839DD">
        <w:rPr>
          <w:iCs/>
        </w:rPr>
        <w:t xml:space="preserve"> successifs</w:t>
      </w:r>
      <w:r w:rsidRPr="00A839DD">
        <w:rPr>
          <w:iCs/>
        </w:rPr>
        <w:t xml:space="preserve"> de lutte contre l’homophobie et la transphobie</w:t>
      </w:r>
      <w:r w:rsidRPr="00A839DD">
        <w:t>. Cette évolution qui semblait jusqu’ici inexorable fait toutefois aujourd’hui face à de forts vents contraires un peu partout dans le monde, y compris au Québec.</w:t>
      </w:r>
    </w:p>
    <w:p w14:paraId="788A5E86" w14:textId="77777777" w:rsidR="00E7792E" w:rsidRDefault="00E65551" w:rsidP="0006339A">
      <w:pPr>
        <w:pStyle w:val="Paragraphe"/>
      </w:pPr>
      <w:r w:rsidRPr="00A839DD">
        <w:t xml:space="preserve">Dans ce contexte, le rapport rappelle que l’inclusion des personnes LGBTQ+ </w:t>
      </w:r>
      <w:r w:rsidR="008B0485" w:rsidRPr="00A839DD">
        <w:t xml:space="preserve">en emploi </w:t>
      </w:r>
      <w:r w:rsidRPr="00A839DD">
        <w:t>n’est pas qu’une question de bonne volonté ou de visée souhaitable, mais aussi une question de droits, de responsabilités et d’obligations. L’État et les employeurs ont la responsabilité et l’obligation d’assurer des environnements de travail respectueux des droits et exempts de discrimination.</w:t>
      </w:r>
    </w:p>
    <w:p w14:paraId="4D76DEF3" w14:textId="77777777" w:rsidR="00D5171A" w:rsidRDefault="00D5171A" w:rsidP="0006339A">
      <w:pPr>
        <w:pStyle w:val="Paragraphe"/>
      </w:pPr>
    </w:p>
    <w:p w14:paraId="764335E6" w14:textId="37823044" w:rsidR="00D5171A" w:rsidRPr="00A839DD" w:rsidRDefault="00D5171A" w:rsidP="0006339A">
      <w:pPr>
        <w:pStyle w:val="Paragraphe"/>
        <w:sectPr w:rsidR="00D5171A" w:rsidRPr="00A839DD" w:rsidSect="00127664">
          <w:pgSz w:w="12240" w:h="15840" w:code="1"/>
          <w:pgMar w:top="1985" w:right="1134" w:bottom="1134" w:left="1418" w:header="709" w:footer="709" w:gutter="0"/>
          <w:pgNumType w:fmt="lowerRoman"/>
          <w:cols w:space="708"/>
          <w:docGrid w:linePitch="360"/>
        </w:sectPr>
      </w:pPr>
    </w:p>
    <w:p w14:paraId="1710202C" w14:textId="13AE0806" w:rsidR="007B5011" w:rsidRPr="00A839DD" w:rsidRDefault="00F00C52" w:rsidP="00C56A88">
      <w:pPr>
        <w:pStyle w:val="Titre1"/>
        <w:rPr>
          <w:noProof w:val="0"/>
        </w:rPr>
      </w:pPr>
      <w:bookmarkStart w:id="16" w:name="_Toc229131244"/>
      <w:bookmarkStart w:id="17" w:name="_Toc194313978"/>
      <w:r w:rsidRPr="00A839DD">
        <w:rPr>
          <w:noProof w:val="0"/>
        </w:rPr>
        <w:lastRenderedPageBreak/>
        <w:t>Contexte de la recherche</w:t>
      </w:r>
      <w:bookmarkEnd w:id="16"/>
    </w:p>
    <w:p w14:paraId="6618A590" w14:textId="5F595F90" w:rsidR="00C11291" w:rsidRPr="00A839DD" w:rsidRDefault="00C11291" w:rsidP="0006339A">
      <w:pPr>
        <w:pStyle w:val="Paragraphe"/>
      </w:pPr>
      <w:bookmarkStart w:id="18" w:name="_Toc195019414"/>
      <w:bookmarkEnd w:id="17"/>
      <w:r w:rsidRPr="00A839DD">
        <w:t xml:space="preserve">En 2016, la Commission des droits de la personne et des droits de la jeunesse s’est jointe au partenariat de recherche </w:t>
      </w:r>
      <w:r w:rsidRPr="00A839DD">
        <w:rPr>
          <w:i/>
          <w:iCs/>
        </w:rPr>
        <w:t>Savoirs sur l’inclusion et l’exclusion des personnes LGBTQ</w:t>
      </w:r>
      <w:r w:rsidRPr="00A839DD">
        <w:t xml:space="preserve"> (SAVIE-LGBTQ)</w:t>
      </w:r>
      <w:bookmarkStart w:id="19" w:name="_Ref173937483"/>
      <w:r w:rsidRPr="00A839DD">
        <w:rPr>
          <w:rStyle w:val="Appelnotedebasdep"/>
        </w:rPr>
        <w:footnoteReference w:id="2"/>
      </w:r>
      <w:bookmarkEnd w:id="19"/>
      <w:r w:rsidRPr="00A839DD">
        <w:t>. C’est dans ce contexte qu’elle a développé le projet de recherche «</w:t>
      </w:r>
      <w:r w:rsidR="00235D7E" w:rsidRPr="00A839DD">
        <w:rPr>
          <w:rFonts w:ascii="Arial" w:hAnsi="Arial" w:cs="Arial"/>
        </w:rPr>
        <w:t> </w:t>
      </w:r>
      <w:r w:rsidRPr="00A839DD">
        <w:t>L’égalité réelle se fait toujours attendre : 30</w:t>
      </w:r>
      <w:r w:rsidR="00937C69" w:rsidRPr="00A839DD">
        <w:t> </w:t>
      </w:r>
      <w:r w:rsidRPr="00A839DD">
        <w:t>ans de plaintes pour discrimination en emploi envers des personnes LGBTQ+</w:t>
      </w:r>
      <w:r w:rsidR="00DE533D" w:rsidRPr="00A839DD">
        <w:rPr>
          <w:rFonts w:ascii="Arial" w:hAnsi="Arial" w:cs="Arial"/>
        </w:rPr>
        <w:t> </w:t>
      </w:r>
      <w:r w:rsidRPr="00A839DD">
        <w:t>». Celui-ci s’intéresse aux situations et expériences de personnes ayant porté plainte à la Commission des droits pour discrimination en emploi fondée sur l’orientation sexuelle et l’identité ou l’expression de genre au Québec entre 1994 et 2024.</w:t>
      </w:r>
    </w:p>
    <w:p w14:paraId="71D88F37" w14:textId="77777777" w:rsidR="00BE473C" w:rsidRPr="00A839DD" w:rsidRDefault="00BE473C" w:rsidP="001D3E83">
      <w:pPr>
        <w:pStyle w:val="Titre2"/>
        <w:rPr>
          <w:noProof w:val="0"/>
        </w:rPr>
      </w:pPr>
      <w:bookmarkStart w:id="20" w:name="_Toc229131245"/>
      <w:r w:rsidRPr="00A839DD">
        <w:rPr>
          <w:noProof w:val="0"/>
        </w:rPr>
        <w:t>Le partenariat de recherche SAVIE-LGBTQ</w:t>
      </w:r>
      <w:bookmarkEnd w:id="20"/>
    </w:p>
    <w:p w14:paraId="156036A5" w14:textId="77777777" w:rsidR="00DB5308" w:rsidRPr="00A839DD" w:rsidRDefault="00DB5308" w:rsidP="0006339A">
      <w:pPr>
        <w:pStyle w:val="Paragraphe"/>
      </w:pPr>
      <w:r w:rsidRPr="00A839DD">
        <w:t>Le partenariat SAVIE-LGBTQ s’est penché sur les différentes formes que peuvent prendre l’exclusion et l’inclusion des personnes s’identifiant comme lesbiennes, gaies, bisexuelles, trans ou queers (LGBTQ+</w:t>
      </w:r>
      <w:r w:rsidRPr="00A839DD">
        <w:rPr>
          <w:rStyle w:val="Appelnotedebasdep"/>
        </w:rPr>
        <w:footnoteReference w:id="3"/>
      </w:r>
      <w:r w:rsidRPr="00A839DD">
        <w:t>) dans leurs sphères professionnelles, familiales et sociales. Il s’est particulièrement intéressé aux façons dont les situations de ces personnes varient selon leur âge, leurs trajectoires de vie, leurs appartenances sociales et leurs milieux de vie</w:t>
      </w:r>
      <w:r w:rsidRPr="00A839DD">
        <w:rPr>
          <w:rStyle w:val="Appelnotedebasdep"/>
        </w:rPr>
        <w:footnoteReference w:id="4"/>
      </w:r>
      <w:r w:rsidRPr="00A839DD">
        <w:t>.</w:t>
      </w:r>
    </w:p>
    <w:p w14:paraId="271D0E44" w14:textId="77777777" w:rsidR="00DB5308" w:rsidRPr="00A839DD" w:rsidRDefault="00DB5308" w:rsidP="0006339A">
      <w:pPr>
        <w:pStyle w:val="Paragraphe"/>
      </w:pPr>
      <w:r w:rsidRPr="00A839DD">
        <w:t>Le partenariat compte trois volets de recherche :</w:t>
      </w:r>
    </w:p>
    <w:p w14:paraId="2428C3AA" w14:textId="4E7BDCB7" w:rsidR="00F01502" w:rsidRPr="00A839DD" w:rsidRDefault="00F01502" w:rsidP="0006339A">
      <w:pPr>
        <w:pStyle w:val="Paragraphe"/>
        <w:numPr>
          <w:ilvl w:val="0"/>
          <w:numId w:val="4"/>
        </w:numPr>
      </w:pPr>
      <w:r w:rsidRPr="00A839DD">
        <w:t>Une enquête quantitative, menée en ligne en 2019 et 2020, à laquelle ont répondu 4980</w:t>
      </w:r>
      <w:r w:rsidR="00937C69" w:rsidRPr="00A839DD">
        <w:t> </w:t>
      </w:r>
      <w:r w:rsidRPr="00A839DD">
        <w:t>personnes LGBTQ+ demeurant au Québec.</w:t>
      </w:r>
    </w:p>
    <w:p w14:paraId="4AE7214E" w14:textId="2973C953" w:rsidR="00F01502" w:rsidRPr="00A839DD" w:rsidRDefault="00F01502" w:rsidP="0006339A">
      <w:pPr>
        <w:pStyle w:val="Paragraphe"/>
        <w:numPr>
          <w:ilvl w:val="0"/>
          <w:numId w:val="4"/>
        </w:numPr>
      </w:pPr>
      <w:r w:rsidRPr="00A839DD">
        <w:t>La réalisation d’entrevues avec 137</w:t>
      </w:r>
      <w:r w:rsidR="00937C69" w:rsidRPr="00A839DD">
        <w:t> </w:t>
      </w:r>
      <w:r w:rsidRPr="00A839DD">
        <w:t>personnes, de 2018 à 2020, visant à comprendre les parcours de vie de personnes LGBTQ+ au Québec.</w:t>
      </w:r>
    </w:p>
    <w:p w14:paraId="1C4478AD" w14:textId="33366C36" w:rsidR="00BE473C" w:rsidRPr="00A839DD" w:rsidRDefault="00F01502" w:rsidP="0006339A">
      <w:pPr>
        <w:pStyle w:val="Paragraphe"/>
        <w:numPr>
          <w:ilvl w:val="0"/>
          <w:numId w:val="4"/>
        </w:numPr>
      </w:pPr>
      <w:r w:rsidRPr="00A839DD">
        <w:t xml:space="preserve">L’analyse des politiques publiques québécoises et canadiennes mises en place pour favoriser l’inclusion des personnes LGBTQ+ afin notamment de saisir si elles parviennent effectivement à </w:t>
      </w:r>
      <w:r w:rsidR="007B69ED" w:rsidRPr="00A839DD">
        <w:t>contribuer à</w:t>
      </w:r>
      <w:r w:rsidRPr="00A839DD">
        <w:t xml:space="preserve"> l’atteinte de l’égalité sociale.</w:t>
      </w:r>
    </w:p>
    <w:p w14:paraId="1599E6C8" w14:textId="2C76B1EF" w:rsidR="00BE473C" w:rsidRPr="00A839DD" w:rsidRDefault="004962BB" w:rsidP="0006339A">
      <w:pPr>
        <w:pStyle w:val="Paragraphe"/>
      </w:pPr>
      <w:r w:rsidRPr="00A839DD">
        <w:t>Le projet de recherche de la Commission des droits s’inscrit dans ce dernier volet. La Commission a souhaité documenter les situations et expériences en lien avec le travail pour lesquelles les personnes LGBTQ+ se sont tournées vers ses services et continuent de le faire. L’atteinte de l’égalité réelle se fait en effet toujours attendre, malgré des progrès importants dans la reconnaissance des droits des personnes LGBTQ+</w:t>
      </w:r>
      <w:r w:rsidR="00D321FC" w:rsidRPr="00A839DD">
        <w:t>.</w:t>
      </w:r>
    </w:p>
    <w:p w14:paraId="17877849" w14:textId="5DA88A82" w:rsidR="00D321FC" w:rsidRPr="00A839DD" w:rsidRDefault="00D321FC" w:rsidP="001D3E83">
      <w:pPr>
        <w:pStyle w:val="Titre2"/>
        <w:rPr>
          <w:noProof w:val="0"/>
        </w:rPr>
      </w:pPr>
      <w:bookmarkStart w:id="21" w:name="_Toc229131246"/>
      <w:bookmarkEnd w:id="18"/>
      <w:r w:rsidRPr="00A839DD">
        <w:rPr>
          <w:noProof w:val="0"/>
        </w:rPr>
        <w:lastRenderedPageBreak/>
        <w:t>La Commission dans une société qui a changé et qui continue d’évoluer</w:t>
      </w:r>
      <w:bookmarkEnd w:id="21"/>
    </w:p>
    <w:p w14:paraId="45D3B692" w14:textId="1312DB87" w:rsidR="00A36062" w:rsidRPr="00A839DD" w:rsidRDefault="00A36062" w:rsidP="0006339A">
      <w:pPr>
        <w:pStyle w:val="Paragraphe"/>
      </w:pPr>
      <w:r w:rsidRPr="00A839DD">
        <w:t>Depuis 50</w:t>
      </w:r>
      <w:r w:rsidR="00937C69" w:rsidRPr="00A839DD">
        <w:t> </w:t>
      </w:r>
      <w:r w:rsidRPr="00A839DD">
        <w:t xml:space="preserve">ans, la Commission est une actrice et un témoin privilégié de l’avancement des droits et de l’évolution des formes que prend la discrimination envers les personnes LGBTQ+, notamment en matière d’emploi. </w:t>
      </w:r>
      <w:r w:rsidR="00523A30" w:rsidRPr="00A839DD">
        <w:t xml:space="preserve">En effet, la </w:t>
      </w:r>
      <w:r w:rsidR="00523A30" w:rsidRPr="00A839DD">
        <w:rPr>
          <w:i/>
          <w:iCs/>
        </w:rPr>
        <w:t>Charte des droits et libertés de la personne</w:t>
      </w:r>
      <w:r w:rsidR="00523A30" w:rsidRPr="00A839DD">
        <w:t xml:space="preserve"> </w:t>
      </w:r>
      <w:r w:rsidR="00FB69A0" w:rsidRPr="00A839DD">
        <w:t xml:space="preserve">interdit la discrimination fondée sur l’orientation sexuelle depuis 1977, </w:t>
      </w:r>
      <w:r w:rsidR="00A57E13" w:rsidRPr="00A839DD">
        <w:t xml:space="preserve">ce qui a fait </w:t>
      </w:r>
      <w:r w:rsidR="00BF6EF5" w:rsidRPr="00A839DD">
        <w:t>du Québec</w:t>
      </w:r>
      <w:r w:rsidR="00FB69A0" w:rsidRPr="00A839DD">
        <w:t xml:space="preserve"> un pionnier en Amérique du Nord</w:t>
      </w:r>
      <w:r w:rsidR="00BF6EF5" w:rsidRPr="00A839DD">
        <w:t>.</w:t>
      </w:r>
      <w:r w:rsidR="00ED292E" w:rsidRPr="00A839DD">
        <w:t xml:space="preserve"> L’identité ou l’expression de genre a quant à elle été ajoutée </w:t>
      </w:r>
      <w:r w:rsidR="00730BB7" w:rsidRPr="00A839DD">
        <w:t>en 2016.</w:t>
      </w:r>
      <w:r w:rsidR="00FB69A0" w:rsidRPr="00A839DD">
        <w:t xml:space="preserve"> </w:t>
      </w:r>
      <w:r w:rsidRPr="00A839DD">
        <w:t xml:space="preserve">En plus de recevoir des plaintes pour discrimination et harcèlement discriminatoires sur la base de l’orientation sexuelle et </w:t>
      </w:r>
      <w:r w:rsidR="00200F64" w:rsidRPr="00A839DD">
        <w:t>de</w:t>
      </w:r>
      <w:r w:rsidRPr="00A839DD">
        <w:t xml:space="preserve"> l’identité ou l’expression de genre, elle exerce plusieurs autres responsabilités visant à assurer le respect et la promotion des droits </w:t>
      </w:r>
      <w:r w:rsidR="00730BB7" w:rsidRPr="00A839DD">
        <w:t>des</w:t>
      </w:r>
      <w:r w:rsidRPr="00A839DD">
        <w:t xml:space="preserve"> personnes</w:t>
      </w:r>
      <w:r w:rsidR="00730BB7" w:rsidRPr="00A839DD">
        <w:t xml:space="preserve"> LGBTQ+</w:t>
      </w:r>
      <w:r w:rsidRPr="00A839DD">
        <w:t>.</w:t>
      </w:r>
    </w:p>
    <w:tbl>
      <w:tblPr>
        <w:tblStyle w:val="Grilledutableau"/>
        <w:tblpPr w:leftFromText="141" w:rightFromText="141" w:vertAnchor="text" w:horzAnchor="margin" w:tblpXSpec="right" w:tblpY="108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33"/>
      </w:tblGrid>
      <w:tr w:rsidR="004A2D9A" w:rsidRPr="00A839DD" w14:paraId="5105D464" w14:textId="77777777" w:rsidTr="00164333">
        <w:trPr>
          <w:trHeight w:val="2049"/>
        </w:trPr>
        <w:tc>
          <w:tcPr>
            <w:tcW w:w="3433" w:type="dxa"/>
            <w:shd w:val="clear" w:color="auto" w:fill="E3ECF9"/>
          </w:tcPr>
          <w:p w14:paraId="3DCF33DF" w14:textId="67B1ED1F" w:rsidR="004A2D9A" w:rsidRPr="00797F58" w:rsidRDefault="004A2D9A" w:rsidP="00797F58">
            <w:pPr>
              <w:spacing w:before="120" w:after="120"/>
              <w:jc w:val="center"/>
              <w:rPr>
                <w:caps/>
              </w:rPr>
            </w:pPr>
            <w:r w:rsidRPr="00797F58">
              <w:rPr>
                <w:rFonts w:cs="Arial"/>
              </w:rPr>
              <w:t>«</w:t>
            </w:r>
            <w:r w:rsidRPr="00797F58">
              <w:rPr>
                <w:rFonts w:ascii="Arial" w:hAnsi="Arial" w:cs="Arial"/>
              </w:rPr>
              <w:t> </w:t>
            </w:r>
            <w:r w:rsidRPr="00797F58">
              <w:t xml:space="preserve">La </w:t>
            </w:r>
            <w:r w:rsidRPr="00797F58">
              <w:rPr>
                <w:b/>
              </w:rPr>
              <w:t>Charte</w:t>
            </w:r>
            <w:r w:rsidRPr="00797F58">
              <w:t xml:space="preserve"> est devenue un instrument juridique que les communautés gaies et lesbiennes ont su utiliser pour appuyer leurs revendications pour la reconnaissance d’une égalité réelle des personnes homosexuelles</w:t>
            </w:r>
            <w:r w:rsidRPr="00797F58">
              <w:rPr>
                <w:rStyle w:val="Appelnotedebasdep"/>
                <w:color w:val="001042"/>
              </w:rPr>
              <w:footnoteReference w:id="5"/>
            </w:r>
            <w:r w:rsidRPr="00797F58">
              <w:t>.</w:t>
            </w:r>
            <w:r w:rsidRPr="00797F58">
              <w:rPr>
                <w:rFonts w:ascii="Arial" w:hAnsi="Arial" w:cs="Arial"/>
                <w:caps/>
              </w:rPr>
              <w:t> </w:t>
            </w:r>
            <w:r w:rsidRPr="00797F58">
              <w:rPr>
                <w:rFonts w:cs="Arial"/>
                <w:caps/>
              </w:rPr>
              <w:t>»</w:t>
            </w:r>
          </w:p>
        </w:tc>
      </w:tr>
    </w:tbl>
    <w:p w14:paraId="2DB3C648" w14:textId="091EF517" w:rsidR="00B833D1" w:rsidRPr="00A839DD" w:rsidRDefault="00B833D1" w:rsidP="0006339A">
      <w:pPr>
        <w:pStyle w:val="Paragraphe"/>
      </w:pPr>
      <w:r w:rsidRPr="00A839DD">
        <w:t xml:space="preserve">La Commission est </w:t>
      </w:r>
      <w:r w:rsidR="00D4272C" w:rsidRPr="00A839DD">
        <w:t>notamment</w:t>
      </w:r>
      <w:r w:rsidRPr="00A839DD">
        <w:t xml:space="preserve"> connue pour ses importantes consultations publiques sur l’état des droits des personnes LGBTQ+ au Québec. Dans les années</w:t>
      </w:r>
      <w:r w:rsidR="009B5E80" w:rsidRPr="00A839DD">
        <w:t> </w:t>
      </w:r>
      <w:r w:rsidRPr="00A839DD">
        <w:t>1990, la Commission a mené une consultation sur la violence et la discrimination envers les personnes gaies et lesbiennes</w:t>
      </w:r>
      <w:bookmarkStart w:id="22" w:name="_Ref216861339"/>
      <w:r w:rsidRPr="00A839DD">
        <w:rPr>
          <w:rStyle w:val="Appelnotedebasdep"/>
        </w:rPr>
        <w:footnoteReference w:id="6"/>
      </w:r>
      <w:bookmarkEnd w:id="22"/>
      <w:r w:rsidRPr="00A839DD">
        <w:t>. Cet exercice s’est tenu durant une période marquée par l’épidémie de VIH, par des descentes policières dans les bars et autres lieux de sociabilité fréquentés par les communautés LGBTQ+, mais aussi par des meurtres et passages à tabac d’hommes homosexuels. Dans son rapport rendu public en 1994, la Commission décrivait entre autres les conséquences discriminatoires de la non-reconnaissance des couples homosexuels dans le domaine du travail</w:t>
      </w:r>
      <w:r w:rsidRPr="00A839DD">
        <w:rPr>
          <w:rStyle w:val="Appelnotedebasdep"/>
        </w:rPr>
        <w:footnoteReference w:id="7"/>
      </w:r>
      <w:r w:rsidRPr="00A839DD">
        <w:t xml:space="preserve">. Les couples homosexuels se voyaient ainsi privés du bénéfice des différents régimes de rente, de retraite, d’assurance et d’autres avantages sociaux, qu’ils soient prévus par des lois, des conventions collectives ou des contrats privés. La Commission recommandait </w:t>
      </w:r>
      <w:r w:rsidR="00817A83" w:rsidRPr="00A839DD">
        <w:t>alors</w:t>
      </w:r>
      <w:r w:rsidRPr="00A839DD">
        <w:t xml:space="preserve"> qu’ils puissent bénéficier en toute égalité de ces régimes. Elle demandait également que ces couples soient reconnus dans l’ensemble de la législation.</w:t>
      </w:r>
    </w:p>
    <w:p w14:paraId="3D3DABA6" w14:textId="3D75B413" w:rsidR="00EB508E" w:rsidRPr="00A839DD" w:rsidRDefault="00EB508E" w:rsidP="0006339A">
      <w:pPr>
        <w:pStyle w:val="Paragraphe"/>
      </w:pPr>
      <w:r w:rsidRPr="00A839DD">
        <w:lastRenderedPageBreak/>
        <w:t>Chargée en 2004 par le gouvernement de coordonner le Groupe de travail mixte contre l’homophobie</w:t>
      </w:r>
      <w:r w:rsidR="0091685D" w:rsidRPr="00A839DD">
        <w:rPr>
          <w:rStyle w:val="Appelnotedebasdep"/>
        </w:rPr>
        <w:footnoteReference w:id="8"/>
      </w:r>
      <w:r w:rsidRPr="00A839DD">
        <w:t>, la Commission a mené une autre consultation d’envergure sur le sujet</w:t>
      </w:r>
      <w:bookmarkStart w:id="23" w:name="_Ref216861450"/>
      <w:r w:rsidRPr="00A839DD">
        <w:rPr>
          <w:rStyle w:val="Appelnotedebasdep"/>
        </w:rPr>
        <w:footnoteReference w:id="9"/>
      </w:r>
      <w:bookmarkEnd w:id="23"/>
      <w:r w:rsidRPr="00A839DD">
        <w:t>. Se fondant notamment sur les travaux de recherche pionniers de la professeure Line Chamberland</w:t>
      </w:r>
      <w:bookmarkStart w:id="24" w:name="_Ref219192312"/>
      <w:r w:rsidRPr="00A839DD">
        <w:rPr>
          <w:rStyle w:val="Appelnotedebasdep"/>
        </w:rPr>
        <w:footnoteReference w:id="10"/>
      </w:r>
      <w:bookmarkEnd w:id="24"/>
      <w:r w:rsidRPr="00A839DD">
        <w:t xml:space="preserve">, la Commission a formulé plusieurs constats sur les manifestations d’homophobie en milieu de travail et sur leurs conséquences sur la santé, le bien-être et l’intégration socioéconomique des personnes gaies et lesbiennes. Elle recommandait incidemment au ministère du Travail de s’adresser aux associations patronales et aux syndicats pour leur rappeler l’importance d’assurer des milieux de travail exempts de toute forme d’homophobie et de prendre les moyens nécessaires à cette fin. </w:t>
      </w:r>
      <w:r w:rsidR="00EF0A12" w:rsidRPr="00A839DD">
        <w:t xml:space="preserve">En raison de l’absence </w:t>
      </w:r>
      <w:r w:rsidR="007B189A" w:rsidRPr="00A839DD">
        <w:t>de données</w:t>
      </w:r>
      <w:r w:rsidR="00582DEC" w:rsidRPr="00A839DD">
        <w:t xml:space="preserve"> disponibles</w:t>
      </w:r>
      <w:r w:rsidR="007B189A" w:rsidRPr="00A839DD">
        <w:t>, les manifestations de la transphobie</w:t>
      </w:r>
      <w:r w:rsidR="00E55D51" w:rsidRPr="00A839DD">
        <w:t>, incluant en milieu de travail, n’ont pu réellement être abordées par le Groupe de travail mixte.</w:t>
      </w:r>
      <w:r w:rsidRPr="00A839DD">
        <w:t xml:space="preserve"> </w:t>
      </w:r>
    </w:p>
    <w:p w14:paraId="3B0A504E" w14:textId="7BCB2369" w:rsidR="001440BE" w:rsidRPr="00A839DD" w:rsidRDefault="00630A62" w:rsidP="0006339A">
      <w:pPr>
        <w:pStyle w:val="Paragraphe"/>
      </w:pPr>
      <w:r w:rsidRPr="00A839DD">
        <w:t>Outre</w:t>
      </w:r>
      <w:r w:rsidR="00EB508E" w:rsidRPr="00A839DD">
        <w:t xml:space="preserve"> ces grandes consultations, la Commission </w:t>
      </w:r>
      <w:r w:rsidRPr="00A839DD">
        <w:t>s’est appliquée à poursuivre ses travaux</w:t>
      </w:r>
      <w:r w:rsidR="00EB508E" w:rsidRPr="00A839DD">
        <w:t xml:space="preserve"> de </w:t>
      </w:r>
      <w:r w:rsidRPr="00A839DD">
        <w:t xml:space="preserve">recherche, notamment par l’analyse </w:t>
      </w:r>
      <w:r w:rsidR="003E0166" w:rsidRPr="00A839DD">
        <w:t xml:space="preserve">de la conformité des lois à la Charte et la formulation des recommandations appropriées le cas échéant. </w:t>
      </w:r>
      <w:r w:rsidR="00373A59" w:rsidRPr="00A839DD">
        <w:t>C’est par exemple</w:t>
      </w:r>
      <w:r w:rsidR="00EB508E" w:rsidRPr="00A839DD">
        <w:t xml:space="preserve"> en </w:t>
      </w:r>
      <w:r w:rsidR="00373A59" w:rsidRPr="00A839DD">
        <w:t>vertu de cette responsabilité</w:t>
      </w:r>
      <w:r w:rsidR="00EB508E" w:rsidRPr="00A839DD">
        <w:t xml:space="preserve"> qu’elle </w:t>
      </w:r>
      <w:r w:rsidR="00373A59" w:rsidRPr="00A839DD">
        <w:t xml:space="preserve">s’est prononcée à plusieurs reprises sur le régime de mention du sexe sur les </w:t>
      </w:r>
      <w:r w:rsidR="00C24C9B" w:rsidRPr="00A839DD">
        <w:t>pièces</w:t>
      </w:r>
      <w:r w:rsidR="00373A59" w:rsidRPr="00A839DD">
        <w:t xml:space="preserve"> d’identité (actes de naissance, carte d’assurance maladie, permis de conduire)</w:t>
      </w:r>
      <w:bookmarkStart w:id="25" w:name="_Ref176515709"/>
      <w:r w:rsidR="00373A59" w:rsidRPr="00A839DD">
        <w:rPr>
          <w:rStyle w:val="Appelnotedebasdep"/>
        </w:rPr>
        <w:footnoteReference w:id="11"/>
      </w:r>
      <w:bookmarkEnd w:id="25"/>
      <w:r w:rsidR="00373A59" w:rsidRPr="00A839DD">
        <w:t>. Ces documents peuvent d’ailleurs compliquer la recherche d’un emploi lorsqu’ils ne reflètent pas le genre auquel s’identifie une personne</w:t>
      </w:r>
      <w:bookmarkStart w:id="26" w:name="_Ref218758037"/>
      <w:r w:rsidR="00373A59" w:rsidRPr="00A839DD">
        <w:rPr>
          <w:rStyle w:val="Appelnotedebasdep"/>
        </w:rPr>
        <w:footnoteReference w:id="12"/>
      </w:r>
      <w:bookmarkEnd w:id="26"/>
      <w:r w:rsidR="00373A59" w:rsidRPr="00A839DD">
        <w:t>.</w:t>
      </w:r>
      <w:r w:rsidR="00942E19" w:rsidRPr="00A839DD">
        <w:t xml:space="preserve"> </w:t>
      </w:r>
      <w:r w:rsidR="001440BE" w:rsidRPr="00A839DD">
        <w:t>La Commission poursuit en outre</w:t>
      </w:r>
      <w:r w:rsidR="00EB508E" w:rsidRPr="00A839DD">
        <w:t xml:space="preserve"> ses activités d’éducation pour favoriser </w:t>
      </w:r>
      <w:r w:rsidR="00345EA0" w:rsidRPr="00A839DD">
        <w:t>l</w:t>
      </w:r>
      <w:r w:rsidR="00942E19" w:rsidRPr="00A839DD">
        <w:t>’inclusion des personnes</w:t>
      </w:r>
      <w:r w:rsidR="00A07B43" w:rsidRPr="00A839DD">
        <w:t xml:space="preserve"> LGBTQ+</w:t>
      </w:r>
      <w:r w:rsidR="00EB508E" w:rsidRPr="00A839DD">
        <w:rPr>
          <w:rStyle w:val="Appelnotedebasdep"/>
        </w:rPr>
        <w:footnoteReference w:id="13"/>
      </w:r>
      <w:r w:rsidR="00EB508E" w:rsidRPr="00A839DD">
        <w:t>, y compris en emploi.</w:t>
      </w:r>
    </w:p>
    <w:p w14:paraId="01EEE6EF" w14:textId="3B1A6E07" w:rsidR="00EB508E" w:rsidRPr="00A839DD" w:rsidRDefault="00F65886" w:rsidP="0006339A">
      <w:pPr>
        <w:pStyle w:val="Paragraphe"/>
      </w:pPr>
      <w:r w:rsidRPr="00A839DD">
        <w:t>Cela dit, l</w:t>
      </w:r>
      <w:r w:rsidR="00EB508E" w:rsidRPr="00A839DD">
        <w:t xml:space="preserve">a collaboration avec le projet SAVIE-LGBTQ a offert à la Commission une opportunité unique de revisiter ses travaux antérieurs et de mettre à jour son analyse de la situation des personnes </w:t>
      </w:r>
      <w:r w:rsidR="00EB508E" w:rsidRPr="00A839DD">
        <w:lastRenderedPageBreak/>
        <w:t>LGBTQ+ en emploi à partir des plaintes qu’elle reçoit. Celles-ci donnent un aperçu précieux de ce que peuvent vivre les personnes LGBTQ+ au travail, et ce</w:t>
      </w:r>
      <w:r w:rsidR="00C24C9B" w:rsidRPr="00A839DD">
        <w:t>,</w:t>
      </w:r>
      <w:r w:rsidR="00EB508E" w:rsidRPr="00A839DD">
        <w:t xml:space="preserve"> sur plusieurs décennies.</w:t>
      </w:r>
    </w:p>
    <w:p w14:paraId="5AAE5FAB" w14:textId="44A6E12E" w:rsidR="001E138C" w:rsidRPr="00A839DD" w:rsidRDefault="00593B6F" w:rsidP="001D3E83">
      <w:pPr>
        <w:pStyle w:val="Titre2"/>
        <w:rPr>
          <w:noProof w:val="0"/>
        </w:rPr>
      </w:pPr>
      <w:bookmarkStart w:id="27" w:name="_Toc229131247"/>
      <w:r w:rsidRPr="00A839DD">
        <w:rPr>
          <w:noProof w:val="0"/>
        </w:rPr>
        <w:t>Le contexte actuel</w:t>
      </w:r>
      <w:r w:rsidR="00577C83" w:rsidRPr="00A839DD">
        <w:rPr>
          <w:noProof w:val="0"/>
        </w:rPr>
        <w:t> </w:t>
      </w:r>
      <w:r w:rsidRPr="00A839DD">
        <w:rPr>
          <w:noProof w:val="0"/>
        </w:rPr>
        <w:t>: des avancées encore récentes et des reculs avérés</w:t>
      </w:r>
      <w:bookmarkEnd w:id="27"/>
    </w:p>
    <w:p w14:paraId="36EDD2D7" w14:textId="77777777" w:rsidR="00390853" w:rsidRPr="00A839DD" w:rsidRDefault="00390853" w:rsidP="0006339A">
      <w:pPr>
        <w:pStyle w:val="Paragraphe"/>
      </w:pPr>
      <w:r w:rsidRPr="00A839DD">
        <w:t>Depuis les premiers travaux de la Commission sur les droits des personnes LGBTQ+, le contexte sociojuridique a bien changé, généralement pour le mieux. Les avancées demeurent cependant pour plusieurs récentes et elles n’ont pas bénéficié également à tous les groupes minorisés sur la base de l’orientation sexuelle et de l’identité ou l’expression de genre, dont les personnes trans et non binaires et les personnes LGBTQ+ racisées</w:t>
      </w:r>
      <w:bookmarkStart w:id="28" w:name="_Ref218500043"/>
      <w:r w:rsidRPr="00A839DD">
        <w:rPr>
          <w:rStyle w:val="Appelnotedebasdep"/>
        </w:rPr>
        <w:footnoteReference w:id="14"/>
      </w:r>
      <w:bookmarkEnd w:id="28"/>
      <w:r w:rsidRPr="00A839DD">
        <w:t>.</w:t>
      </w:r>
    </w:p>
    <w:p w14:paraId="5CBE4038" w14:textId="7EFF21BE" w:rsidR="00390853" w:rsidRPr="00A839DD" w:rsidRDefault="00390853" w:rsidP="0006339A">
      <w:pPr>
        <w:pStyle w:val="Paragraphe"/>
      </w:pPr>
      <w:r w:rsidRPr="00A839DD">
        <w:t>Au nombre des avancées, on compte l’abandon progressif de la discrimination formelle envers les personnes LGBTQ+, dont l’inclusion des couples homosexuels dans la législation</w:t>
      </w:r>
      <w:r w:rsidRPr="00A839DD">
        <w:rPr>
          <w:rStyle w:val="Appelnotedebasdep"/>
        </w:rPr>
        <w:footnoteReference w:id="15"/>
      </w:r>
      <w:r w:rsidRPr="00A839DD">
        <w:t>, incluant le mariage</w:t>
      </w:r>
      <w:r w:rsidRPr="00A839DD">
        <w:rPr>
          <w:rStyle w:val="Appelnotedebasdep"/>
        </w:rPr>
        <w:footnoteReference w:id="16"/>
      </w:r>
      <w:r w:rsidRPr="00A839DD">
        <w:t>, la simplification graduelle des procédures de changement de la mention du sexe sur les documents d’état civil</w:t>
      </w:r>
      <w:r w:rsidRPr="00A839DD">
        <w:rPr>
          <w:rStyle w:val="Appelnotedebasdep"/>
        </w:rPr>
        <w:footnoteReference w:id="17"/>
      </w:r>
      <w:r w:rsidRPr="00A839DD">
        <w:t>, l’interdiction des «</w:t>
      </w:r>
      <w:r w:rsidR="00DE533D" w:rsidRPr="00A839DD">
        <w:rPr>
          <w:rFonts w:ascii="Arial" w:hAnsi="Arial" w:cs="Arial"/>
        </w:rPr>
        <w:t> </w:t>
      </w:r>
      <w:r w:rsidRPr="00A839DD">
        <w:t>thérapies de conversion</w:t>
      </w:r>
      <w:r w:rsidR="00DE533D" w:rsidRPr="00A839DD">
        <w:rPr>
          <w:rFonts w:ascii="Arial" w:hAnsi="Arial" w:cs="Arial"/>
        </w:rPr>
        <w:t> </w:t>
      </w:r>
      <w:r w:rsidRPr="00A839DD">
        <w:t>»</w:t>
      </w:r>
      <w:r w:rsidRPr="00A839DD">
        <w:rPr>
          <w:rStyle w:val="Appelnotedebasdep"/>
        </w:rPr>
        <w:footnoteReference w:id="18"/>
      </w:r>
      <w:r w:rsidRPr="00A839DD">
        <w:t xml:space="preserve"> et la reconnaissance juridique des identités de genre non binaires en 2022</w:t>
      </w:r>
      <w:r w:rsidRPr="00A839DD">
        <w:rPr>
          <w:rStyle w:val="Appelnotedebasdep"/>
        </w:rPr>
        <w:footnoteReference w:id="19"/>
      </w:r>
      <w:r w:rsidRPr="00A839DD">
        <w:t>. Ces progrès ont notamment été rendus possible</w:t>
      </w:r>
      <w:r w:rsidR="00AD21E7" w:rsidRPr="00A839DD">
        <w:t>s</w:t>
      </w:r>
      <w:r w:rsidRPr="00A839DD">
        <w:t xml:space="preserve"> par le renforcement de la protection contre la discrimination. L’orientation sexuelle a été ajoutée aux motifs interdits de discrimination prévus par la Charte en 1977</w:t>
      </w:r>
      <w:r w:rsidRPr="00A839DD">
        <w:rPr>
          <w:rStyle w:val="Appelnotedebasdep"/>
        </w:rPr>
        <w:footnoteReference w:id="20"/>
      </w:r>
      <w:r w:rsidRPr="00A839DD">
        <w:t>, suivant une recommandation de la Commission</w:t>
      </w:r>
      <w:r w:rsidRPr="00A839DD">
        <w:rPr>
          <w:rStyle w:val="Appelnotedebasdep"/>
        </w:rPr>
        <w:footnoteReference w:id="21"/>
      </w:r>
      <w:r w:rsidRPr="00A839DD">
        <w:t>. Dans une affaire judiciaire portée par la Commission, le Tribunal des droits de la personne a interprété en 1998 le motif «</w:t>
      </w:r>
      <w:r w:rsidR="00DE533D" w:rsidRPr="00A839DD">
        <w:rPr>
          <w:rFonts w:ascii="Arial" w:hAnsi="Arial" w:cs="Arial"/>
        </w:rPr>
        <w:t> </w:t>
      </w:r>
      <w:r w:rsidRPr="00A839DD">
        <w:t>sexe</w:t>
      </w:r>
      <w:r w:rsidR="00DE533D" w:rsidRPr="00A839DD">
        <w:rPr>
          <w:rFonts w:ascii="Arial" w:hAnsi="Arial" w:cs="Arial"/>
        </w:rPr>
        <w:t> </w:t>
      </w:r>
      <w:r w:rsidRPr="00A839DD">
        <w:t>» comme protégeant aussi «</w:t>
      </w:r>
      <w:r w:rsidR="00DE533D" w:rsidRPr="00A839DD">
        <w:rPr>
          <w:rFonts w:ascii="Arial" w:hAnsi="Arial" w:cs="Arial"/>
        </w:rPr>
        <w:t> </w:t>
      </w:r>
      <w:r w:rsidRPr="00A839DD">
        <w:t>l’état de transsexualisme</w:t>
      </w:r>
      <w:r w:rsidR="00DE533D" w:rsidRPr="00A839DD">
        <w:rPr>
          <w:rFonts w:ascii="Arial" w:hAnsi="Arial" w:cs="Arial"/>
        </w:rPr>
        <w:t> </w:t>
      </w:r>
      <w:r w:rsidRPr="00A839DD">
        <w:t>»</w:t>
      </w:r>
      <w:bookmarkStart w:id="29" w:name="_Ref219194501"/>
      <w:r w:rsidRPr="00A839DD">
        <w:rPr>
          <w:rStyle w:val="Appelnotedebasdep"/>
        </w:rPr>
        <w:footnoteReference w:id="22"/>
      </w:r>
      <w:bookmarkEnd w:id="29"/>
      <w:r w:rsidRPr="00A839DD">
        <w:t xml:space="preserve">. </w:t>
      </w:r>
      <w:r w:rsidRPr="00A839DD">
        <w:lastRenderedPageBreak/>
        <w:t>En 2016, le législateur a ajouté l’identité ou l’expression de genre comme motif interdit de discrimination</w:t>
      </w:r>
      <w:r w:rsidRPr="00A839DD">
        <w:rPr>
          <w:rStyle w:val="Appelnotedebasdep"/>
        </w:rPr>
        <w:footnoteReference w:id="23"/>
      </w:r>
      <w:r w:rsidRPr="00A839DD">
        <w:t>, offrant ainsi une protection plus spécifique aux personnes trans et non binaires.</w:t>
      </w:r>
    </w:p>
    <w:p w14:paraId="09B29471" w14:textId="0C24A3E3" w:rsidR="00390853" w:rsidRPr="00A839DD" w:rsidRDefault="00390853" w:rsidP="0006339A">
      <w:pPr>
        <w:pStyle w:val="Paragraphe"/>
      </w:pPr>
      <w:r w:rsidRPr="00A839DD">
        <w:t>La compréhension de la transidentité a d’ailleurs considérablement évolué au cours des dernières décennies. D’abord un phénomène étroitement associé à une transition médicale, cette expression désigne désormais une diversité de parcours pouvant inclure une ou plusieurs formes de transitions (médicale, légale, sociale), y compris en dehors de la binarité du genre (homme-femme). La proportion de personnes transgenres et non binaires est d’ailleurs cinq fois plus élevée dans la génération Z (1997 à 2006, 0,79</w:t>
      </w:r>
      <w:r w:rsidR="00BD6329" w:rsidRPr="00A839DD">
        <w:t> </w:t>
      </w:r>
      <w:r w:rsidRPr="00A839DD">
        <w:t>%) que chez les baby-boomers (1946-1965, 0,15</w:t>
      </w:r>
      <w:r w:rsidR="00BD6329" w:rsidRPr="00A839DD">
        <w:t> </w:t>
      </w:r>
      <w:r w:rsidRPr="00A839DD">
        <w:t>%)</w:t>
      </w:r>
      <w:r w:rsidRPr="00A839DD">
        <w:rPr>
          <w:rStyle w:val="Appelnotedebasdep"/>
        </w:rPr>
        <w:footnoteReference w:id="24"/>
      </w:r>
      <w:r w:rsidRPr="00A839DD">
        <w:t xml:space="preserve">. Cette forte augmentation ne traduit pas forcément une hausse du nombre de personnes concernées. Elle reflète probablement un climat social plus </w:t>
      </w:r>
      <w:r w:rsidR="00F641CA" w:rsidRPr="00A839DD">
        <w:t>favorable</w:t>
      </w:r>
      <w:r w:rsidR="007F2D0C" w:rsidRPr="00A839DD">
        <w:t xml:space="preserve"> à</w:t>
      </w:r>
      <w:r w:rsidRPr="00A839DD">
        <w:t xml:space="preserve"> la diversité sexuelle et de genre et la possibilité de trouver des communautés de soutien en ligne</w:t>
      </w:r>
      <w:r w:rsidRPr="00A839DD">
        <w:rPr>
          <w:rStyle w:val="Appelnotedebasdep"/>
        </w:rPr>
        <w:footnoteReference w:id="25"/>
      </w:r>
      <w:r w:rsidRPr="00A839DD">
        <w:t xml:space="preserve">. Ces dernières permettent davantage </w:t>
      </w:r>
      <w:r w:rsidR="00DF0C92" w:rsidRPr="00A839DD">
        <w:t xml:space="preserve">aux jeunes </w:t>
      </w:r>
      <w:r w:rsidRPr="00A839DD">
        <w:t xml:space="preserve">de mettre des mots sur </w:t>
      </w:r>
      <w:r w:rsidR="00D27444" w:rsidRPr="00A839DD">
        <w:t>leur</w:t>
      </w:r>
      <w:r w:rsidRPr="00A839DD">
        <w:t xml:space="preserve"> vécu plus tôt dans </w:t>
      </w:r>
      <w:r w:rsidR="00D27444" w:rsidRPr="00A839DD">
        <w:t>leur</w:t>
      </w:r>
      <w:r w:rsidRPr="00A839DD">
        <w:t xml:space="preserve"> parcours et </w:t>
      </w:r>
      <w:r w:rsidR="002D46C4" w:rsidRPr="00A839DD">
        <w:t xml:space="preserve">de </w:t>
      </w:r>
      <w:r w:rsidRPr="00A839DD">
        <w:t>s’y identifier.</w:t>
      </w:r>
    </w:p>
    <w:p w14:paraId="22F55C57" w14:textId="22ED2991" w:rsidR="00390853" w:rsidRPr="00A839DD" w:rsidRDefault="00390853" w:rsidP="0006339A">
      <w:pPr>
        <w:pStyle w:val="Paragraphe"/>
      </w:pPr>
      <w:r w:rsidRPr="00A839DD">
        <w:t xml:space="preserve">Plusieurs indications laissent cependant penser que ces développements favorables au respect des droits des personnes LGBTQ+ ne peuvent être tenus pour acquis. Les crimes haineux ciblant l’orientation sexuelle déclarés par la police </w:t>
      </w:r>
      <w:r w:rsidR="00405150" w:rsidRPr="00A839DD">
        <w:t xml:space="preserve">connaissent une hausse chaque année </w:t>
      </w:r>
      <w:r w:rsidR="008403A3" w:rsidRPr="00A839DD">
        <w:t>depuis 2020</w:t>
      </w:r>
      <w:r w:rsidR="0011189A" w:rsidRPr="00A839DD">
        <w:t xml:space="preserve"> </w:t>
      </w:r>
      <w:r w:rsidRPr="00A839DD">
        <w:t>au Canada</w:t>
      </w:r>
      <w:r w:rsidR="0011189A" w:rsidRPr="00A839DD">
        <w:t xml:space="preserve">. Celle-ci est particulièrement </w:t>
      </w:r>
      <w:r w:rsidR="00974A34" w:rsidRPr="00A839DD">
        <w:t>marquée pour les années</w:t>
      </w:r>
      <w:r w:rsidR="00291541">
        <w:t> </w:t>
      </w:r>
      <w:r w:rsidR="00974A34" w:rsidRPr="00A839DD">
        <w:t xml:space="preserve">2021 et </w:t>
      </w:r>
      <w:r w:rsidRPr="00A839DD">
        <w:t>2023</w:t>
      </w:r>
      <w:r w:rsidR="00974A34" w:rsidRPr="00A839DD">
        <w:t>, avoisinant les 70</w:t>
      </w:r>
      <w:r w:rsidR="0046630A" w:rsidRPr="00A839DD">
        <w:t> </w:t>
      </w:r>
      <w:r w:rsidR="00974A34" w:rsidRPr="00A839DD">
        <w:t>%</w:t>
      </w:r>
      <w:r w:rsidRPr="00A839DD">
        <w:rPr>
          <w:rStyle w:val="Appelnotedebasdep"/>
        </w:rPr>
        <w:footnoteReference w:id="26"/>
      </w:r>
      <w:r w:rsidRPr="00A839DD">
        <w:t>. Reflet de cette tendance, deux hommes utilisant une application de rencontre LGBTQ+ ont été victimes de guet-apens au cours de l’été</w:t>
      </w:r>
      <w:r w:rsidR="009B5E80" w:rsidRPr="00A839DD">
        <w:t> </w:t>
      </w:r>
      <w:r w:rsidRPr="00A839DD">
        <w:t>2024 : plutôt que de faire la rencontre attendue, ils ont été pris au piège et battus, rappelant des pratiques qui inquiétaient les hommes gais dans les années</w:t>
      </w:r>
      <w:r w:rsidR="009B5E80" w:rsidRPr="00A839DD">
        <w:t> </w:t>
      </w:r>
      <w:r w:rsidRPr="00A839DD">
        <w:t>1980 et 1990</w:t>
      </w:r>
      <w:r w:rsidRPr="00A839DD">
        <w:rPr>
          <w:rStyle w:val="Appelnotedebasdep"/>
        </w:rPr>
        <w:footnoteReference w:id="27"/>
      </w:r>
      <w:r w:rsidRPr="00A839DD">
        <w:t>. Les organismes défendant les droits des personnes LGBTQ+ ou leur offrant des services alertent sur la recrudescence de commentaires ouvertement homophobes et transphobes</w:t>
      </w:r>
      <w:r w:rsidR="00543D4A" w:rsidRPr="00A839DD">
        <w:t>, particulièrement sur les réseaux sociaux et plateformes numériques</w:t>
      </w:r>
      <w:r w:rsidRPr="00A839DD">
        <w:t xml:space="preserve">. Le GRIS-Montréal, qui intervient en milieu scolaire, a même révélé dans une étude que le niveau de malaise des jeunes </w:t>
      </w:r>
      <w:r w:rsidR="00A871C3" w:rsidRPr="00A839DD">
        <w:t xml:space="preserve">fréquentant un établissement </w:t>
      </w:r>
      <w:r w:rsidR="00B64E15" w:rsidRPr="00A839DD">
        <w:t>d’enseignement secondaire</w:t>
      </w:r>
      <w:r w:rsidRPr="00A839DD">
        <w:t xml:space="preserve"> vis-à-vis l’homosexualité de leur amie ou ami a doublé </w:t>
      </w:r>
      <w:r w:rsidRPr="00A839DD">
        <w:lastRenderedPageBreak/>
        <w:t>entre 2017 et 2024 pour atteindre respectivement 33,8</w:t>
      </w:r>
      <w:r w:rsidR="00BD6329" w:rsidRPr="00A839DD">
        <w:t> </w:t>
      </w:r>
      <w:r w:rsidRPr="00A839DD">
        <w:t>% et 40,4 %</w:t>
      </w:r>
      <w:r w:rsidRPr="00A839DD">
        <w:rPr>
          <w:rStyle w:val="Appelnotedebasdep"/>
        </w:rPr>
        <w:footnoteReference w:id="28"/>
      </w:r>
      <w:r w:rsidRPr="00A839DD">
        <w:t>. Le personnel d’organismes communautaires craint également pour sa sécurité</w:t>
      </w:r>
      <w:bookmarkStart w:id="30" w:name="_Ref229387976"/>
      <w:r w:rsidRPr="00A839DD">
        <w:rPr>
          <w:rStyle w:val="Appelnotedebasdep"/>
        </w:rPr>
        <w:footnoteReference w:id="29"/>
      </w:r>
      <w:bookmarkEnd w:id="30"/>
      <w:r w:rsidRPr="00A839DD">
        <w:t>, tout comme les responsables des événements de la Fierté qui doivent augmenter le budget consacré à la sécurité compte tenu de l’hostilité qui teinte le débat public sur les questions liées à la diversité sexuelle et de genre</w:t>
      </w:r>
      <w:r w:rsidRPr="00A839DD">
        <w:rPr>
          <w:rStyle w:val="Appelnotedebasdep"/>
        </w:rPr>
        <w:footnoteReference w:id="30"/>
      </w:r>
      <w:r w:rsidRPr="00A839DD">
        <w:t>.</w:t>
      </w:r>
    </w:p>
    <w:p w14:paraId="39E42C4E" w14:textId="0F8561C4" w:rsidR="00390853" w:rsidRPr="00A839DD" w:rsidRDefault="00390853" w:rsidP="0006339A">
      <w:pPr>
        <w:pStyle w:val="Paragraphe"/>
      </w:pPr>
      <w:r w:rsidRPr="00A839DD">
        <w:t>Les milieux de travail ne sont pas épargnés par ces tendances. Le niveau d’ais</w:t>
      </w:r>
      <w:r w:rsidR="007248F4" w:rsidRPr="00A839DD">
        <w:t>ance</w:t>
      </w:r>
      <w:r w:rsidRPr="00A839DD">
        <w:t xml:space="preserve"> de la population québécoise à travailler avec des personnes gaies, lesbiennes, ou trans a diminué de plus de 10</w:t>
      </w:r>
      <w:r w:rsidR="00BD6329" w:rsidRPr="00A839DD">
        <w:t> </w:t>
      </w:r>
      <w:r w:rsidRPr="00A839DD">
        <w:t>% entre 2013 et 2024</w:t>
      </w:r>
      <w:r w:rsidRPr="00A839DD">
        <w:rPr>
          <w:rStyle w:val="Appelnotedebasdep"/>
        </w:rPr>
        <w:footnoteReference w:id="31"/>
      </w:r>
      <w:r w:rsidRPr="00A839DD">
        <w:t>.</w:t>
      </w:r>
      <w:r w:rsidR="00F93EB4" w:rsidRPr="00A839DD">
        <w:t xml:space="preserve"> </w:t>
      </w:r>
      <w:r w:rsidRPr="00A839DD">
        <w:t>Alors que 95</w:t>
      </w:r>
      <w:r w:rsidR="00BD6329" w:rsidRPr="00A839DD">
        <w:t> </w:t>
      </w:r>
      <w:r w:rsidRPr="00A839DD">
        <w:t>% de la population québécoise se disait à l’aise de travailler avec une personne gaie ou lesbienne en 2013, cette proportion n’est plus que de 81,9</w:t>
      </w:r>
      <w:r w:rsidR="00BD6329" w:rsidRPr="00A839DD">
        <w:t> </w:t>
      </w:r>
      <w:r w:rsidRPr="00A839DD">
        <w:t>% en 2024. Pour les collègues trans, la chute est aussi abrupte, passant de 78</w:t>
      </w:r>
      <w:r w:rsidR="00BD6329" w:rsidRPr="00A839DD">
        <w:t> </w:t>
      </w:r>
      <w:r w:rsidRPr="00A839DD">
        <w:t>% à 67,5</w:t>
      </w:r>
      <w:r w:rsidR="00BD6329" w:rsidRPr="00A839DD">
        <w:t> </w:t>
      </w:r>
      <w:r w:rsidRPr="00A839DD">
        <w:t xml:space="preserve">%. </w:t>
      </w:r>
      <w:r w:rsidR="00102D22" w:rsidRPr="00A839DD">
        <w:t>Même si la situation globale est sombre</w:t>
      </w:r>
      <w:r w:rsidR="005C7D32" w:rsidRPr="00A839DD">
        <w:t xml:space="preserve">, </w:t>
      </w:r>
      <w:r w:rsidR="00102D22" w:rsidRPr="00A839DD">
        <w:t xml:space="preserve">certains groupes sont </w:t>
      </w:r>
      <w:r w:rsidR="00FB2393" w:rsidRPr="00A839DD">
        <w:t>plus susceptibles de se dire «</w:t>
      </w:r>
      <w:r w:rsidR="00A82352" w:rsidRPr="00A839DD">
        <w:rPr>
          <w:rFonts w:ascii="Arial" w:hAnsi="Arial" w:cs="Arial"/>
        </w:rPr>
        <w:t> </w:t>
      </w:r>
      <w:r w:rsidR="00FB2393" w:rsidRPr="00A839DD">
        <w:t>tout à fait à l’aise</w:t>
      </w:r>
      <w:r w:rsidR="00A82352" w:rsidRPr="00A839DD">
        <w:rPr>
          <w:rFonts w:ascii="Arial" w:hAnsi="Arial" w:cs="Arial"/>
        </w:rPr>
        <w:t> </w:t>
      </w:r>
      <w:r w:rsidR="00FB2393" w:rsidRPr="00A839DD">
        <w:t xml:space="preserve">» face à des collègues de la diversité sexuelle et de genre, dont </w:t>
      </w:r>
      <w:r w:rsidR="005C7D32" w:rsidRPr="00A839DD">
        <w:t xml:space="preserve">les femmes et les </w:t>
      </w:r>
      <w:r w:rsidR="001459AF" w:rsidRPr="00A839DD">
        <w:t>jeunes de 18 à 34</w:t>
      </w:r>
      <w:r w:rsidR="00291541">
        <w:t> </w:t>
      </w:r>
      <w:r w:rsidR="00FB2393" w:rsidRPr="00A839DD">
        <w:t>ans</w:t>
      </w:r>
      <w:r w:rsidR="001459AF" w:rsidRPr="00A839DD">
        <w:t xml:space="preserve">. </w:t>
      </w:r>
      <w:r w:rsidRPr="00A839DD">
        <w:t>Des situations médiatisées illustrent ces reculs. L’histoire de «</w:t>
      </w:r>
      <w:r w:rsidR="00DE533D" w:rsidRPr="00A839DD">
        <w:rPr>
          <w:rFonts w:ascii="Arial" w:hAnsi="Arial" w:cs="Arial"/>
        </w:rPr>
        <w:t> </w:t>
      </w:r>
      <w:r w:rsidRPr="00A839DD">
        <w:t>Fred</w:t>
      </w:r>
      <w:r w:rsidR="00DE533D" w:rsidRPr="00A839DD">
        <w:rPr>
          <w:rFonts w:ascii="Arial" w:hAnsi="Arial" w:cs="Arial"/>
        </w:rPr>
        <w:t> </w:t>
      </w:r>
      <w:r w:rsidRPr="00A839DD">
        <w:t>», facteur chez Postes Canada qui était la cible répétée de graffitis homophobes sur son lieu de travail, est par exemple devenue virale au cours de l’été</w:t>
      </w:r>
      <w:r w:rsidR="009B5E80" w:rsidRPr="00A839DD">
        <w:t> </w:t>
      </w:r>
      <w:r w:rsidRPr="00A839DD">
        <w:t>2024</w:t>
      </w:r>
      <w:r w:rsidRPr="00A839DD">
        <w:rPr>
          <w:rStyle w:val="Appelnotedebasdep"/>
        </w:rPr>
        <w:footnoteReference w:id="32"/>
      </w:r>
      <w:r w:rsidRPr="00A839DD">
        <w:t>. Depuis quelques années, des entreprises subissent également des pressions sur les médias sociaux et sont visées par des campagnes de boycottage dénonçant leurs politiques d’équité, diversité et inclusion, notamment en faveur des personnes LGBTQ+</w:t>
      </w:r>
      <w:r w:rsidRPr="00A839DD">
        <w:rPr>
          <w:rStyle w:val="Appelnotedebasdep"/>
        </w:rPr>
        <w:footnoteReference w:id="33"/>
      </w:r>
      <w:r w:rsidRPr="00A839DD">
        <w:t>.</w:t>
      </w:r>
    </w:p>
    <w:p w14:paraId="018476BE" w14:textId="77777777" w:rsidR="00390853" w:rsidRPr="00A839DD" w:rsidRDefault="00390853" w:rsidP="0006339A">
      <w:pPr>
        <w:pStyle w:val="Paragraphe"/>
      </w:pPr>
      <w:r w:rsidRPr="00A839DD">
        <w:lastRenderedPageBreak/>
        <w:t>Les personnes trans et non binaires sont particulièrement affectées</w:t>
      </w:r>
      <w:r w:rsidRPr="00A839DD">
        <w:rPr>
          <w:rStyle w:val="Appelnotedebasdep"/>
        </w:rPr>
        <w:footnoteReference w:id="34"/>
      </w:r>
      <w:r w:rsidRPr="00A839DD">
        <w:t xml:space="preserve"> par cette détérioration du climat social et par des controverses répétées, au Québec comme ailleurs, entourant notamment les soins d’affirmation de genre, leur participation aux compétitions sportives et leur accès aux toilettes et vestiaires. Pour brosser un portrait de ces enjeux, le gouvernement a créé le Comité de sages sur l’identité de genre en 2024. La Commission a soumis un mémoire au Comité dans lequel elle l’invitait entre autres à se pencher sur la situation des personnes trans et non binaires en emploi</w:t>
      </w:r>
      <w:bookmarkStart w:id="31" w:name="_Ref219195115"/>
      <w:r w:rsidRPr="00A839DD">
        <w:rPr>
          <w:rStyle w:val="Appelnotedebasdep"/>
        </w:rPr>
        <w:footnoteReference w:id="35"/>
      </w:r>
      <w:bookmarkEnd w:id="31"/>
      <w:r w:rsidRPr="00A839DD">
        <w:t>. Dans son rapport publié en mai 2025, le comité a effectivement mis de l’avant les obstacles que rencontrent les personnes trans dans leurs trajectoires professionnelles qui sont susceptibles de se répercuter sur les différents aspects de leur vie, dont le logement et la santé</w:t>
      </w:r>
      <w:r w:rsidRPr="00A839DD">
        <w:rPr>
          <w:rStyle w:val="Appelnotedebasdep"/>
        </w:rPr>
        <w:footnoteReference w:id="36"/>
      </w:r>
      <w:r w:rsidRPr="00A839DD">
        <w:t>.</w:t>
      </w:r>
    </w:p>
    <w:p w14:paraId="51CC18A9" w14:textId="39DAA133" w:rsidR="00390853" w:rsidRPr="00A839DD" w:rsidRDefault="00390853" w:rsidP="0006339A">
      <w:pPr>
        <w:pStyle w:val="Paragraphe"/>
      </w:pPr>
      <w:r w:rsidRPr="00A839DD">
        <w:t xml:space="preserve">Ces évolutions </w:t>
      </w:r>
      <w:r w:rsidR="00AB4C13" w:rsidRPr="00A839DD">
        <w:t>—</w:t>
      </w:r>
      <w:r w:rsidR="00B30485" w:rsidRPr="00A839DD">
        <w:rPr>
          <w:rFonts w:ascii="Arial" w:hAnsi="Arial" w:cs="Arial"/>
        </w:rPr>
        <w:t> </w:t>
      </w:r>
      <w:r w:rsidRPr="00A839DD">
        <w:t>tant positives que négatives</w:t>
      </w:r>
      <w:r w:rsidR="00B30485" w:rsidRPr="00A839DD">
        <w:rPr>
          <w:rFonts w:ascii="Arial" w:hAnsi="Arial" w:cs="Arial"/>
        </w:rPr>
        <w:t> </w:t>
      </w:r>
      <w:r w:rsidR="00AB4C13" w:rsidRPr="00A839DD">
        <w:t>—</w:t>
      </w:r>
      <w:r w:rsidRPr="00A839DD">
        <w:t xml:space="preserve"> influencent l’analyse qu’il est possible de faire des plaintes reçues par la Commission au fil des ans, comme il sera exposé au fil du rapport.</w:t>
      </w:r>
    </w:p>
    <w:p w14:paraId="6FD83996" w14:textId="77777777" w:rsidR="008320BB" w:rsidRPr="00A839DD" w:rsidRDefault="008320BB" w:rsidP="0006339A">
      <w:pPr>
        <w:pStyle w:val="Paragraphe"/>
      </w:pPr>
    </w:p>
    <w:p w14:paraId="25228D53" w14:textId="5721F6D5" w:rsidR="001E138C" w:rsidRPr="00A839DD" w:rsidRDefault="00595723" w:rsidP="00C56A88">
      <w:pPr>
        <w:pStyle w:val="Titre1"/>
        <w:rPr>
          <w:noProof w:val="0"/>
        </w:rPr>
      </w:pPr>
      <w:bookmarkStart w:id="32" w:name="_Toc229131248"/>
      <w:r w:rsidRPr="00A839DD">
        <w:rPr>
          <w:noProof w:val="0"/>
        </w:rPr>
        <w:t xml:space="preserve">Pourquoi s’intéresser </w:t>
      </w:r>
      <w:r w:rsidR="00520FB9" w:rsidRPr="00A839DD">
        <w:rPr>
          <w:noProof w:val="0"/>
        </w:rPr>
        <w:t>à l’emploi</w:t>
      </w:r>
      <w:r w:rsidR="00577C83" w:rsidRPr="00A839DD">
        <w:rPr>
          <w:rFonts w:ascii="Arial" w:hAnsi="Arial"/>
          <w:noProof w:val="0"/>
        </w:rPr>
        <w:t> </w:t>
      </w:r>
      <w:r w:rsidRPr="00A839DD">
        <w:rPr>
          <w:noProof w:val="0"/>
        </w:rPr>
        <w:t>?</w:t>
      </w:r>
      <w:bookmarkEnd w:id="32"/>
    </w:p>
    <w:p w14:paraId="6605AB01" w14:textId="77777777" w:rsidR="001518F9" w:rsidRPr="00A839DD" w:rsidRDefault="001518F9" w:rsidP="001D3E83">
      <w:pPr>
        <w:pStyle w:val="Titre2"/>
        <w:rPr>
          <w:noProof w:val="0"/>
        </w:rPr>
      </w:pPr>
      <w:bookmarkStart w:id="33" w:name="_Toc229131249"/>
      <w:r w:rsidRPr="00A839DD">
        <w:rPr>
          <w:noProof w:val="0"/>
        </w:rPr>
        <w:t>Parce que la Charte garantit les droits des personnes LGBTQ+ au travail</w:t>
      </w:r>
      <w:bookmarkEnd w:id="33"/>
    </w:p>
    <w:p w14:paraId="0DB985BF" w14:textId="5E5DC093" w:rsidR="00C81675" w:rsidRPr="00A839DD" w:rsidRDefault="00C81675" w:rsidP="0006339A">
      <w:pPr>
        <w:pStyle w:val="Paragraphe"/>
      </w:pPr>
      <w:r w:rsidRPr="00A839DD">
        <w:t xml:space="preserve">La Commission s’intéresse à la discrimination en emploi </w:t>
      </w:r>
      <w:r w:rsidR="00CD0957" w:rsidRPr="00A839DD">
        <w:t>envers les</w:t>
      </w:r>
      <w:r w:rsidRPr="00A839DD">
        <w:t xml:space="preserve"> personnes LGBTQ+ parce que la Charte </w:t>
      </w:r>
      <w:r w:rsidR="00CD0957" w:rsidRPr="00A839DD">
        <w:t xml:space="preserve">leur </w:t>
      </w:r>
      <w:r w:rsidRPr="00A839DD">
        <w:t>garantit des droits au travail, comme à toute personne. Elle prévoit notamment la protection des droits fondamentaux que sont le droit à la sûreté, la liberté d’expression, le droit à la sauvegarde de sa dignité et le droit au respect de sa vie privée</w:t>
      </w:r>
      <w:r w:rsidRPr="00A839DD">
        <w:rPr>
          <w:rStyle w:val="Appelnotedebasdep"/>
        </w:rPr>
        <w:footnoteReference w:id="37"/>
      </w:r>
      <w:r w:rsidRPr="00A839DD">
        <w:t>. Son article</w:t>
      </w:r>
      <w:r w:rsidR="009B5E80" w:rsidRPr="00A839DD">
        <w:t> </w:t>
      </w:r>
      <w:r w:rsidRPr="00A839DD">
        <w:t>10 garantit également la reconnaissance et l’exercice, en toute égalité, de tous les droits qu’elle consacre. La Charte interdit aussi la discrimination et le harcèlement discriminatoire dans différents secteurs spécifiques, y compris dans plusieurs dimensions du travail, comme l’embauche, la probation, la formation, la promotion, le renvoi et les conditions de travail</w:t>
      </w:r>
      <w:r w:rsidRPr="00A839DD">
        <w:rPr>
          <w:rStyle w:val="Appelnotedebasdep"/>
        </w:rPr>
        <w:footnoteReference w:id="38"/>
      </w:r>
      <w:r w:rsidRPr="00A839DD">
        <w:t>.</w:t>
      </w:r>
      <w:r w:rsidR="00B853A0" w:rsidRPr="00A839DD">
        <w:t xml:space="preserve"> Elle protège également le droit </w:t>
      </w:r>
      <w:r w:rsidR="006338AC" w:rsidRPr="00A839DD">
        <w:t>à des conditions de travail justes et raisonnables et qui respecte sa santé, sa sécurité et son intégrité physique</w:t>
      </w:r>
      <w:r w:rsidR="006338AC" w:rsidRPr="00A839DD">
        <w:rPr>
          <w:rStyle w:val="Appelnotedebasdep"/>
        </w:rPr>
        <w:footnoteReference w:id="39"/>
      </w:r>
      <w:r w:rsidR="006338AC" w:rsidRPr="00A839DD">
        <w:t>.</w:t>
      </w:r>
    </w:p>
    <w:p w14:paraId="214CB6D2" w14:textId="05045116" w:rsidR="00C81675" w:rsidRPr="00A839DD" w:rsidRDefault="00C81675" w:rsidP="0006339A">
      <w:pPr>
        <w:pStyle w:val="Paragraphe"/>
      </w:pPr>
      <w:r w:rsidRPr="00A839DD">
        <w:lastRenderedPageBreak/>
        <w:t>L’enjeu de l’inclusion des personnes LGBTQ+ en emploi est de plus en plus étudié, y compris sous l’angle de la discrimination. Cette dernière notion est cependant souvent définie dans la littérature d’une façon plus restrictive que la définition juridique (voir Partie</w:t>
      </w:r>
      <w:r w:rsidR="009B5E80" w:rsidRPr="00A839DD">
        <w:t> </w:t>
      </w:r>
      <w:r w:rsidRPr="00A839DD">
        <w:t>5) ou encore située dans une approche psychosociale</w:t>
      </w:r>
      <w:bookmarkStart w:id="34" w:name="_Ref216864504"/>
      <w:r w:rsidRPr="00A839DD">
        <w:rPr>
          <w:rStyle w:val="Appelnotedebasdep"/>
        </w:rPr>
        <w:footnoteReference w:id="40"/>
      </w:r>
      <w:bookmarkEnd w:id="34"/>
      <w:r w:rsidRPr="00A839DD">
        <w:t>, ce qui peut avoir pour effet de sous-estimer la portée des obligations de l’État et des acteurs du milieu du travail. Sans minimiser l’importance d’avoir recours à différentes approches qui sont complémentaires, il apparaît essentiel pour la Commission d’ancrer son analyse dans les droits garantis par la Charte et de s’appuyer sur des définitions juridiquement reconnues. Un tel cadre d’analyse permet de développer un langage commun pour structurer l’action visant à éradiquer les discriminations et de ne pas perdre de vue les obligations qui en découlent.</w:t>
      </w:r>
    </w:p>
    <w:p w14:paraId="170E663E" w14:textId="56BF9FD0" w:rsidR="00C81675" w:rsidRPr="00A839DD" w:rsidRDefault="00C81675" w:rsidP="0006339A">
      <w:pPr>
        <w:pStyle w:val="Paragraphe"/>
      </w:pPr>
      <w:r w:rsidRPr="00A839DD">
        <w:t>Se référer au cadre de la Charte permet de rappeler que l’inclusion des personnes LGBTQ+ n’est pas qu’une question de bonne volonté ou une visée souhaitable. C’est aussi une question de droits, de responsabilités et d’obligations qu’ont les organisations et</w:t>
      </w:r>
      <w:r w:rsidR="00704F9C" w:rsidRPr="00A839DD">
        <w:t xml:space="preserve"> qu’ont</w:t>
      </w:r>
      <w:r w:rsidRPr="00A839DD">
        <w:t xml:space="preserve"> les personnes les unes envers les autres. Plus particulièrement, les employeurs ont la responsabilité et l’obligation d’assurer des environnements de travail respectueux des droits et exempts de discrimination.</w:t>
      </w:r>
    </w:p>
    <w:p w14:paraId="2F783603" w14:textId="77777777" w:rsidR="005D6E5E" w:rsidRPr="00A839DD" w:rsidRDefault="005D6E5E" w:rsidP="001D3E83">
      <w:pPr>
        <w:pStyle w:val="Titre2"/>
        <w:rPr>
          <w:noProof w:val="0"/>
        </w:rPr>
      </w:pPr>
      <w:bookmarkStart w:id="35" w:name="_Toc229131250"/>
      <w:r w:rsidRPr="00A839DD">
        <w:rPr>
          <w:noProof w:val="0"/>
        </w:rPr>
        <w:t>Parce que le travail est le secteur pour lequel la Commission reçoit le plus de plaintes</w:t>
      </w:r>
      <w:bookmarkEnd w:id="35"/>
      <w:r w:rsidRPr="00A839DD">
        <w:rPr>
          <w:noProof w:val="0"/>
        </w:rPr>
        <w:t xml:space="preserve"> </w:t>
      </w:r>
    </w:p>
    <w:p w14:paraId="6E980D1C" w14:textId="7950D72D" w:rsidR="006D6D4D" w:rsidRPr="00A839DD" w:rsidRDefault="006D6D4D" w:rsidP="0006339A">
      <w:pPr>
        <w:pStyle w:val="Paragraphe"/>
      </w:pPr>
      <w:r w:rsidRPr="00A839DD">
        <w:t>Entre 1994</w:t>
      </w:r>
      <w:r w:rsidRPr="00A839DD">
        <w:rPr>
          <w:rStyle w:val="Appelnotedebasdep"/>
        </w:rPr>
        <w:footnoteReference w:id="41"/>
      </w:r>
      <w:r w:rsidRPr="00A839DD">
        <w:t xml:space="preserve"> et 2024, 53</w:t>
      </w:r>
      <w:r w:rsidR="00BD6329" w:rsidRPr="00A839DD">
        <w:t> </w:t>
      </w:r>
      <w:r w:rsidRPr="00A839DD">
        <w:t xml:space="preserve">% de l’ensemble des plaintes pour discrimination adressées à la Commission des droits ont concerné le </w:t>
      </w:r>
      <w:r w:rsidR="00884237" w:rsidRPr="00A839DD">
        <w:t>secteur de l’</w:t>
      </w:r>
      <w:r w:rsidR="00BA3F17" w:rsidRPr="00A839DD">
        <w:t>emploi</w:t>
      </w:r>
      <w:r w:rsidRPr="00A839DD">
        <w:t xml:space="preserve">, ce qui en fait </w:t>
      </w:r>
      <w:r w:rsidR="00884237" w:rsidRPr="00A839DD">
        <w:t>celui</w:t>
      </w:r>
      <w:r w:rsidRPr="00A839DD">
        <w:t xml:space="preserve"> pour lequel elle en reçoit le plus. </w:t>
      </w:r>
    </w:p>
    <w:p w14:paraId="5A3BDFAF" w14:textId="128B5FC4" w:rsidR="006D6D4D" w:rsidRPr="00A839DD" w:rsidRDefault="006D6D4D" w:rsidP="0006339A">
      <w:pPr>
        <w:pStyle w:val="Paragraphe"/>
      </w:pPr>
      <w:r w:rsidRPr="00A839DD">
        <w:t>Il en va de même pour les plaintes pour discrimination sur la base de l’orientation sexuelle et l’identité ou l’expression de genre</w:t>
      </w:r>
      <w:bookmarkStart w:id="36" w:name="_Ref219291688"/>
      <w:r w:rsidRPr="00A839DD">
        <w:rPr>
          <w:rStyle w:val="Appelnotedebasdep"/>
        </w:rPr>
        <w:footnoteReference w:id="42"/>
      </w:r>
      <w:bookmarkEnd w:id="36"/>
      <w:r w:rsidRPr="00A839DD">
        <w:t> : 45</w:t>
      </w:r>
      <w:r w:rsidR="00BD6329" w:rsidRPr="00A839DD">
        <w:t> </w:t>
      </w:r>
      <w:r w:rsidRPr="00A839DD">
        <w:t xml:space="preserve">% des plaintes reçues pour ces motifs visent le travail. </w:t>
      </w:r>
    </w:p>
    <w:p w14:paraId="3380F520" w14:textId="7A2E9A6D" w:rsidR="00767F9C" w:rsidRPr="00A839DD" w:rsidRDefault="009033DE" w:rsidP="0006339A">
      <w:pPr>
        <w:pStyle w:val="Paragraphe"/>
      </w:pPr>
      <w:r w:rsidRPr="00A839DD">
        <w:t>Pour le motif «</w:t>
      </w:r>
      <w:r w:rsidRPr="00A839DD">
        <w:rPr>
          <w:rFonts w:ascii="Arial" w:hAnsi="Arial" w:cs="Arial"/>
        </w:rPr>
        <w:t> </w:t>
      </w:r>
      <w:r w:rsidRPr="00A839DD">
        <w:t>orientation sexuelle</w:t>
      </w:r>
      <w:r w:rsidRPr="00A839DD">
        <w:rPr>
          <w:rFonts w:ascii="Arial" w:hAnsi="Arial" w:cs="Arial"/>
        </w:rPr>
        <w:t> </w:t>
      </w:r>
      <w:r w:rsidRPr="00A839DD">
        <w:t>», le nombre de plaintes visant le travail atteint 50 %.</w:t>
      </w:r>
      <w:r w:rsidR="00B7048B" w:rsidRPr="00A839DD">
        <w:t xml:space="preserve"> </w:t>
      </w:r>
      <w:r w:rsidR="000A73C8" w:rsidRPr="00A839DD">
        <w:t xml:space="preserve">La discrimination </w:t>
      </w:r>
      <w:r w:rsidR="00723ADF" w:rsidRPr="00A839DD">
        <w:t xml:space="preserve">en emploi concerne </w:t>
      </w:r>
      <w:r w:rsidR="00011378" w:rsidRPr="00A839DD">
        <w:t>quant à elle près du tiers des plaintes</w:t>
      </w:r>
      <w:r w:rsidR="0025386F" w:rsidRPr="00A839DD">
        <w:t xml:space="preserve"> pour le motif «</w:t>
      </w:r>
      <w:r w:rsidR="00A82352" w:rsidRPr="00A839DD">
        <w:rPr>
          <w:rFonts w:ascii="Arial" w:hAnsi="Arial" w:cs="Arial"/>
        </w:rPr>
        <w:t> </w:t>
      </w:r>
      <w:r w:rsidR="006D6D4D" w:rsidRPr="00A839DD">
        <w:t>identité ou expression de genre</w:t>
      </w:r>
      <w:r w:rsidR="00A82352" w:rsidRPr="00A839DD">
        <w:rPr>
          <w:rFonts w:ascii="Arial" w:hAnsi="Arial" w:cs="Arial"/>
        </w:rPr>
        <w:t> </w:t>
      </w:r>
      <w:r w:rsidR="0025386F" w:rsidRPr="00A839DD">
        <w:t>»</w:t>
      </w:r>
      <w:r w:rsidR="00011378" w:rsidRPr="00A839DD">
        <w:t xml:space="preserve"> (31</w:t>
      </w:r>
      <w:r w:rsidR="0046630A" w:rsidRPr="00A839DD">
        <w:t> </w:t>
      </w:r>
      <w:r w:rsidR="00011378" w:rsidRPr="00A839DD">
        <w:t xml:space="preserve">%). Le secteur </w:t>
      </w:r>
      <w:r w:rsidR="00016BEC" w:rsidRPr="00A839DD">
        <w:t xml:space="preserve">du </w:t>
      </w:r>
      <w:r w:rsidR="006D6D4D" w:rsidRPr="00A839DD">
        <w:t xml:space="preserve">travail arrive </w:t>
      </w:r>
      <w:r w:rsidR="00016BEC" w:rsidRPr="00A839DD">
        <w:t>ainsi</w:t>
      </w:r>
      <w:r w:rsidR="006D6D4D" w:rsidRPr="00A839DD">
        <w:t xml:space="preserve"> deuxième </w:t>
      </w:r>
      <w:r w:rsidR="00016BEC" w:rsidRPr="00A839DD">
        <w:t xml:space="preserve">pour ce motif, </w:t>
      </w:r>
      <w:r w:rsidR="006D6D4D" w:rsidRPr="00A839DD">
        <w:t xml:space="preserve">derrière </w:t>
      </w:r>
      <w:r w:rsidR="00016BEC" w:rsidRPr="00A839DD">
        <w:t>celui</w:t>
      </w:r>
      <w:r w:rsidR="006D6D4D" w:rsidRPr="00A839DD">
        <w:t xml:space="preserve"> </w:t>
      </w:r>
      <w:r w:rsidR="00016BEC" w:rsidRPr="00A839DD">
        <w:t xml:space="preserve">des </w:t>
      </w:r>
      <w:r w:rsidR="006D6D4D" w:rsidRPr="00A839DD">
        <w:t>«</w:t>
      </w:r>
      <w:r w:rsidR="00DE533D" w:rsidRPr="00A839DD">
        <w:rPr>
          <w:rFonts w:ascii="Arial" w:hAnsi="Arial" w:cs="Arial"/>
        </w:rPr>
        <w:t> </w:t>
      </w:r>
      <w:r w:rsidR="006D6D4D" w:rsidRPr="00A839DD">
        <w:t>Actes juridiques</w:t>
      </w:r>
      <w:r w:rsidR="00BD6329" w:rsidRPr="00A839DD">
        <w:t>/</w:t>
      </w:r>
      <w:r w:rsidR="006D6D4D" w:rsidRPr="00A839DD">
        <w:t>biens et services</w:t>
      </w:r>
      <w:r w:rsidR="00DE533D" w:rsidRPr="00A839DD">
        <w:rPr>
          <w:rFonts w:ascii="Arial" w:hAnsi="Arial" w:cs="Arial"/>
        </w:rPr>
        <w:t> </w:t>
      </w:r>
      <w:r w:rsidR="006D6D4D" w:rsidRPr="00A839DD">
        <w:t>» (42</w:t>
      </w:r>
      <w:r w:rsidR="00BD6329" w:rsidRPr="00A839DD">
        <w:t> </w:t>
      </w:r>
      <w:r w:rsidR="006D6D4D" w:rsidRPr="00A839DD">
        <w:t>%)</w:t>
      </w:r>
      <w:r w:rsidR="00820D58" w:rsidRPr="00A839DD">
        <w:t xml:space="preserve"> qui comprend </w:t>
      </w:r>
      <w:r w:rsidR="00C06982" w:rsidRPr="00A839DD">
        <w:t xml:space="preserve">l’accès </w:t>
      </w:r>
      <w:r w:rsidR="00E2332A" w:rsidRPr="00A839DD">
        <w:t>aux biens et services offerts tant par les secteurs publics que privés.</w:t>
      </w:r>
    </w:p>
    <w:p w14:paraId="460127CC" w14:textId="45E82F47" w:rsidR="006D6D4D" w:rsidRPr="00A839DD" w:rsidRDefault="0044452D" w:rsidP="0006339A">
      <w:pPr>
        <w:pStyle w:val="Paragraphe"/>
      </w:pPr>
      <w:r w:rsidRPr="00A839DD">
        <w:t>Cet écart</w:t>
      </w:r>
      <w:r w:rsidR="006D6D4D" w:rsidRPr="00A839DD">
        <w:t xml:space="preserve"> entre les deux motifs </w:t>
      </w:r>
      <w:r w:rsidR="00A155C1" w:rsidRPr="00A839DD">
        <w:t>dans le secteur</w:t>
      </w:r>
      <w:r w:rsidR="00216F10" w:rsidRPr="00A839DD">
        <w:t xml:space="preserve"> du</w:t>
      </w:r>
      <w:r w:rsidR="00A155C1" w:rsidRPr="00A839DD">
        <w:t xml:space="preserve"> travail (50</w:t>
      </w:r>
      <w:r w:rsidR="0046630A" w:rsidRPr="00A839DD">
        <w:t> </w:t>
      </w:r>
      <w:r w:rsidR="00A155C1" w:rsidRPr="00A839DD">
        <w:t>% vs 31</w:t>
      </w:r>
      <w:r w:rsidR="0046630A" w:rsidRPr="00A839DD">
        <w:t> </w:t>
      </w:r>
      <w:r w:rsidR="00A155C1" w:rsidRPr="00A839DD">
        <w:t>%)</w:t>
      </w:r>
      <w:r w:rsidR="006D6D4D" w:rsidRPr="00A839DD">
        <w:t xml:space="preserve"> </w:t>
      </w:r>
      <w:r w:rsidR="00E30999" w:rsidRPr="00A839DD">
        <w:t>reflète</w:t>
      </w:r>
      <w:r w:rsidR="003754EC" w:rsidRPr="00A839DD">
        <w:t xml:space="preserve"> certains enjeux qui peuvent différer entre les personnes LGBQ+ cisgenres et les personnes trans et non binaires, </w:t>
      </w:r>
      <w:r w:rsidR="003754EC" w:rsidRPr="00A839DD">
        <w:lastRenderedPageBreak/>
        <w:t xml:space="preserve">notamment ceux relatifs à la transition. </w:t>
      </w:r>
      <w:r w:rsidR="00CF23F8" w:rsidRPr="00A839DD">
        <w:t>Par exemple, une part importante des</w:t>
      </w:r>
      <w:r w:rsidR="006D6D4D" w:rsidRPr="00A839DD">
        <w:t xml:space="preserve"> plaintes pour discrimination sur la base de l’identité ou l’expression de genre </w:t>
      </w:r>
      <w:r w:rsidR="00535F1B" w:rsidRPr="00A839DD">
        <w:t>dans le secteur «</w:t>
      </w:r>
      <w:r w:rsidR="00A82352" w:rsidRPr="00A839DD">
        <w:rPr>
          <w:rFonts w:ascii="Arial" w:hAnsi="Arial" w:cs="Arial"/>
        </w:rPr>
        <w:t> </w:t>
      </w:r>
      <w:r w:rsidR="00535F1B" w:rsidRPr="00A839DD">
        <w:t>Actes juridiques/biens et services</w:t>
      </w:r>
      <w:r w:rsidR="00A82352" w:rsidRPr="00A839DD">
        <w:rPr>
          <w:rFonts w:ascii="Arial" w:hAnsi="Arial" w:cs="Arial"/>
        </w:rPr>
        <w:t> </w:t>
      </w:r>
      <w:r w:rsidR="00535F1B" w:rsidRPr="00A839DD">
        <w:t>»</w:t>
      </w:r>
      <w:r w:rsidR="006D6D4D" w:rsidRPr="00A839DD">
        <w:t xml:space="preserve"> concern</w:t>
      </w:r>
      <w:r w:rsidR="00535F1B" w:rsidRPr="00A839DD">
        <w:t>e</w:t>
      </w:r>
      <w:r w:rsidR="006D6D4D" w:rsidRPr="00A839DD">
        <w:t>nt les services de santé (45 plaintes, soit 26</w:t>
      </w:r>
      <w:r w:rsidR="00BD6329" w:rsidRPr="00A839DD">
        <w:t> </w:t>
      </w:r>
      <w:r w:rsidR="006D6D4D" w:rsidRPr="00A839DD">
        <w:t>%), l</w:t>
      </w:r>
      <w:r w:rsidR="00B51D87" w:rsidRPr="00A839DD">
        <w:t>e changement de</w:t>
      </w:r>
      <w:r w:rsidR="006D6D4D" w:rsidRPr="00A839DD">
        <w:t xml:space="preserve"> la mention du sexe sur des documents d’identité (20 plaintes</w:t>
      </w:r>
      <w:r w:rsidR="00F01F5E" w:rsidRPr="00A839DD">
        <w:rPr>
          <w:rFonts w:ascii="Arial" w:hAnsi="Arial" w:cs="Arial"/>
        </w:rPr>
        <w:t> </w:t>
      </w:r>
      <w:r w:rsidR="006D6D4D" w:rsidRPr="00A839DD">
        <w:t>; 11</w:t>
      </w:r>
      <w:r w:rsidR="00BD6329" w:rsidRPr="00A839DD">
        <w:t> </w:t>
      </w:r>
      <w:r w:rsidR="006D6D4D" w:rsidRPr="00A839DD">
        <w:t>%) et des situations d’interaction quotidienne avec divers services (finances, services gouvernementaux, etc.)</w:t>
      </w:r>
      <w:r w:rsidR="006D6D4D" w:rsidRPr="00A839DD">
        <w:rPr>
          <w:rStyle w:val="Appelnotedebasdep"/>
        </w:rPr>
        <w:footnoteReference w:id="43"/>
      </w:r>
      <w:r w:rsidR="006D6D4D" w:rsidRPr="00A839DD">
        <w:t>. Malgré tout, les plaintes concernant le travail représentent un fort volume pour les deux motifs.</w:t>
      </w:r>
    </w:p>
    <w:p w14:paraId="3560942D" w14:textId="67E9E7F5" w:rsidR="006D6D4D" w:rsidRPr="00A839DD" w:rsidRDefault="006D6D4D" w:rsidP="0006339A">
      <w:pPr>
        <w:pStyle w:val="Paragraphe"/>
      </w:pPr>
      <w:r w:rsidRPr="00A839DD">
        <w:t>Cette forte proportion de plaintes dans le secteur du travail ne signifie pas qu’il s’agit nécessairement du domaine dans lequel la discrimination est la plus fréquente pour ces motifs</w:t>
      </w:r>
      <w:r w:rsidR="00A17303" w:rsidRPr="00A839DD">
        <w:t xml:space="preserve"> ou qu’il y a moins de discrimination dans d’autres secteurs</w:t>
      </w:r>
      <w:r w:rsidRPr="00A839DD">
        <w:t xml:space="preserve">. Ces données peuvent possiblement s’expliquer par différents facteurs. Un nombre conséquent de personnes LGBTQ+ estiment probablement que, dans ce secteur, l’intervention d’un acteur extérieur à leur milieu </w:t>
      </w:r>
      <w:r w:rsidR="00AB4C13" w:rsidRPr="00A839DD">
        <w:t>—</w:t>
      </w:r>
      <w:r w:rsidR="00B30485" w:rsidRPr="00A839DD">
        <w:rPr>
          <w:rFonts w:ascii="Arial" w:hAnsi="Arial" w:cs="Arial"/>
        </w:rPr>
        <w:t> </w:t>
      </w:r>
      <w:r w:rsidRPr="00A839DD">
        <w:t>la Commission des droits</w:t>
      </w:r>
      <w:r w:rsidR="00B30485" w:rsidRPr="00A839DD">
        <w:rPr>
          <w:rFonts w:ascii="Arial" w:hAnsi="Arial" w:cs="Arial"/>
        </w:rPr>
        <w:t> </w:t>
      </w:r>
      <w:r w:rsidR="00AB4C13" w:rsidRPr="00A839DD">
        <w:t>—</w:t>
      </w:r>
      <w:r w:rsidRPr="00A839DD">
        <w:t xml:space="preserve"> est nécessaire pour faire cesser la discrimination dont elles estiment être victimes ou pour obtenir réparation. Le recours à la Commission est peut-être aussi mieux connu pour ce type de situation.</w:t>
      </w:r>
    </w:p>
    <w:p w14:paraId="6628A034" w14:textId="77777777" w:rsidR="00493BE0" w:rsidRPr="00A839DD" w:rsidRDefault="00493BE0" w:rsidP="001D3E83">
      <w:pPr>
        <w:pStyle w:val="Titre2"/>
        <w:rPr>
          <w:noProof w:val="0"/>
        </w:rPr>
      </w:pPr>
      <w:bookmarkStart w:id="37" w:name="_Toc229131251"/>
      <w:r w:rsidRPr="00A839DD">
        <w:rPr>
          <w:noProof w:val="0"/>
        </w:rPr>
        <w:t>Parce que le travail occupe une place majeure dans la vie des personnes</w:t>
      </w:r>
      <w:bookmarkEnd w:id="37"/>
    </w:p>
    <w:p w14:paraId="0EB73194" w14:textId="59B9C0FD" w:rsidR="00493BE0" w:rsidRPr="00A839DD" w:rsidRDefault="001547A8" w:rsidP="0006339A">
      <w:pPr>
        <w:pStyle w:val="Paragraphe"/>
      </w:pPr>
      <w:r w:rsidRPr="00A839DD">
        <w:t>Le travail joue un rôle central dans la vie des personnes, comme le reconnaît la jurisprudence</w:t>
      </w:r>
      <w:r w:rsidR="00577C83" w:rsidRPr="00A839DD">
        <w:t> </w:t>
      </w:r>
      <w:r w:rsidRPr="00A839DD">
        <w:t>:</w:t>
      </w:r>
    </w:p>
    <w:p w14:paraId="273FBA38" w14:textId="571D18D2" w:rsidR="00D22107" w:rsidRPr="00A839DD" w:rsidRDefault="00D22107" w:rsidP="00D22107">
      <w:pPr>
        <w:pStyle w:val="Citation"/>
      </w:pPr>
      <w:r w:rsidRPr="00A839DD">
        <w:t>«</w:t>
      </w:r>
      <w:r w:rsidR="00DE533D" w:rsidRPr="00A839DD">
        <w:rPr>
          <w:rFonts w:ascii="Arial" w:hAnsi="Arial" w:cs="Arial"/>
        </w:rPr>
        <w:t> </w:t>
      </w:r>
      <w:r w:rsidRPr="00A839DD">
        <w:t>Le travail est un des aspects les plus fondamentaux de la vie d’une personne, parce qu’il lui permet de subvenir à ses besoins financiers et de jouer un rôle utile dans la société. Composante essentielle du sens de l’identité d’une personne, de sa valorisation et de son bien-être émotionnel, les conditions d’emploi façonnent l’ensemble des aspects psychologiques, émotionnels et physiques de la dignité et du respect qu’une personne a d’elle-même. Tout comportement qui nuit au développement d’une personne, à son sentiment de sécurité, de respect et d’estime d’elle-même doit donc être exclu du milieu du travail, comme dans les autres sphères de la vie.</w:t>
      </w:r>
      <w:r w:rsidR="00DE533D" w:rsidRPr="00A839DD">
        <w:rPr>
          <w:rFonts w:ascii="Arial" w:hAnsi="Arial" w:cs="Arial"/>
        </w:rPr>
        <w:t> </w:t>
      </w:r>
      <w:r w:rsidRPr="00A839DD">
        <w:t>»</w:t>
      </w:r>
      <w:bookmarkStart w:id="38" w:name="_Ref219300056"/>
      <w:r w:rsidRPr="00A839DD">
        <w:rPr>
          <w:rStyle w:val="Appelnotedebasdep"/>
        </w:rPr>
        <w:footnoteReference w:id="44"/>
      </w:r>
      <w:bookmarkEnd w:id="38"/>
    </w:p>
    <w:p w14:paraId="242C0B6D" w14:textId="57E784D9" w:rsidR="001547A8" w:rsidRPr="00A839DD" w:rsidRDefault="00AE1E32" w:rsidP="0006339A">
      <w:pPr>
        <w:pStyle w:val="Paragraphe"/>
      </w:pPr>
      <w:r w:rsidRPr="00A839DD">
        <w:t xml:space="preserve">En 2007, la Commission constatait d’une façon similaire que la centralité du travail dans la vie des personnes appartenant aux minorités sexuelles </w:t>
      </w:r>
      <w:r w:rsidR="00AB4C13" w:rsidRPr="00A839DD">
        <w:t>—</w:t>
      </w:r>
      <w:r w:rsidR="00B30485" w:rsidRPr="00A839DD">
        <w:rPr>
          <w:rFonts w:ascii="Arial" w:hAnsi="Arial" w:cs="Arial"/>
        </w:rPr>
        <w:t> </w:t>
      </w:r>
      <w:r w:rsidRPr="00A839DD">
        <w:t>qu’elles soient en emploi ou exclues de celui-ci</w:t>
      </w:r>
      <w:r w:rsidR="00B30485" w:rsidRPr="00A839DD">
        <w:rPr>
          <w:rFonts w:ascii="Arial" w:hAnsi="Arial" w:cs="Arial"/>
        </w:rPr>
        <w:t> </w:t>
      </w:r>
      <w:r w:rsidR="00AB4C13" w:rsidRPr="00A839DD">
        <w:t>—</w:t>
      </w:r>
      <w:r w:rsidRPr="00A839DD">
        <w:t xml:space="preserve"> rendait d’autant plus envahissants les effets de l’homophobie qui y est vécue</w:t>
      </w:r>
      <w:r w:rsidR="00577C83" w:rsidRPr="00A839DD">
        <w:t> </w:t>
      </w:r>
      <w:r w:rsidRPr="00A839DD">
        <w:t>:</w:t>
      </w:r>
    </w:p>
    <w:p w14:paraId="65FFB6B3" w14:textId="5D578334" w:rsidR="000C696A" w:rsidRPr="00A839DD" w:rsidRDefault="000C696A" w:rsidP="000C696A">
      <w:pPr>
        <w:pStyle w:val="Citation"/>
      </w:pPr>
      <w:r w:rsidRPr="00A839DD">
        <w:t>«</w:t>
      </w:r>
      <w:r w:rsidR="00DE533D" w:rsidRPr="00A839DD">
        <w:rPr>
          <w:rFonts w:ascii="Arial" w:hAnsi="Arial" w:cs="Arial"/>
        </w:rPr>
        <w:t> </w:t>
      </w:r>
      <w:r w:rsidRPr="00A839DD">
        <w:t xml:space="preserve">Par leurs effets cumulatifs, les manifestations d’homophobie en milieu de travail créent un climat inconfortable, générateur de malaise, de stress et d’insécurité pour les personnes de minorités sexuelles. Elles contribuent à les marginaliser, voire à les exclure, ce qui engendre des répercussions négatives sur leur bien-être, du même que sur leur intégration économique et sociale. En effet, c’est l’activité du travail qui assure la subsistance et l’autonomie </w:t>
      </w:r>
      <w:r w:rsidRPr="00A839DD">
        <w:lastRenderedPageBreak/>
        <w:t>personnelle. Le milieu de travail constitue également un important lieu de sociabilité, un foyer d’entraide et une source de soutien social.</w:t>
      </w:r>
      <w:r w:rsidR="00DE533D" w:rsidRPr="00A839DD">
        <w:rPr>
          <w:rFonts w:ascii="Arial" w:hAnsi="Arial" w:cs="Arial"/>
        </w:rPr>
        <w:t> </w:t>
      </w:r>
      <w:r w:rsidRPr="00A839DD">
        <w:t>»</w:t>
      </w:r>
      <w:r w:rsidRPr="00A839DD">
        <w:rPr>
          <w:rStyle w:val="Appelnotedebasdep"/>
        </w:rPr>
        <w:footnoteReference w:id="45"/>
      </w:r>
    </w:p>
    <w:p w14:paraId="4B962B43" w14:textId="655B3372" w:rsidR="00AE1E32" w:rsidRPr="00A839DD" w:rsidRDefault="003429E8" w:rsidP="0006339A">
      <w:pPr>
        <w:pStyle w:val="Paragraphe"/>
      </w:pPr>
      <w:r w:rsidRPr="00A839DD">
        <w:t>Le travail ne peut ainsi être isolé du reste de la vie des personnes. Traiter du travail des personnes LGBTQ+, c’est donc toujours aussi parler de leur vie de façon générale.</w:t>
      </w:r>
    </w:p>
    <w:p w14:paraId="390949A7" w14:textId="77777777" w:rsidR="00517DF8" w:rsidRPr="00A839DD" w:rsidRDefault="00517DF8" w:rsidP="001D3E83">
      <w:pPr>
        <w:pStyle w:val="Titre2"/>
        <w:rPr>
          <w:noProof w:val="0"/>
        </w:rPr>
      </w:pPr>
      <w:bookmarkStart w:id="39" w:name="_Toc229131252"/>
      <w:r w:rsidRPr="00A839DD">
        <w:rPr>
          <w:noProof w:val="0"/>
        </w:rPr>
        <w:t>Parce que le travail préoccupe les groupes de personnes concernées</w:t>
      </w:r>
      <w:bookmarkEnd w:id="39"/>
    </w:p>
    <w:p w14:paraId="3DEC4913" w14:textId="0A690AB6" w:rsidR="008F7246" w:rsidRPr="00A839DD" w:rsidRDefault="008F7246" w:rsidP="0006339A">
      <w:pPr>
        <w:pStyle w:val="Paragraphe"/>
      </w:pPr>
      <w:r w:rsidRPr="00A839DD">
        <w:t>Depuis le tournant des années</w:t>
      </w:r>
      <w:r w:rsidR="009B5E80" w:rsidRPr="00A839DD">
        <w:t> </w:t>
      </w:r>
      <w:r w:rsidRPr="00A839DD">
        <w:t>2020, les organismes de défense des droits des personnes LGBTQ+ ont multiplié les publications et revendications concernant leur situation sur le marché du travail. Cette tendance répond au constat fait par plusieurs</w:t>
      </w:r>
      <w:bookmarkStart w:id="40" w:name="_Ref218500534"/>
      <w:r w:rsidRPr="00A839DD">
        <w:rPr>
          <w:rStyle w:val="Appelnotedebasdep"/>
        </w:rPr>
        <w:footnoteReference w:id="46"/>
      </w:r>
      <w:bookmarkEnd w:id="40"/>
      <w:r w:rsidRPr="00A839DD">
        <w:t xml:space="preserve"> quant au peu de données </w:t>
      </w:r>
      <w:r w:rsidR="000E19DB" w:rsidRPr="00A839DD">
        <w:t xml:space="preserve">alors </w:t>
      </w:r>
      <w:r w:rsidRPr="00A839DD">
        <w:t>disponibles sur ces réalités, bien que quelques recherches et consultations en brossaient déjà un certain portrait, en particulier pour les personnes gaies et lesbiennes</w:t>
      </w:r>
      <w:bookmarkStart w:id="41" w:name="_Ref216788212"/>
      <w:r w:rsidRPr="00A839DD">
        <w:rPr>
          <w:rStyle w:val="Appelnotedebasdep"/>
        </w:rPr>
        <w:footnoteReference w:id="47"/>
      </w:r>
      <w:bookmarkEnd w:id="41"/>
      <w:r w:rsidRPr="00A839DD">
        <w:t>. Tout indiquait que la discrimination persistait, mais celle-ci demeurait peu étudiée.</w:t>
      </w:r>
    </w:p>
    <w:p w14:paraId="2CBC265C" w14:textId="27494FD0" w:rsidR="008F7246" w:rsidRPr="00A839DD" w:rsidRDefault="008F7246" w:rsidP="0006339A">
      <w:pPr>
        <w:pStyle w:val="Paragraphe"/>
      </w:pPr>
      <w:r w:rsidRPr="00A839DD">
        <w:t>Au Québec, les travaux pionniers de la professeure Line Chamberland ont mis en évidence les obstacles et difficultés rencontrés en emploi par les personnes gaies et lesbiennes dès le milieu des années</w:t>
      </w:r>
      <w:r w:rsidR="009B5E80" w:rsidRPr="00A839DD">
        <w:t> </w:t>
      </w:r>
      <w:r w:rsidRPr="00A839DD">
        <w:t>2000</w:t>
      </w:r>
      <w:r w:rsidRPr="00A839DD">
        <w:rPr>
          <w:rStyle w:val="Appelnotedebasdep"/>
        </w:rPr>
        <w:footnoteReference w:id="48"/>
      </w:r>
      <w:r w:rsidRPr="00A839DD">
        <w:t xml:space="preserve">. La Chaire de recherche sur l’homophobie (devenue Chaire de recherche sur la diversité sexuelle et la pluralité des genres en 2020), dont Line Chamberland fut la première titulaire, a </w:t>
      </w:r>
      <w:r w:rsidRPr="00A839DD">
        <w:lastRenderedPageBreak/>
        <w:t>poursuivi les efforts en ce sens</w:t>
      </w:r>
      <w:r w:rsidRPr="00A839DD">
        <w:rPr>
          <w:rStyle w:val="Appelnotedebasdep"/>
        </w:rPr>
        <w:footnoteReference w:id="49"/>
      </w:r>
      <w:r w:rsidRPr="00A839DD">
        <w:t>. Ceux-ci ont été prolongés dans le cadre du projet SAVIE-LGBTQ dont les recherches sont notamment menées en partenariat avec des organismes LGBTQ+</w:t>
      </w:r>
      <w:bookmarkStart w:id="42" w:name="_Ref216856817"/>
      <w:r w:rsidRPr="00A839DD">
        <w:rPr>
          <w:rStyle w:val="Appelnotedebasdep"/>
        </w:rPr>
        <w:footnoteReference w:id="50"/>
      </w:r>
      <w:bookmarkEnd w:id="42"/>
      <w:r w:rsidRPr="00A839DD">
        <w:t>. La Fondation Émergence a également contribué à visibiliser cet enjeu en intégrant des questions sur le sujet dans plusieurs de ses sondages annuels depuis 2007</w:t>
      </w:r>
      <w:r w:rsidRPr="00A839DD">
        <w:rPr>
          <w:rStyle w:val="Appelnotedebasdep"/>
        </w:rPr>
        <w:footnoteReference w:id="51"/>
      </w:r>
      <w:r w:rsidRPr="00A839DD">
        <w:t>, puis en créant le programme ProAllié qui comprend une offre de formation et des outils de sensibilisation visant l’inclusion des personnes LGBTQ+ en milieu de travail</w:t>
      </w:r>
      <w:r w:rsidRPr="00A839DD">
        <w:rPr>
          <w:rStyle w:val="Appelnotedebasdep"/>
        </w:rPr>
        <w:footnoteReference w:id="52"/>
      </w:r>
      <w:r w:rsidRPr="00A839DD">
        <w:t>. La Fondation a aussi produit un guide en 2018 en partenariat avec l’organisme Aide aux trans du Québec</w:t>
      </w:r>
      <w:r w:rsidRPr="00A839DD">
        <w:rPr>
          <w:rStyle w:val="Appelnotedebasdep"/>
        </w:rPr>
        <w:footnoteReference w:id="53"/>
      </w:r>
      <w:r w:rsidRPr="00A839DD">
        <w:t>. Le GRIS-Montréal et ses partenaires avaient fait de même en 2017 à l’intention du personnel scolaire</w:t>
      </w:r>
      <w:r w:rsidRPr="00A839DD">
        <w:rPr>
          <w:rStyle w:val="Appelnotedebasdep"/>
        </w:rPr>
        <w:footnoteReference w:id="54"/>
      </w:r>
      <w:r w:rsidRPr="00A839DD">
        <w:t>. En 2021, le Réseau des lesbiennes du Québec s’est aussi attardé aux conditions de vie des femmes de la diversité sexuelle, incluant en emploi</w:t>
      </w:r>
      <w:r w:rsidRPr="00A839DD">
        <w:rPr>
          <w:rStyle w:val="Appelnotedebasdep"/>
        </w:rPr>
        <w:footnoteReference w:id="55"/>
      </w:r>
      <w:r w:rsidRPr="00A839DD">
        <w:t>. Cette préoccupation pour l’emploi se reflète dans certaines mesures des plans d’action gouvernementaux successifs de lutte contre l’homophobie et la transphobe depuis 2011</w:t>
      </w:r>
      <w:r w:rsidRPr="00A839DD">
        <w:rPr>
          <w:rStyle w:val="Appelnotedebasdep"/>
        </w:rPr>
        <w:footnoteReference w:id="56"/>
      </w:r>
      <w:r w:rsidRPr="00A839DD">
        <w:t xml:space="preserve">, y compris certaines auxquelles collabore la </w:t>
      </w:r>
      <w:r w:rsidRPr="00A839DD">
        <w:lastRenderedPageBreak/>
        <w:t>Commission dans celui couvrant la période</w:t>
      </w:r>
      <w:r w:rsidR="009B5E80" w:rsidRPr="00A839DD">
        <w:t> </w:t>
      </w:r>
      <w:r w:rsidRPr="00A839DD">
        <w:t>2023-2028</w:t>
      </w:r>
      <w:r w:rsidRPr="00A839DD">
        <w:rPr>
          <w:rStyle w:val="Appelnotedebasdep"/>
        </w:rPr>
        <w:footnoteReference w:id="57"/>
      </w:r>
      <w:r w:rsidRPr="00A839DD">
        <w:t>.</w:t>
      </w:r>
      <w:r w:rsidR="00153C77" w:rsidRPr="00A839DD">
        <w:t xml:space="preserve"> Plus récemment, en 2026, le</w:t>
      </w:r>
      <w:r w:rsidR="00076A78" w:rsidRPr="00A839DD">
        <w:t xml:space="preserve"> Conseil québécois LGBT a commencé à dévoiler les résultats de sa recherche </w:t>
      </w:r>
      <w:r w:rsidR="00A63197" w:rsidRPr="00A839DD">
        <w:t>sur l’inclusion de la diversité sexuelle et de genre dans les services d’employabilité</w:t>
      </w:r>
      <w:r w:rsidR="00A63197" w:rsidRPr="00A839DD">
        <w:rPr>
          <w:rStyle w:val="Appelnotedebasdep"/>
        </w:rPr>
        <w:footnoteReference w:id="58"/>
      </w:r>
      <w:r w:rsidR="00A63197" w:rsidRPr="00A839DD">
        <w:t>.</w:t>
      </w:r>
    </w:p>
    <w:p w14:paraId="491863B3" w14:textId="08334F82" w:rsidR="008F7246" w:rsidRPr="00A839DD" w:rsidRDefault="008F7246" w:rsidP="0006339A">
      <w:pPr>
        <w:pStyle w:val="Paragraphe"/>
      </w:pPr>
      <w:r w:rsidRPr="00A839DD">
        <w:t>Au niveau canadien, la reconnaissance de la discrimination en emploi envers les personnes LGBTQ+ a aussi grandement progressé au cours des dernières années. Jusque dans les années</w:t>
      </w:r>
      <w:r w:rsidR="009B5E80" w:rsidRPr="00A839DD">
        <w:t> </w:t>
      </w:r>
      <w:r w:rsidRPr="00A839DD">
        <w:t>1990, les personnes LGBTQ+ ont fait l’objet de profilage discriminatoire dans la fonction publique fédérale, les Forces armées canadiennes et la Gendarmerie royale du Canada (GRC). Des milliers de personnes ont été soumises à des enquêtes et à des sanctions pouvant aller jusqu’au congédiement, ce qui a été qualifié de purge, soi-disant au nom de la sécurité nationale. Le gouvernement fédéral l’a lui-même reconnu dans un discours d’excuses prononcé en 2017</w:t>
      </w:r>
      <w:r w:rsidRPr="00A839DD">
        <w:rPr>
          <w:rStyle w:val="Appelnotedebasdep"/>
        </w:rPr>
        <w:footnoteReference w:id="59"/>
      </w:r>
      <w:r w:rsidRPr="00A839DD">
        <w:t xml:space="preserve"> et dans une entente de règlement intervenue en 2018</w:t>
      </w:r>
      <w:r w:rsidRPr="00A839DD">
        <w:rPr>
          <w:rStyle w:val="Appelnotedebasdep"/>
        </w:rPr>
        <w:footnoteReference w:id="60"/>
      </w:r>
      <w:r w:rsidRPr="00A839DD">
        <w:t>. Le Fonds Purge LGBT, créé grâce à ce règlement, en collaboration avec Egale Canada, la Fondation Émergence et Optimus SBR, a rendu public en 2021 un rapport sur la situation de la diversité et de l’inclusion des personnes</w:t>
      </w:r>
      <w:r w:rsidR="00BB0290" w:rsidRPr="00A839DD">
        <w:t> </w:t>
      </w:r>
      <w:r w:rsidRPr="00A839DD">
        <w:t>LGBTQI2S dans les services publics fédéraux, la GRC et les Forces armées canadiennes</w:t>
      </w:r>
      <w:r w:rsidRPr="00A839DD">
        <w:rPr>
          <w:rStyle w:val="Appelnotedebasdep"/>
        </w:rPr>
        <w:footnoteReference w:id="61"/>
      </w:r>
      <w:r w:rsidRPr="00A839DD">
        <w:t xml:space="preserve">. </w:t>
      </w:r>
    </w:p>
    <w:p w14:paraId="47B5A06B" w14:textId="1B7099CC" w:rsidR="008F7246" w:rsidRPr="00A839DD" w:rsidRDefault="008F7246" w:rsidP="0006339A">
      <w:pPr>
        <w:pStyle w:val="Paragraphe"/>
      </w:pPr>
      <w:r w:rsidRPr="004C134C">
        <w:t>Toujours à l’échelle fédérale, des personnes expertes concernées et des organismes ont entrepris de mieux connaître les réalités de ces groupes. Par son sondage sur la santé et le bien-être des personnes trans et non binaires, le projet de recherche communautaire Trans PULSE (Ontario)</w:t>
      </w:r>
      <w:bookmarkStart w:id="43" w:name="_Ref218500389"/>
      <w:r w:rsidRPr="004C134C">
        <w:footnoteReference w:id="62"/>
      </w:r>
      <w:bookmarkEnd w:id="43"/>
      <w:r w:rsidRPr="004C134C">
        <w:t>, puis Trans PULSE Canada</w:t>
      </w:r>
      <w:r w:rsidRPr="004C134C">
        <w:footnoteReference w:id="63"/>
      </w:r>
      <w:r w:rsidRPr="004C134C">
        <w:t>, a par exemple contribué à renseigner sur les réalités particulières de ces personnes, y compris sur leurs conditions de vie dont fait partie l’emploi. La Société de recherche sociale appliquée, en partenariat avec Fierté au travail Canada et le Conseil de l’information sur le marché du travail, a quant à elle initié le projet «</w:t>
      </w:r>
      <w:r w:rsidR="00DE533D" w:rsidRPr="004C134C">
        <w:rPr>
          <w:rFonts w:ascii="Arial" w:hAnsi="Arial" w:cs="Arial"/>
        </w:rPr>
        <w:t> </w:t>
      </w:r>
      <w:r w:rsidRPr="004C134C">
        <w:t xml:space="preserve">Création d’une base de connaissances sur les inégalités économiques, sociales et en matière de santé auxquelles sont confrontées les </w:t>
      </w:r>
      <w:r w:rsidRPr="004C134C">
        <w:lastRenderedPageBreak/>
        <w:t>personnes</w:t>
      </w:r>
      <w:r w:rsidR="00BB0290" w:rsidRPr="004C134C">
        <w:t> </w:t>
      </w:r>
      <w:r w:rsidRPr="004C134C">
        <w:t>LGBTQ2S-Plus au Canada</w:t>
      </w:r>
      <w:r w:rsidR="00DE533D" w:rsidRPr="004C134C">
        <w:rPr>
          <w:rFonts w:ascii="Arial" w:hAnsi="Arial" w:cs="Arial"/>
        </w:rPr>
        <w:t> </w:t>
      </w:r>
      <w:r w:rsidRPr="004C134C">
        <w:t>» qui a mené à la publication en 2021 et 2022 de trois rapports phares</w:t>
      </w:r>
      <w:r w:rsidRPr="004C134C">
        <w:footnoteReference w:id="64"/>
      </w:r>
      <w:r w:rsidRPr="004C134C">
        <w:t xml:space="preserve">. </w:t>
      </w:r>
      <w:r w:rsidR="003C2334" w:rsidRPr="004C134C">
        <w:t>Parallèlement, l</w:t>
      </w:r>
      <w:r w:rsidRPr="004C134C">
        <w:t xml:space="preserve">’organisme </w:t>
      </w:r>
      <w:r w:rsidR="00941EC9" w:rsidRPr="004C134C">
        <w:t>E</w:t>
      </w:r>
      <w:r w:rsidRPr="004C134C">
        <w:t>gale Canada a aussi entrepris de mieux comprendre les réalités des personnes LGBTQ+ en emploi</w:t>
      </w:r>
      <w:bookmarkStart w:id="44" w:name="_Ref218503799"/>
      <w:r w:rsidRPr="004C134C">
        <w:footnoteReference w:id="65"/>
      </w:r>
      <w:bookmarkEnd w:id="44"/>
      <w:r w:rsidRPr="004C134C">
        <w:t>. Cet organisme est d’ailleurs partenaire du Défi</w:t>
      </w:r>
      <w:r w:rsidR="009B5E80" w:rsidRPr="004C134C">
        <w:t> </w:t>
      </w:r>
      <w:r w:rsidRPr="004C134C">
        <w:t xml:space="preserve">50-30 </w:t>
      </w:r>
      <w:r w:rsidR="00AB4C13" w:rsidRPr="004C134C">
        <w:t>—</w:t>
      </w:r>
      <w:r w:rsidR="00B30485" w:rsidRPr="004C134C">
        <w:rPr>
          <w:rFonts w:ascii="Arial" w:hAnsi="Arial" w:cs="Arial"/>
        </w:rPr>
        <w:t> </w:t>
      </w:r>
      <w:r w:rsidRPr="004C134C">
        <w:t>une collaboration entre le gouvernement du Canada, des entreprises et des organismes de promotion de la diversité</w:t>
      </w:r>
      <w:r w:rsidR="00B30485" w:rsidRPr="004C134C">
        <w:rPr>
          <w:rFonts w:ascii="Arial" w:hAnsi="Arial" w:cs="Arial"/>
        </w:rPr>
        <w:t> </w:t>
      </w:r>
      <w:r w:rsidR="00021D14" w:rsidRPr="004C134C">
        <w:t>—</w:t>
      </w:r>
      <w:r w:rsidRPr="004C134C">
        <w:t xml:space="preserve"> qui vise à assurer une meilleure représentation au sein des conseils d’administration et des équipes de haute direction, dont celle des personnes</w:t>
      </w:r>
      <w:r w:rsidR="00BB0290" w:rsidRPr="004C134C">
        <w:t> </w:t>
      </w:r>
      <w:r w:rsidRPr="004C134C">
        <w:t>2ELGBTQ</w:t>
      </w:r>
      <w:r w:rsidRPr="00A839DD">
        <w:t>+</w:t>
      </w:r>
      <w:r w:rsidRPr="00A839DD">
        <w:rPr>
          <w:rStyle w:val="Appelnotedebasdep"/>
        </w:rPr>
        <w:footnoteReference w:id="66"/>
      </w:r>
      <w:r w:rsidRPr="00A839DD">
        <w:t>.</w:t>
      </w:r>
    </w:p>
    <w:p w14:paraId="1DD81346" w14:textId="29FF9985" w:rsidR="008F7246" w:rsidRPr="00A839DD" w:rsidRDefault="008F7246" w:rsidP="0006339A">
      <w:pPr>
        <w:pStyle w:val="Paragraphe"/>
      </w:pPr>
      <w:r w:rsidRPr="00A839DD">
        <w:t xml:space="preserve">Les efforts pour documenter la situation des personnes LGBTQ+ en emploi au Canada, et en particulier dans la fonction publique fédérale, ont mené, en 2023, </w:t>
      </w:r>
      <w:r w:rsidR="004406B7" w:rsidRPr="00A839DD">
        <w:t>à la recommandation</w:t>
      </w:r>
      <w:r w:rsidRPr="00A839DD">
        <w:t xml:space="preserve"> </w:t>
      </w:r>
      <w:r w:rsidRPr="00A839DD">
        <w:rPr>
          <w:rFonts w:eastAsia="Calibri"/>
        </w:rPr>
        <w:t>d’inclure les personnes</w:t>
      </w:r>
      <w:r w:rsidR="00291541">
        <w:t> </w:t>
      </w:r>
      <w:r w:rsidRPr="00A839DD">
        <w:rPr>
          <w:rFonts w:eastAsia="Calibri"/>
        </w:rPr>
        <w:t>2ELGBTQI+ aux groupes visés</w:t>
      </w:r>
      <w:r w:rsidR="004406B7" w:rsidRPr="00A839DD">
        <w:t xml:space="preserve"> dans la </w:t>
      </w:r>
      <w:r w:rsidR="004406B7" w:rsidRPr="00A839DD">
        <w:rPr>
          <w:i/>
          <w:iCs/>
        </w:rPr>
        <w:t xml:space="preserve">Loi sur l’équité en matière d’emploi </w:t>
      </w:r>
      <w:r w:rsidR="004406B7" w:rsidRPr="00A839DD">
        <w:t>par</w:t>
      </w:r>
      <w:r w:rsidRPr="00A839DD">
        <w:t xml:space="preserve"> le Groupe de travail </w:t>
      </w:r>
      <w:r w:rsidR="00212248" w:rsidRPr="00A839DD">
        <w:t>chargé de son examen</w:t>
      </w:r>
      <w:bookmarkStart w:id="45" w:name="_Ref167364551"/>
      <w:r w:rsidRPr="00A839DD">
        <w:rPr>
          <w:rStyle w:val="Appelnotedebasdep"/>
          <w:rFonts w:eastAsia="Calibri"/>
          <w:lang w:eastAsia="en-US"/>
        </w:rPr>
        <w:footnoteReference w:id="67"/>
      </w:r>
      <w:bookmarkEnd w:id="45"/>
      <w:r w:rsidRPr="00A839DD">
        <w:rPr>
          <w:rFonts w:eastAsia="Calibri"/>
          <w:lang w:eastAsia="en-US"/>
        </w:rPr>
        <w:t xml:space="preserve">. </w:t>
      </w:r>
      <w:r w:rsidRPr="00A839DD">
        <w:t>L’inclusion de nouvelles questions sur le sexe et le genre dans le recensement de 2021 de Statistique Canada a aussi permis de fournir de nouvelles données sur la situation des personnes LGBTQ+ en emploi</w:t>
      </w:r>
      <w:r w:rsidRPr="00A839DD">
        <w:rPr>
          <w:rStyle w:val="Appelnotedebasdep"/>
        </w:rPr>
        <w:footnoteReference w:id="68"/>
      </w:r>
      <w:r w:rsidRPr="00A839DD">
        <w:t>.</w:t>
      </w:r>
    </w:p>
    <w:p w14:paraId="05681536" w14:textId="04A29FE5" w:rsidR="008F7246" w:rsidRPr="00A839DD" w:rsidRDefault="008F7246" w:rsidP="0006339A">
      <w:pPr>
        <w:pStyle w:val="Paragraphe"/>
      </w:pPr>
      <w:r w:rsidRPr="00A839DD">
        <w:t>Outre la recherche, les communautés d’affaires LGBTQ+ se sont par ailleurs organisées pour améliorer leur reconnaissance et assurer leur rayonnement, notamment avec la création en 1997 de la Chambre de commerce gaie du Québec, devenue Chambre de commerce LGBT du Québec en 2015</w:t>
      </w:r>
      <w:r w:rsidRPr="00A839DD">
        <w:rPr>
          <w:rStyle w:val="Appelnotedebasdep"/>
        </w:rPr>
        <w:footnoteReference w:id="69"/>
      </w:r>
      <w:r w:rsidRPr="00A839DD">
        <w:t>, ainsi que la Chambre de commerce</w:t>
      </w:r>
      <w:r w:rsidR="00BB0290" w:rsidRPr="00A839DD">
        <w:t> </w:t>
      </w:r>
      <w:r w:rsidRPr="00A839DD">
        <w:t>2ELGBTQI+ du Canada, créée en 2003</w:t>
      </w:r>
      <w:r w:rsidRPr="00A839DD">
        <w:rPr>
          <w:rStyle w:val="Appelnotedebasdep"/>
        </w:rPr>
        <w:footnoteReference w:id="70"/>
      </w:r>
      <w:r w:rsidRPr="00A839DD">
        <w:t>.</w:t>
      </w:r>
    </w:p>
    <w:p w14:paraId="0502759D" w14:textId="12C8FBC0" w:rsidR="008F7246" w:rsidRPr="00A839DD" w:rsidRDefault="008F7246" w:rsidP="0006339A">
      <w:pPr>
        <w:pStyle w:val="Paragraphe"/>
      </w:pPr>
      <w:r w:rsidRPr="00A839DD">
        <w:t xml:space="preserve">L’intérêt des groupes concernés </w:t>
      </w:r>
      <w:r w:rsidR="009B2842" w:rsidRPr="00A839DD">
        <w:t>pour</w:t>
      </w:r>
      <w:r w:rsidRPr="00A839DD">
        <w:t xml:space="preserve"> la situation des personnes LGBTQ+ sur le marché du travail et leurs efforts pour visibiliser cet enjeu commence à porter leurs fruits : les gouvernements et les employeurs ont désormais de plus en plus d’informations sur lesquelles appuyer l’élaboration de mesures visant à éradiquer la discrimination en emploi envers les personnes LGBTQ+.</w:t>
      </w:r>
    </w:p>
    <w:p w14:paraId="3EC61B2E" w14:textId="4A66B5F7" w:rsidR="00517DF8" w:rsidRDefault="008F7246" w:rsidP="0006339A">
      <w:pPr>
        <w:pStyle w:val="Paragraphe"/>
      </w:pPr>
      <w:r w:rsidRPr="00A839DD">
        <w:t>En revisitant les plaintes qu’elle a reçues au cours des dernières décennies, la Commission souhaite alimenter ces connaissances afin de prendre la mesure des évolutions et d’actualiser ses constats.</w:t>
      </w:r>
    </w:p>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78"/>
      </w:tblGrid>
      <w:tr w:rsidR="008C1680" w:rsidRPr="00A839DD" w14:paraId="6041261C" w14:textId="77777777" w:rsidTr="00164333">
        <w:tc>
          <w:tcPr>
            <w:tcW w:w="9678" w:type="dxa"/>
            <w:shd w:val="clear" w:color="auto" w:fill="E3ECF9"/>
          </w:tcPr>
          <w:p w14:paraId="3BA4A155" w14:textId="77777777" w:rsidR="008C1680" w:rsidRPr="004E4354" w:rsidRDefault="008C1680" w:rsidP="00722B91">
            <w:pPr>
              <w:spacing w:before="120" w:after="120"/>
              <w:ind w:left="174"/>
              <w:rPr>
                <w:b/>
                <w:sz w:val="28"/>
                <w:szCs w:val="28"/>
              </w:rPr>
            </w:pPr>
            <w:r w:rsidRPr="004E4354">
              <w:rPr>
                <w:b/>
                <w:sz w:val="28"/>
                <w:szCs w:val="28"/>
              </w:rPr>
              <w:lastRenderedPageBreak/>
              <w:t>Emploi et travail</w:t>
            </w:r>
          </w:p>
          <w:p w14:paraId="3AD4EE2D" w14:textId="77777777" w:rsidR="008C1680" w:rsidRPr="00A839DD" w:rsidRDefault="008C1680" w:rsidP="00722B91">
            <w:pPr>
              <w:spacing w:before="120" w:after="120"/>
              <w:ind w:left="174"/>
            </w:pPr>
            <w:r w:rsidRPr="00A839DD">
              <w:t>Le terme «</w:t>
            </w:r>
            <w:r w:rsidRPr="00A839DD">
              <w:rPr>
                <w:rFonts w:ascii="Arial" w:hAnsi="Arial"/>
              </w:rPr>
              <w:t> </w:t>
            </w:r>
            <w:r w:rsidRPr="00A839DD">
              <w:t>emploi</w:t>
            </w:r>
            <w:r w:rsidRPr="00A839DD">
              <w:rPr>
                <w:rFonts w:ascii="Arial" w:hAnsi="Arial"/>
              </w:rPr>
              <w:t> </w:t>
            </w:r>
            <w:r w:rsidRPr="00A839DD">
              <w:t>» désigne généralement une activité rétribuée</w:t>
            </w:r>
            <w:r w:rsidRPr="00A839DD">
              <w:rPr>
                <w:rStyle w:val="Appelnotedebasdep"/>
              </w:rPr>
              <w:footnoteReference w:id="71"/>
            </w:r>
            <w:r w:rsidRPr="00A839DD">
              <w:t>, tandis que «</w:t>
            </w:r>
            <w:r w:rsidRPr="00A839DD">
              <w:rPr>
                <w:rFonts w:ascii="Arial" w:hAnsi="Arial"/>
              </w:rPr>
              <w:t> </w:t>
            </w:r>
            <w:r w:rsidRPr="00A839DD">
              <w:t>travail</w:t>
            </w:r>
            <w:r w:rsidRPr="00A839DD">
              <w:rPr>
                <w:rFonts w:ascii="Arial" w:hAnsi="Arial"/>
              </w:rPr>
              <w:t> </w:t>
            </w:r>
            <w:r w:rsidRPr="00A839DD">
              <w:t>» renvoie plus largement à toute activité productive</w:t>
            </w:r>
            <w:r w:rsidRPr="00A839DD">
              <w:rPr>
                <w:rStyle w:val="Appelnotedebasdep"/>
              </w:rPr>
              <w:footnoteReference w:id="72"/>
            </w:r>
            <w:r w:rsidRPr="00A839DD">
              <w:t>.</w:t>
            </w:r>
          </w:p>
          <w:p w14:paraId="4F5F67DA" w14:textId="77777777" w:rsidR="008C1680" w:rsidRPr="00A839DD" w:rsidRDefault="008C1680" w:rsidP="00722B91">
            <w:pPr>
              <w:spacing w:before="120" w:after="120"/>
              <w:ind w:left="174"/>
            </w:pPr>
            <w:r w:rsidRPr="00A839DD">
              <w:t>Dans le présent rapport, les termes «</w:t>
            </w:r>
            <w:r w:rsidRPr="00A839DD">
              <w:rPr>
                <w:rFonts w:ascii="Arial" w:hAnsi="Arial"/>
              </w:rPr>
              <w:t> </w:t>
            </w:r>
            <w:r w:rsidRPr="00A839DD">
              <w:t>emploi</w:t>
            </w:r>
            <w:r w:rsidRPr="00A839DD">
              <w:rPr>
                <w:rFonts w:ascii="Arial" w:hAnsi="Arial"/>
              </w:rPr>
              <w:t> </w:t>
            </w:r>
            <w:r w:rsidRPr="00A839DD">
              <w:t>» et «</w:t>
            </w:r>
            <w:r w:rsidRPr="00A839DD">
              <w:rPr>
                <w:rFonts w:ascii="Arial" w:hAnsi="Arial"/>
              </w:rPr>
              <w:t> </w:t>
            </w:r>
            <w:r w:rsidRPr="00A839DD">
              <w:t>travail</w:t>
            </w:r>
            <w:r w:rsidRPr="00A839DD">
              <w:rPr>
                <w:rFonts w:ascii="Arial" w:hAnsi="Arial"/>
              </w:rPr>
              <w:t> </w:t>
            </w:r>
            <w:r w:rsidRPr="00A839DD">
              <w:t>» sont utilisés comme des synonymes pour désigner toute activité salariée</w:t>
            </w:r>
            <w:r w:rsidRPr="00A839DD">
              <w:rPr>
                <w:rStyle w:val="Appelnotedebasdep"/>
              </w:rPr>
              <w:footnoteReference w:id="73"/>
            </w:r>
            <w:r w:rsidRPr="00A839DD">
              <w:t xml:space="preserve"> et tout ce qui l’entoure, du processus d’embauche au congédiement en passant par les conditions de travail, la Charte interdisant la discrimination dans toutes les facettes du marché du travail.</w:t>
            </w:r>
          </w:p>
          <w:p w14:paraId="57A14B6C" w14:textId="77777777" w:rsidR="008C1680" w:rsidRPr="00A839DD" w:rsidRDefault="008C1680" w:rsidP="00722B91">
            <w:pPr>
              <w:spacing w:before="120" w:after="120"/>
              <w:ind w:left="174"/>
            </w:pPr>
            <w:r w:rsidRPr="00A839DD">
              <w:t>La plainte pour discrimination en emploi peut ainsi viser tout comportement ayant un lien suffisant avec le contexte d’emploi, qu’il implique l’employeur, des personnes en position d’autorité hiérarchique, des collègues, des stagiaires, des bénévoles, la clientèle ou toute autre personne présente dans l’environnement de travail.</w:t>
            </w:r>
          </w:p>
          <w:p w14:paraId="46FFD953" w14:textId="5BAD09EC" w:rsidR="008C1680" w:rsidRPr="00A839DD" w:rsidRDefault="008C1680" w:rsidP="00722B91">
            <w:pPr>
              <w:spacing w:before="120" w:after="120"/>
              <w:ind w:left="174"/>
            </w:pPr>
            <w:r w:rsidRPr="00A839DD">
              <w:t>Le rapport ne couvre cependant pas des formes de travail informelles qui peuvent être importantes dans certains groupes, en particulier les personnes trans. Ces dernières sont notamment surreprésentées dans le travail du sexe du fait de la discrimination en emploi, de la difficulté à trouver un logement et des coûts des soins d’affirmation de genre mais aussi pour d’autres raisons personnelles</w:t>
            </w:r>
            <w:r w:rsidRPr="00A839DD">
              <w:rPr>
                <w:rStyle w:val="Appelnotedebasdep"/>
              </w:rPr>
              <w:footnoteReference w:id="74"/>
            </w:r>
            <w:r w:rsidRPr="00A839DD">
              <w:t>.</w:t>
            </w:r>
          </w:p>
        </w:tc>
      </w:tr>
    </w:tbl>
    <w:p w14:paraId="6BBC74AE" w14:textId="77777777" w:rsidR="008C1680" w:rsidRPr="00A839DD" w:rsidRDefault="008C1680" w:rsidP="0006339A">
      <w:pPr>
        <w:pStyle w:val="Paragraphe"/>
      </w:pPr>
    </w:p>
    <w:p w14:paraId="3B608F8D" w14:textId="6A50B6E2" w:rsidR="004F16BB" w:rsidRPr="00A839DD" w:rsidRDefault="004F16BB" w:rsidP="00C56A88">
      <w:pPr>
        <w:pStyle w:val="Titre1"/>
        <w:rPr>
          <w:noProof w:val="0"/>
        </w:rPr>
      </w:pPr>
      <w:bookmarkStart w:id="46" w:name="_Toc229131253"/>
      <w:r w:rsidRPr="00A839DD">
        <w:rPr>
          <w:noProof w:val="0"/>
        </w:rPr>
        <w:t>État des connaissa</w:t>
      </w:r>
      <w:r w:rsidRPr="00093E8F">
        <w:rPr>
          <w:noProof w:val="0"/>
        </w:rPr>
        <w:t>nce</w:t>
      </w:r>
      <w:r w:rsidRPr="00A839DD">
        <w:rPr>
          <w:noProof w:val="0"/>
        </w:rPr>
        <w:t>s</w:t>
      </w:r>
      <w:r w:rsidR="00577C83" w:rsidRPr="00A839DD">
        <w:rPr>
          <w:noProof w:val="0"/>
        </w:rPr>
        <w:t> </w:t>
      </w:r>
      <w:r w:rsidRPr="00A839DD">
        <w:rPr>
          <w:noProof w:val="0"/>
        </w:rPr>
        <w:t>: des discriminations qui persistent</w:t>
      </w:r>
      <w:bookmarkEnd w:id="46"/>
      <w:r w:rsidRPr="00A839DD">
        <w:rPr>
          <w:noProof w:val="0"/>
        </w:rPr>
        <w:t xml:space="preserve"> </w:t>
      </w:r>
    </w:p>
    <w:p w14:paraId="5AD13B5B" w14:textId="77777777" w:rsidR="00355050" w:rsidRPr="00A839DD" w:rsidRDefault="00355050" w:rsidP="0006339A">
      <w:pPr>
        <w:pStyle w:val="Paragraphe"/>
      </w:pPr>
      <w:r w:rsidRPr="00A839DD">
        <w:t>Les écrits scientifiques sur la situation en emploi des personnes LGBTQ+ sont toujours émergents, particulièrement au Québec. Il est néanmoins possible de dégager certains grands constats transversaux susceptibles d’alimenter l’analyse des plaintes reçues par la Commission au cours des dernières décennies</w:t>
      </w:r>
      <w:r w:rsidRPr="00A839DD">
        <w:rPr>
          <w:rStyle w:val="Appelnotedebasdep"/>
        </w:rPr>
        <w:footnoteReference w:id="75"/>
      </w:r>
      <w:r w:rsidRPr="00A839DD">
        <w:t>. Les faits saillants ici identifiés ne remplacent cependant pas la lecture détaillée d’autres recensions des écrits</w:t>
      </w:r>
      <w:r w:rsidRPr="00A839DD">
        <w:rPr>
          <w:rStyle w:val="Appelnotedebasdep"/>
        </w:rPr>
        <w:footnoteReference w:id="76"/>
      </w:r>
      <w:r w:rsidRPr="00A839DD">
        <w:t xml:space="preserve">. Le présent état des connaissances a été complété par une </w:t>
      </w:r>
      <w:r w:rsidRPr="00A839DD">
        <w:lastRenderedPageBreak/>
        <w:t>revue de la jurisprudence et de la doctrine juridique dont les enseignements sont repris dans les sections portant sur l’analyse des plaintes.</w:t>
      </w:r>
    </w:p>
    <w:p w14:paraId="676EF7D5" w14:textId="77777777" w:rsidR="007637C3" w:rsidRPr="00A839DD" w:rsidRDefault="007637C3" w:rsidP="001D3E83">
      <w:pPr>
        <w:pStyle w:val="Titre2"/>
        <w:rPr>
          <w:noProof w:val="0"/>
        </w:rPr>
      </w:pPr>
      <w:bookmarkStart w:id="47" w:name="_Toc229131254"/>
      <w:r w:rsidRPr="00A839DD">
        <w:rPr>
          <w:noProof w:val="0"/>
        </w:rPr>
        <w:t>Les personnes LGBTQ+ continuent d’être désavantagées sur le marché du travail</w:t>
      </w:r>
      <w:bookmarkEnd w:id="47"/>
    </w:p>
    <w:p w14:paraId="5095B060" w14:textId="0C6F89CC" w:rsidR="00682D6E" w:rsidRDefault="00682D6E" w:rsidP="0006339A">
      <w:pPr>
        <w:pStyle w:val="Paragraphe"/>
      </w:pPr>
      <w:r w:rsidRPr="00A839DD">
        <w:t>Bien que les études soient encore peu nombreuses et que plusieurs aspects doivent encore être explorés, ce premier constat s’impose : les personnes LGBTQ+ continuent d’être désavantagées sur le marché du travail, et ce, à différents degrés selon les sous-groupes.</w:t>
      </w:r>
      <w:r w:rsidRPr="00A839DD">
        <w:rPr>
          <w:b/>
        </w:rPr>
        <w:t xml:space="preserve"> </w:t>
      </w:r>
      <w:r w:rsidRPr="00A839DD">
        <w:t>Dès les années</w:t>
      </w:r>
      <w:r w:rsidR="009B5E80" w:rsidRPr="00A839DD">
        <w:t> </w:t>
      </w:r>
      <w:r w:rsidRPr="00A839DD">
        <w:t>1980, une étude ontarienne a démontré l’existence de discrimination envers les personnes gaies et lesbiennes se cherchant un emploi au Canada</w:t>
      </w:r>
      <w:r w:rsidR="00804357" w:rsidRPr="00A839DD">
        <w:t xml:space="preserve"> dans des cabinets d’avocats</w:t>
      </w:r>
      <w:r w:rsidRPr="00A839DD">
        <w:t> : à curriculum vitae équivalent, les hommes ne pouvant être identifiés comme gais avaient 1,6</w:t>
      </w:r>
      <w:r w:rsidR="00937C69" w:rsidRPr="00A839DD">
        <w:t> </w:t>
      </w:r>
      <w:r w:rsidRPr="00A839DD">
        <w:t>fois plus de propositions d’entrevues que ceux qui l’étaient</w:t>
      </w:r>
      <w:r w:rsidRPr="00A839DD">
        <w:rPr>
          <w:rStyle w:val="Appelnotedebasdep"/>
        </w:rPr>
        <w:footnoteReference w:id="77"/>
      </w:r>
      <w:r w:rsidRPr="00A839DD">
        <w:t>. Cette proportion était du double pour les femmes qui ne pouvaient être identifiées comme lesbiennes. Dans les années</w:t>
      </w:r>
      <w:r w:rsidR="009B5E80" w:rsidRPr="00A839DD">
        <w:t> </w:t>
      </w:r>
      <w:r w:rsidRPr="00A839DD">
        <w:t>1990 et 2000, deux rapports de la Commission des droits ont fait état de la discrimination envers les personnes gaies et lesbiennes sur le marché du travail au Québec, à l’appui de témoignages et de travaux de recherche</w:t>
      </w:r>
      <w:r w:rsidRPr="00A839DD">
        <w:rPr>
          <w:rStyle w:val="Appelnotedebasdep"/>
        </w:rPr>
        <w:footnoteReference w:id="78"/>
      </w:r>
      <w:r w:rsidRPr="00A839DD">
        <w:t>. Depuis les années</w:t>
      </w:r>
      <w:r w:rsidR="009B5E80" w:rsidRPr="00A839DD">
        <w:t> </w:t>
      </w:r>
      <w:r w:rsidRPr="00A839DD">
        <w:t>2010, grâce à l’inclusion de questions sur l’orientation sexuelle et l’identité de genre dans des enquêtes quantitatives de grande envergure, des recherches statistiques ont commencé à étayer l’ampleur des désavantages qui persistent</w:t>
      </w:r>
      <w:bookmarkStart w:id="48" w:name="_Ref215497549"/>
      <w:r w:rsidRPr="00A839DD">
        <w:rPr>
          <w:rStyle w:val="Appelnotedebasdep"/>
        </w:rPr>
        <w:footnoteReference w:id="79"/>
      </w:r>
      <w:bookmarkEnd w:id="48"/>
      <w:r w:rsidRPr="00A839DD">
        <w:t>. Des recherches qualitatives sur certains sous-groupes de la population LGBTQ+ renseignent également sur les obstacles et difficultés rencontrées par ces personnes en emploi. Comme on le verra, elles font entre autres face à des disparités de revenus plus ou moins importantes selon les sous-groupes par rapport aux personnes qui ne sont pas LGBTQ+. Elles rapportent davantage avoir subi du harcèlement au travail. Elles hésitent à dévoiler leur orientation sexuelle ou leur transidentité au travail. Conséquence de cette situation, les personnes LGBTQ+, en particulier les personnes bisexuelles et les personnes trans et non binaires, se trouvent surreprésentées parmi les groupes affectés par la pauvreté et l’itinérance</w:t>
      </w:r>
      <w:r w:rsidRPr="00A839DD">
        <w:rPr>
          <w:rStyle w:val="Appelnotedebasdep"/>
        </w:rPr>
        <w:footnoteReference w:id="80"/>
      </w:r>
      <w:r w:rsidRPr="00A839DD">
        <w:t>.</w:t>
      </w:r>
    </w:p>
    <w:p w14:paraId="019CDA55" w14:textId="77777777" w:rsidR="00D5171A" w:rsidRPr="00A839DD" w:rsidRDefault="00D5171A" w:rsidP="0006339A">
      <w:pPr>
        <w:pStyle w:val="Paragraphe"/>
      </w:pPr>
    </w:p>
    <w:tbl>
      <w:tblPr>
        <w:tblStyle w:val="Grilledutableau"/>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9F8FB"/>
        <w:tblLook w:val="04A0" w:firstRow="1" w:lastRow="0" w:firstColumn="1" w:lastColumn="0" w:noHBand="0" w:noVBand="1"/>
      </w:tblPr>
      <w:tblGrid>
        <w:gridCol w:w="9678"/>
      </w:tblGrid>
      <w:tr w:rsidR="008E0786" w:rsidRPr="00A839DD" w14:paraId="70162F04" w14:textId="77777777" w:rsidTr="00164333">
        <w:tc>
          <w:tcPr>
            <w:tcW w:w="5000" w:type="pct"/>
            <w:shd w:val="clear" w:color="auto" w:fill="E3ECF9"/>
          </w:tcPr>
          <w:p w14:paraId="463FDDC2" w14:textId="77777777" w:rsidR="008E0786" w:rsidRPr="00A839DD" w:rsidRDefault="008E0786" w:rsidP="00722B91">
            <w:pPr>
              <w:spacing w:before="120" w:after="120"/>
              <w:ind w:left="174" w:right="-59"/>
              <w:rPr>
                <w:b/>
                <w:sz w:val="28"/>
                <w:szCs w:val="28"/>
              </w:rPr>
            </w:pPr>
            <w:r w:rsidRPr="00A839DD">
              <w:rPr>
                <w:b/>
                <w:sz w:val="28"/>
                <w:szCs w:val="28"/>
              </w:rPr>
              <w:lastRenderedPageBreak/>
              <w:t xml:space="preserve">Homophobie, transphobie, </w:t>
            </w:r>
            <w:proofErr w:type="spellStart"/>
            <w:r w:rsidRPr="00A839DD">
              <w:rPr>
                <w:b/>
                <w:sz w:val="28"/>
                <w:szCs w:val="28"/>
              </w:rPr>
              <w:t>LGBTQphobie</w:t>
            </w:r>
            <w:proofErr w:type="spellEnd"/>
          </w:p>
          <w:p w14:paraId="1B2B24E9" w14:textId="2E5C745D" w:rsidR="008E0786" w:rsidRPr="00A839DD" w:rsidRDefault="008E0786" w:rsidP="00722B91">
            <w:pPr>
              <w:spacing w:before="120" w:after="120"/>
              <w:ind w:left="174" w:right="-59"/>
            </w:pPr>
            <w:r w:rsidRPr="00A839DD">
              <w:t>Dans ce rapport, les termes «</w:t>
            </w:r>
            <w:r w:rsidR="00DE533D" w:rsidRPr="00A839DD">
              <w:rPr>
                <w:rFonts w:ascii="Arial" w:hAnsi="Arial" w:cs="Arial"/>
              </w:rPr>
              <w:t> </w:t>
            </w:r>
            <w:r w:rsidRPr="00A839DD">
              <w:t>homophobie</w:t>
            </w:r>
            <w:r w:rsidR="00DE533D" w:rsidRPr="00A839DD">
              <w:rPr>
                <w:rFonts w:ascii="Arial" w:hAnsi="Arial" w:cs="Arial"/>
              </w:rPr>
              <w:t> </w:t>
            </w:r>
            <w:r w:rsidRPr="00A839DD">
              <w:t>» et «</w:t>
            </w:r>
            <w:r w:rsidR="00DE533D" w:rsidRPr="00A839DD">
              <w:rPr>
                <w:rFonts w:ascii="Arial" w:hAnsi="Arial" w:cs="Arial"/>
              </w:rPr>
              <w:t> </w:t>
            </w:r>
            <w:r w:rsidRPr="00A839DD">
              <w:t>transphobie</w:t>
            </w:r>
            <w:r w:rsidR="00DE533D" w:rsidRPr="00A839DD">
              <w:rPr>
                <w:rFonts w:ascii="Arial" w:hAnsi="Arial" w:cs="Arial"/>
              </w:rPr>
              <w:t> </w:t>
            </w:r>
            <w:r w:rsidRPr="00A839DD">
              <w:t>» sont utilisés pour désigner «</w:t>
            </w:r>
            <w:r w:rsidR="00DE533D" w:rsidRPr="00A839DD">
              <w:rPr>
                <w:rFonts w:ascii="Arial" w:hAnsi="Arial" w:cs="Arial"/>
              </w:rPr>
              <w:t> </w:t>
            </w:r>
            <w:r w:rsidRPr="00A839DD">
              <w:t>toutes les attitudes négatives pouvant mener au rejet et à la discrimination, directe et indirecte, envers les gais, les lesbiennes, les personnes bisexuelles, transsexuelles et transgenres, ou à l’égard de toute personne dont l’apparence ou le comportement ne se conforme pas aux stéréotypes de la masculinité ou de la féminité</w:t>
            </w:r>
            <w:r w:rsidR="00DE533D" w:rsidRPr="00A839DD">
              <w:rPr>
                <w:rFonts w:ascii="Arial" w:hAnsi="Arial" w:cs="Arial"/>
              </w:rPr>
              <w:t> </w:t>
            </w:r>
            <w:r w:rsidRPr="00A839DD">
              <w:t>»</w:t>
            </w:r>
            <w:r w:rsidRPr="00A839DD">
              <w:rPr>
                <w:rStyle w:val="Appelnotedebasdep"/>
              </w:rPr>
              <w:footnoteReference w:id="81"/>
            </w:r>
            <w:r w:rsidRPr="00A839DD">
              <w:t>. Ces termes sont cependant critiqués pour deux raisons.</w:t>
            </w:r>
          </w:p>
          <w:p w14:paraId="6133B26B" w14:textId="1935EA4C" w:rsidR="008E0786" w:rsidRPr="00A839DD" w:rsidRDefault="008E0786" w:rsidP="00722B91">
            <w:pPr>
              <w:spacing w:before="120" w:after="120"/>
              <w:ind w:left="174" w:right="-59"/>
            </w:pPr>
            <w:r w:rsidRPr="00A839DD">
              <w:t>Premièrement, le terme «</w:t>
            </w:r>
            <w:r w:rsidR="00DE533D" w:rsidRPr="00A839DD">
              <w:rPr>
                <w:rFonts w:ascii="Arial" w:hAnsi="Arial" w:cs="Arial"/>
              </w:rPr>
              <w:t> </w:t>
            </w:r>
            <w:r w:rsidRPr="00A839DD">
              <w:t>homophobie</w:t>
            </w:r>
            <w:r w:rsidR="00DE533D" w:rsidRPr="00A839DD">
              <w:rPr>
                <w:rFonts w:ascii="Arial" w:hAnsi="Arial" w:cs="Arial"/>
              </w:rPr>
              <w:t> </w:t>
            </w:r>
            <w:r w:rsidRPr="00A839DD">
              <w:t xml:space="preserve">» peut être perçu comme synonyme de </w:t>
            </w:r>
            <w:proofErr w:type="spellStart"/>
            <w:r w:rsidRPr="00A839DD">
              <w:t>gaiphobie</w:t>
            </w:r>
            <w:proofErr w:type="spellEnd"/>
            <w:r w:rsidRPr="00A839DD">
              <w:t xml:space="preserve"> au risque d’invisibiliser des formes spécifiques de discrimination comme la lesbophobie et la biphobie</w:t>
            </w:r>
            <w:r w:rsidRPr="00A839DD">
              <w:rPr>
                <w:rStyle w:val="Appelnotedebasdep"/>
              </w:rPr>
              <w:footnoteReference w:id="82"/>
            </w:r>
            <w:r w:rsidRPr="00A839DD">
              <w:t>. Pour cette raison, l’expression «</w:t>
            </w:r>
            <w:r w:rsidR="00DE533D" w:rsidRPr="00A839DD">
              <w:rPr>
                <w:rFonts w:ascii="Arial" w:hAnsi="Arial" w:cs="Arial"/>
              </w:rPr>
              <w:t> </w:t>
            </w:r>
            <w:proofErr w:type="spellStart"/>
            <w:r w:rsidRPr="00A839DD">
              <w:t>LGBTQphobie</w:t>
            </w:r>
            <w:proofErr w:type="spellEnd"/>
            <w:r w:rsidR="00DE533D" w:rsidRPr="00A839DD">
              <w:rPr>
                <w:rFonts w:ascii="Arial" w:hAnsi="Arial" w:cs="Arial"/>
              </w:rPr>
              <w:t> </w:t>
            </w:r>
            <w:r w:rsidRPr="00A839DD">
              <w:t>» est parfois préférée dans la littérature.</w:t>
            </w:r>
          </w:p>
          <w:p w14:paraId="32B5CC32" w14:textId="28CD3148" w:rsidR="00F84B51" w:rsidRPr="00A839DD" w:rsidRDefault="008E0786" w:rsidP="00722B91">
            <w:pPr>
              <w:spacing w:before="120" w:after="120"/>
              <w:ind w:left="174" w:right="-59"/>
            </w:pPr>
            <w:r w:rsidRPr="00A839DD">
              <w:t>Deuxièmement, la référence à la phobie tend à en faire un enjeu psychologique et individuel, écartant du même coup les aspects systémiques de la discrimination envers les personnes LGBTQ+, ainsi que la hiérarchisation des sexes et sexualités dans les représentations</w:t>
            </w:r>
            <w:bookmarkStart w:id="49" w:name="_Ref219207360"/>
            <w:r w:rsidRPr="00A839DD">
              <w:rPr>
                <w:rStyle w:val="Appelnotedebasdep"/>
              </w:rPr>
              <w:footnoteReference w:id="83"/>
            </w:r>
            <w:bookmarkEnd w:id="49"/>
            <w:r w:rsidRPr="00A839DD">
              <w:t>. Cette deuxième critique n’implique pas nécessairement d’abandonner ces termes, mais plutôt de les concevoir en lien avec les normes de genre et de sexualité</w:t>
            </w:r>
            <w:bookmarkStart w:id="50" w:name="_Ref219207567"/>
            <w:r w:rsidRPr="00A839DD">
              <w:rPr>
                <w:rStyle w:val="Appelnotedebasdep"/>
              </w:rPr>
              <w:footnoteReference w:id="84"/>
            </w:r>
            <w:bookmarkEnd w:id="50"/>
            <w:r w:rsidRPr="00A839DD">
              <w:t xml:space="preserve"> (voir encadré sur l’</w:t>
            </w:r>
            <w:proofErr w:type="spellStart"/>
            <w:r w:rsidRPr="00A839DD">
              <w:t>hétérocisnormativité</w:t>
            </w:r>
            <w:proofErr w:type="spellEnd"/>
            <w:r w:rsidRPr="00A839DD">
              <w:t xml:space="preserve"> ci-dessous).</w:t>
            </w:r>
          </w:p>
          <w:p w14:paraId="0B26F1C8" w14:textId="77777777" w:rsidR="008E0786" w:rsidRPr="00A839DD" w:rsidRDefault="008E0786" w:rsidP="00722B91">
            <w:pPr>
              <w:spacing w:before="120" w:after="120"/>
              <w:ind w:left="174" w:right="-59"/>
            </w:pPr>
            <w:r w:rsidRPr="00A839DD">
              <w:t>La Commission a néanmoins recours à ces termes parce qu’ils sont largement acceptés et compris, tout en étant consciente de leurs limites et en utilisant parfois d’autres termes pour souligner des aspects spécifiques.</w:t>
            </w:r>
          </w:p>
        </w:tc>
      </w:tr>
    </w:tbl>
    <w:p w14:paraId="3B202C3D" w14:textId="77777777" w:rsidR="00B17EA0" w:rsidRPr="00A839DD" w:rsidRDefault="00B17EA0" w:rsidP="001D3E83">
      <w:pPr>
        <w:pStyle w:val="Titre2"/>
        <w:rPr>
          <w:noProof w:val="0"/>
        </w:rPr>
      </w:pPr>
      <w:bookmarkStart w:id="51" w:name="_Toc229131255"/>
      <w:r w:rsidRPr="00A839DD">
        <w:rPr>
          <w:noProof w:val="0"/>
        </w:rPr>
        <w:t>Les normes de genre et de sexualité façonnent les milieux de travail</w:t>
      </w:r>
      <w:bookmarkEnd w:id="51"/>
    </w:p>
    <w:p w14:paraId="299F73EB" w14:textId="283E7FB9" w:rsidR="00BC7E50" w:rsidRPr="00A839DD" w:rsidRDefault="00BC7E50" w:rsidP="0006339A">
      <w:pPr>
        <w:pStyle w:val="Paragraphe"/>
      </w:pPr>
      <w:r w:rsidRPr="00A839DD">
        <w:t xml:space="preserve">Les normes de genre et de sexualité font partie intégrante des milieux de travail. Ce fait est mieux connu pour les milieux dits traditionnellement masculins ou féminins, ou encore à prédominance masculine ou féminine. Les personnes travaillant dans des milieux à prédominance féminine tendent par exemple à </w:t>
      </w:r>
      <w:r w:rsidR="00E4062E" w:rsidRPr="00A839DD">
        <w:t xml:space="preserve">recevoir </w:t>
      </w:r>
      <w:r w:rsidRPr="00A839DD">
        <w:t>une rémunération plus faible, notamment parce que le travail réalisé est perçu comme étant une extension des compétences considérées «</w:t>
      </w:r>
      <w:r w:rsidR="00DE533D" w:rsidRPr="00A839DD">
        <w:rPr>
          <w:rFonts w:ascii="Arial" w:hAnsi="Arial" w:cs="Arial"/>
        </w:rPr>
        <w:t> </w:t>
      </w:r>
      <w:r w:rsidRPr="00A839DD">
        <w:t>naturelles</w:t>
      </w:r>
      <w:r w:rsidR="00DE533D" w:rsidRPr="00A839DD">
        <w:rPr>
          <w:rFonts w:ascii="Arial" w:hAnsi="Arial" w:cs="Arial"/>
        </w:rPr>
        <w:t> </w:t>
      </w:r>
      <w:r w:rsidRPr="00A839DD">
        <w:t xml:space="preserve">» pour les femmes, que ce soit en matière de soins, d’éducation des enfants ou de service à la clientèle. Cette situation s’est améliorée progressivement depuis l’adoption de la </w:t>
      </w:r>
      <w:r w:rsidRPr="00A839DD">
        <w:rPr>
          <w:i/>
          <w:iCs/>
        </w:rPr>
        <w:t>Loi sur l’équité salariale</w:t>
      </w:r>
      <w:r w:rsidRPr="00A839DD">
        <w:rPr>
          <w:rStyle w:val="Appelnotedebasdep"/>
        </w:rPr>
        <w:footnoteReference w:id="85"/>
      </w:r>
      <w:r w:rsidRPr="00A839DD">
        <w:t xml:space="preserve">, mais les écarts </w:t>
      </w:r>
      <w:r w:rsidRPr="00A839DD">
        <w:lastRenderedPageBreak/>
        <w:t>persistent, en particulier dans le secteur privé et les milieux non syndiqués</w:t>
      </w:r>
      <w:r w:rsidRPr="00A839DD">
        <w:rPr>
          <w:rStyle w:val="Appelnotedebasdep"/>
        </w:rPr>
        <w:footnoteReference w:id="86"/>
      </w:r>
      <w:r w:rsidRPr="00A839DD">
        <w:t>. La ségrégation professionnelle a quant à elle très peu évolué au cours des vingt dernières années</w:t>
      </w:r>
      <w:r w:rsidRPr="00A839DD">
        <w:rPr>
          <w:rStyle w:val="Appelnotedebasdep"/>
        </w:rPr>
        <w:footnoteReference w:id="87"/>
      </w:r>
      <w:r w:rsidRPr="00A839DD">
        <w:t>.</w:t>
      </w:r>
    </w:p>
    <w:p w14:paraId="306E4CD2" w14:textId="69A81404" w:rsidR="00D814D5" w:rsidRPr="00A839DD" w:rsidRDefault="00D814D5" w:rsidP="0006339A">
      <w:pPr>
        <w:pStyle w:val="Paragraphe"/>
      </w:pPr>
      <w:r w:rsidRPr="00A839DD">
        <w:t>Les normes de genre et de sexualité influencent également les attentes et pratiques en matière de sociabilité. Comme l’a constaté un avis de la Commission publié en 2025</w:t>
      </w:r>
      <w:bookmarkStart w:id="52" w:name="_Ref216953971"/>
      <w:r w:rsidRPr="00A839DD">
        <w:rPr>
          <w:rStyle w:val="Appelnotedebasdep"/>
        </w:rPr>
        <w:footnoteReference w:id="88"/>
      </w:r>
      <w:bookmarkEnd w:id="52"/>
      <w:r w:rsidRPr="00A839DD">
        <w:t>, l’industrie de la construction est emblématique à cet égard, les personnes y travaillant s’identifiant à 93</w:t>
      </w:r>
      <w:r w:rsidR="00BD6329" w:rsidRPr="00A839DD">
        <w:t> </w:t>
      </w:r>
      <w:r w:rsidRPr="00A839DD">
        <w:t>% comme hommes hétérosexuels</w:t>
      </w:r>
      <w:bookmarkStart w:id="53" w:name="_Ref219207783"/>
      <w:r w:rsidRPr="00A839DD">
        <w:rPr>
          <w:rStyle w:val="Appelnotedebasdep"/>
        </w:rPr>
        <w:footnoteReference w:id="89"/>
      </w:r>
      <w:bookmarkEnd w:id="53"/>
      <w:r w:rsidRPr="00A839DD">
        <w:t>. La culture de travail dans ce milieu est marquée par une masculinité dominante qui valorise une apparence et une façon d’être masculines stéréotypées (dure, forte et stoïque), ainsi que des rôles de genre classiques</w:t>
      </w:r>
      <w:r w:rsidRPr="00A839DD">
        <w:rPr>
          <w:rStyle w:val="Appelnotedebasdep"/>
        </w:rPr>
        <w:footnoteReference w:id="90"/>
      </w:r>
      <w:r w:rsidRPr="00A839DD">
        <w:t>, ce qui a pour effet d’invisibiliser et d’exclure les femmes</w:t>
      </w:r>
      <w:r w:rsidRPr="00A839DD">
        <w:rPr>
          <w:rStyle w:val="Appelnotedebasdep"/>
        </w:rPr>
        <w:footnoteReference w:id="91"/>
      </w:r>
      <w:r w:rsidRPr="00A839DD">
        <w:t xml:space="preserve"> mais aussi les minorités sexuelles et de genre.</w:t>
      </w:r>
    </w:p>
    <w:p w14:paraId="1285DB19" w14:textId="6297A358" w:rsidR="00D814D5" w:rsidRPr="00A839DD" w:rsidRDefault="00D814D5" w:rsidP="0006339A">
      <w:pPr>
        <w:pStyle w:val="Paragraphe"/>
      </w:pPr>
      <w:r w:rsidRPr="00A839DD">
        <w:t>Cela dit, les normes dominantes de genre et de sexualité sont susceptibles d’opérer dans tous les milieux de travail, bien au-delà de ceux dits traditionnellement masculins ou féminins. La situation des personnes trans peut d’ailleurs être révélatrice de ces normes. Par exemple, une recherche</w:t>
      </w:r>
      <w:bookmarkStart w:id="55" w:name="_Ref216953778"/>
      <w:r w:rsidRPr="00A839DD">
        <w:rPr>
          <w:rStyle w:val="Appelnotedebasdep"/>
        </w:rPr>
        <w:footnoteReference w:id="92"/>
      </w:r>
      <w:bookmarkEnd w:id="55"/>
      <w:r w:rsidRPr="00A839DD">
        <w:t xml:space="preserve"> menée en Californie auprès d’hommes trans – ayant travaillé alors qu’ils étaient socialement identifiables comme femmes puis comme hommes</w:t>
      </w:r>
      <w:r w:rsidR="00B30485" w:rsidRPr="00A839DD">
        <w:rPr>
          <w:rFonts w:ascii="Arial" w:hAnsi="Arial" w:cs="Arial"/>
        </w:rPr>
        <w:t> </w:t>
      </w:r>
      <w:r w:rsidR="00021D14" w:rsidRPr="00A839DD">
        <w:t>—</w:t>
      </w:r>
      <w:r w:rsidRPr="00A839DD">
        <w:t xml:space="preserve"> expose les façons dont ils réalisent, après leur transition, le changement d’attitude de leur hiérarchie, de leurs collègues ou de la clientèle envers eux. Entre autres, leur compétence et leur autorité sont d’emblée reconnues ou prises pour acquises alors qu’ils devaient auparavant fournir un rendement supérieur pour bénéficier du même traitement. Comme le rappelle le Conseil du statut de la femme, «</w:t>
      </w:r>
      <w:r w:rsidR="00DE533D" w:rsidRPr="00A839DD">
        <w:rPr>
          <w:rFonts w:ascii="Arial" w:hAnsi="Arial" w:cs="Arial"/>
        </w:rPr>
        <w:t> </w:t>
      </w:r>
      <w:r w:rsidRPr="00A839DD">
        <w:t>[l]e plafond de verre demeure tenace, en raison notamment de stéréotypes associant la gestion à la masculinité</w:t>
      </w:r>
      <w:r w:rsidR="00DE533D" w:rsidRPr="00A839DD">
        <w:rPr>
          <w:rFonts w:ascii="Arial" w:hAnsi="Arial" w:cs="Arial"/>
        </w:rPr>
        <w:t> </w:t>
      </w:r>
      <w:r w:rsidRPr="00A839DD">
        <w:t>»</w:t>
      </w:r>
      <w:r w:rsidRPr="00A839DD">
        <w:rPr>
          <w:rStyle w:val="Appelnotedebasdep"/>
        </w:rPr>
        <w:footnoteReference w:id="93"/>
      </w:r>
      <w:r w:rsidRPr="00A839DD">
        <w:t>.</w:t>
      </w:r>
    </w:p>
    <w:p w14:paraId="34331A83" w14:textId="24765399" w:rsidR="00D814D5" w:rsidRPr="00A839DD" w:rsidRDefault="00D814D5" w:rsidP="0006339A">
      <w:pPr>
        <w:pStyle w:val="Paragraphe"/>
      </w:pPr>
      <w:r w:rsidRPr="00A839DD">
        <w:t xml:space="preserve">La transition vers le genre masculin ne s’accompagne cependant pas automatiquement des avantages associés à la masculinité. En effet, la transition n’est pas accessible à toutes les personnes trans, elle n’est pas aisément acceptée par l’entourage, elle n’est pas souhaitée par toutes et elle </w:t>
      </w:r>
      <w:r w:rsidRPr="00A839DD">
        <w:lastRenderedPageBreak/>
        <w:t>affecte différemment l’apparence selon le type de transition et l’âge auquel elle est effectuée. Outre ces éléments, la possibilité d’un homme trans de bénéficier des avantages de la masculinité varie suivant différents facteurs, dont le gabarit et l’origine ethnoraciale</w:t>
      </w:r>
      <w:r w:rsidRPr="00A839DD">
        <w:rPr>
          <w:rStyle w:val="Appelnotedebasdep"/>
        </w:rPr>
        <w:footnoteReference w:id="94"/>
      </w:r>
      <w:r w:rsidRPr="00A839DD">
        <w:t>. Les hommes trans dont la transidentité est connue subissent quant à eux des questions indiscrètes sur leurs organes génitaux et leurs pratiques sexuelles</w:t>
      </w:r>
      <w:r w:rsidRPr="00A839DD">
        <w:rPr>
          <w:rStyle w:val="Appelnotedebasdep"/>
        </w:rPr>
        <w:footnoteReference w:id="95"/>
      </w:r>
      <w:r w:rsidRPr="00A839DD">
        <w:t>. Ces derniers aspects ne font que renforcer l’idée selon laquelle les normes de genre et de sexualité façonnent les milieux de travail. L’existence d’un supposé «</w:t>
      </w:r>
      <w:r w:rsidR="00DE533D" w:rsidRPr="00A839DD">
        <w:rPr>
          <w:rFonts w:ascii="Arial" w:hAnsi="Arial" w:cs="Arial"/>
        </w:rPr>
        <w:t> </w:t>
      </w:r>
      <w:r w:rsidRPr="00A839DD">
        <w:t>avantage lesbien</w:t>
      </w:r>
      <w:r w:rsidR="00DE533D" w:rsidRPr="00A839DD">
        <w:rPr>
          <w:rFonts w:ascii="Arial" w:hAnsi="Arial" w:cs="Arial"/>
        </w:rPr>
        <w:t> </w:t>
      </w:r>
      <w:r w:rsidRPr="00A839DD">
        <w:t>» dans les milieux à prédominance masculine a aussi été fortement nuancé</w:t>
      </w:r>
      <w:r w:rsidR="008F4155" w:rsidRPr="00A839DD">
        <w:t>e</w:t>
      </w:r>
      <w:r w:rsidRPr="00A839DD">
        <w:t>. Les femmes lesbiennes ne profitent pas automatiquement des privilèges associés à la masculinité en milieu de travail. Nombre d’entre elles ne sont par exemple pas à l’aise avec des formes de comportement «</w:t>
      </w:r>
      <w:r w:rsidR="00DE533D" w:rsidRPr="00A839DD">
        <w:rPr>
          <w:rFonts w:ascii="Arial" w:hAnsi="Arial" w:cs="Arial"/>
        </w:rPr>
        <w:t> </w:t>
      </w:r>
      <w:r w:rsidRPr="00A839DD">
        <w:t>virilistes</w:t>
      </w:r>
      <w:r w:rsidR="00DE533D" w:rsidRPr="00A839DD">
        <w:rPr>
          <w:rFonts w:ascii="Arial" w:hAnsi="Arial" w:cs="Arial"/>
        </w:rPr>
        <w:t> </w:t>
      </w:r>
      <w:r w:rsidRPr="00A839DD">
        <w:t>»</w:t>
      </w:r>
      <w:r w:rsidRPr="00A839DD">
        <w:rPr>
          <w:rStyle w:val="Appelnotedebasdep"/>
        </w:rPr>
        <w:footnoteReference w:id="96"/>
      </w:r>
      <w:r w:rsidRPr="00A839DD">
        <w:t>.</w:t>
      </w:r>
    </w:p>
    <w:p w14:paraId="278CD18F" w14:textId="19DF1C57" w:rsidR="00D814D5" w:rsidRPr="00A839DD" w:rsidRDefault="00D814D5" w:rsidP="0006339A">
      <w:pPr>
        <w:pStyle w:val="Paragraphe"/>
      </w:pPr>
      <w:r w:rsidRPr="00A839DD">
        <w:t>Les personnes LGBTQ+ ressentent les normes de genre et de sexualité de différentes autres façons dans les milieux de travail. Comme le relève la sociologue Émilie Morand, la vie privée prend une place importante au travail</w:t>
      </w:r>
      <w:bookmarkStart w:id="56" w:name="_Ref216865070"/>
      <w:r w:rsidRPr="00A839DD">
        <w:rPr>
          <w:rStyle w:val="Appelnotedebasdep"/>
        </w:rPr>
        <w:footnoteReference w:id="97"/>
      </w:r>
      <w:bookmarkEnd w:id="56"/>
      <w:r w:rsidRPr="00A839DD">
        <w:t>. On parle de la personne avec qui on partage sa vie, de ses enfants, de ses sorties. Ces discussions, en apparence banales pour les personnes cis</w:t>
      </w:r>
      <w:r w:rsidR="008B3373" w:rsidRPr="00A839DD">
        <w:t>genres</w:t>
      </w:r>
      <w:r w:rsidR="002F5A21" w:rsidRPr="00A839DD">
        <w:t xml:space="preserve"> et </w:t>
      </w:r>
      <w:r w:rsidRPr="00A839DD">
        <w:t>hétérosexuelles, revêtent une tout autre dimension pour les personnes LGBTQ+. Pour ces dernières, ces échanges informels sont autant d’occasions de devoir gérer un écart à la norme, aux attentes dominantes. Même si ces discussions peuvent très bien se passer dans la plupart des cas, la possibilité du dévoilement de son orientation sexuelle et/ou de sa transidentité, ainsi que le risque de faire face à une réaction hostile, pèse toujours.</w:t>
      </w:r>
    </w:p>
    <w:p w14:paraId="605016BE" w14:textId="1DA594B5" w:rsidR="00D814D5" w:rsidRPr="00A839DD" w:rsidRDefault="00D814D5" w:rsidP="0006339A">
      <w:pPr>
        <w:pStyle w:val="Paragraphe"/>
      </w:pPr>
      <w:r w:rsidRPr="00A839DD">
        <w:t>Sur la base des entrevues réalisées auprès de personnes LGBTQ+ dans le cadre du projet SAVIE-LGBTQ+, Émilie Morand fait ressortir que les «</w:t>
      </w:r>
      <w:r w:rsidR="00DE533D" w:rsidRPr="00A839DD">
        <w:rPr>
          <w:rFonts w:ascii="Arial" w:hAnsi="Arial" w:cs="Arial"/>
        </w:rPr>
        <w:t> </w:t>
      </w:r>
      <w:r w:rsidRPr="00A839DD">
        <w:t>blagues</w:t>
      </w:r>
      <w:r w:rsidR="00DE533D" w:rsidRPr="00A839DD">
        <w:rPr>
          <w:rFonts w:ascii="Arial" w:hAnsi="Arial" w:cs="Arial"/>
        </w:rPr>
        <w:t> </w:t>
      </w:r>
      <w:r w:rsidRPr="00A839DD">
        <w:t>» en milieu de travail sont un autre vecteur important de ces normes. Alors qu’elles semblent inoffensives, elles peuvent néanmoins être offensantes pour les personnes concernées et contribuer à réactualiser l’hétérocisnormativité</w:t>
      </w:r>
      <w:r w:rsidRPr="00A839DD">
        <w:rPr>
          <w:rStyle w:val="Appelnotedebasdep"/>
        </w:rPr>
        <w:footnoteReference w:id="98"/>
      </w:r>
      <w:r w:rsidRPr="00A839DD">
        <w:t xml:space="preserve">. </w:t>
      </w:r>
      <w:r w:rsidR="00053AA4" w:rsidRPr="00A839DD">
        <w:t>La</w:t>
      </w:r>
      <w:r w:rsidRPr="00A839DD">
        <w:t xml:space="preserve"> Commission des droits insistait </w:t>
      </w:r>
      <w:r w:rsidR="00053AA4" w:rsidRPr="00A839DD">
        <w:t xml:space="preserve">d’ailleurs </w:t>
      </w:r>
      <w:r w:rsidRPr="00A839DD">
        <w:t>sur les statistiques sur les blagues au travail dans son rapport de 2007 sur l’homophobie</w:t>
      </w:r>
      <w:r w:rsidRPr="00A839DD">
        <w:rPr>
          <w:rStyle w:val="Appelnotedebasdep"/>
        </w:rPr>
        <w:footnoteReference w:id="99"/>
      </w:r>
      <w:r w:rsidRPr="00A839DD">
        <w:t>, comme quoi les choses n’ont peut-être pas tant changé.</w:t>
      </w:r>
    </w:p>
    <w:p w14:paraId="7B854EE9" w14:textId="77777777" w:rsidR="00D814D5" w:rsidRPr="00A839DD" w:rsidRDefault="00D814D5" w:rsidP="0006339A">
      <w:pPr>
        <w:pStyle w:val="Paragraphe"/>
      </w:pPr>
      <w:r w:rsidRPr="00A839DD">
        <w:lastRenderedPageBreak/>
        <w:t>Considérant la centralité de ces diverses occasions de sociabilité dans l’expérience au travail, les personnes LGBTQ+ ne peuvent pas simplement les éviter. Elles servent souvent de première approche auprès des collègues ou encore à souder un groupe de collègues</w:t>
      </w:r>
      <w:bookmarkStart w:id="57" w:name="_Ref216864998"/>
      <w:r w:rsidRPr="00A839DD">
        <w:rPr>
          <w:rStyle w:val="Appelnotedebasdep"/>
        </w:rPr>
        <w:footnoteReference w:id="100"/>
      </w:r>
      <w:bookmarkEnd w:id="57"/>
      <w:r w:rsidRPr="00A839DD">
        <w:t>. Bien que les identités LGBTQ+ puissent souvent être invisibles au travail, il n’en demeure pas moins que les personnes concernées peuvent avoir du mal à trouver leur place dans ces milieux marqués par les normes majoritaires de genre et de sexualité qui se rappellent constamment à elles.</w:t>
      </w:r>
    </w:p>
    <w:tbl>
      <w:tblPr>
        <w:tblStyle w:val="Grilledutableau"/>
        <w:tblW w:w="5000" w:type="pct"/>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9682"/>
      </w:tblGrid>
      <w:tr w:rsidR="00327BA2" w:rsidRPr="00A839DD" w14:paraId="1D4239FD" w14:textId="77777777" w:rsidTr="003A48D5">
        <w:trPr>
          <w:jc w:val="center"/>
        </w:trPr>
        <w:tc>
          <w:tcPr>
            <w:tcW w:w="5000" w:type="pct"/>
            <w:shd w:val="clear" w:color="auto" w:fill="E3ECF9"/>
          </w:tcPr>
          <w:p w14:paraId="5759E392" w14:textId="2E7C3CAB" w:rsidR="004E4354" w:rsidRDefault="00327BA2" w:rsidP="00722B91">
            <w:pPr>
              <w:spacing w:before="120" w:after="120"/>
              <w:ind w:left="174"/>
              <w:rPr>
                <w:rFonts w:asciiTheme="minorHAnsi" w:hAnsiTheme="minorHAnsi"/>
                <w:b/>
                <w:bCs/>
                <w:sz w:val="28"/>
                <w:szCs w:val="28"/>
              </w:rPr>
            </w:pPr>
            <w:proofErr w:type="spellStart"/>
            <w:r w:rsidRPr="004E4354">
              <w:rPr>
                <w:rFonts w:asciiTheme="minorHAnsi" w:hAnsiTheme="minorHAnsi"/>
                <w:b/>
                <w:bCs/>
                <w:sz w:val="28"/>
                <w:szCs w:val="28"/>
              </w:rPr>
              <w:t>Hétérocisnormativité</w:t>
            </w:r>
            <w:proofErr w:type="spellEnd"/>
          </w:p>
          <w:p w14:paraId="0FCA4848" w14:textId="25EEDB25" w:rsidR="00327BA2" w:rsidRPr="00860D33" w:rsidRDefault="00327BA2" w:rsidP="00722B91">
            <w:pPr>
              <w:spacing w:before="120" w:after="120"/>
              <w:ind w:left="174"/>
              <w:rPr>
                <w:rFonts w:asciiTheme="minorHAnsi" w:hAnsiTheme="minorHAnsi"/>
              </w:rPr>
            </w:pPr>
            <w:r w:rsidRPr="00860D33">
              <w:rPr>
                <w:rFonts w:asciiTheme="minorHAnsi" w:hAnsiTheme="minorHAnsi"/>
              </w:rPr>
              <w:t>La notion d’</w:t>
            </w:r>
            <w:proofErr w:type="spellStart"/>
            <w:r w:rsidRPr="00860D33">
              <w:rPr>
                <w:rFonts w:asciiTheme="minorHAnsi" w:hAnsiTheme="minorHAnsi"/>
              </w:rPr>
              <w:t>hétérocisnormativité</w:t>
            </w:r>
            <w:proofErr w:type="spellEnd"/>
            <w:r w:rsidRPr="00860D33">
              <w:rPr>
                <w:rFonts w:asciiTheme="minorHAnsi" w:hAnsiTheme="minorHAnsi"/>
              </w:rPr>
              <w:t xml:space="preserve"> désigne l’adéquation, érigée en norme, entre le sexe (sexe masculin ou sexe féminin), le genre (homme ou femme), l’expression de genre (apparence conforme aux stéréotypes masculins ou féminins traditionnels) et l’orientation sexuelle (hétérosexualité). Cette norme sociale découle de l’</w:t>
            </w:r>
            <w:proofErr w:type="spellStart"/>
            <w:r w:rsidRPr="00860D33">
              <w:rPr>
                <w:rFonts w:asciiTheme="minorHAnsi" w:hAnsiTheme="minorHAnsi"/>
              </w:rPr>
              <w:t>hétérocissexisme</w:t>
            </w:r>
            <w:proofErr w:type="spellEnd"/>
            <w:r w:rsidRPr="00860D33">
              <w:rPr>
                <w:rFonts w:asciiTheme="minorHAnsi" w:hAnsiTheme="minorHAnsi"/>
              </w:rPr>
              <w:t xml:space="preserve"> </w:t>
            </w:r>
            <w:r w:rsidR="00021D14" w:rsidRPr="00860D33">
              <w:rPr>
                <w:rFonts w:asciiTheme="minorHAnsi" w:hAnsiTheme="minorHAnsi"/>
              </w:rPr>
              <w:t>—</w:t>
            </w:r>
            <w:r w:rsidR="00B30485" w:rsidRPr="00860D33">
              <w:rPr>
                <w:rFonts w:ascii="Arial" w:hAnsi="Arial" w:cs="Arial"/>
              </w:rPr>
              <w:t> </w:t>
            </w:r>
            <w:r w:rsidRPr="00860D33">
              <w:rPr>
                <w:rFonts w:asciiTheme="minorHAnsi" w:hAnsiTheme="minorHAnsi"/>
              </w:rPr>
              <w:t>une combinaison de l’hétérosexisme, du cissexisme et du sexisme</w:t>
            </w:r>
            <w:r w:rsidR="00B30485" w:rsidRPr="00860D33">
              <w:rPr>
                <w:rFonts w:ascii="Arial" w:hAnsi="Arial" w:cs="Arial"/>
              </w:rPr>
              <w:t> </w:t>
            </w:r>
            <w:r w:rsidR="00021D14" w:rsidRPr="00860D33">
              <w:rPr>
                <w:rFonts w:asciiTheme="minorHAnsi" w:hAnsiTheme="minorHAnsi"/>
              </w:rPr>
              <w:t>—</w:t>
            </w:r>
            <w:r w:rsidRPr="00860D33">
              <w:rPr>
                <w:rFonts w:asciiTheme="minorHAnsi" w:hAnsiTheme="minorHAnsi"/>
              </w:rPr>
              <w:t xml:space="preserve"> qu’il importe de nommer compte tenu de ses effets. Il s’accompagne d’une présomption d’hétérosexualité et d’identification au sexe assigné à la naissance, de même que d’une valorisation du masculin au détriment du féminin. Il a pour conséquence d’inférioriser les femmes et de dévaloriser, voire d’invisibiliser, les réalités des personnes LGBTQ+ et des personnes intersexes</w:t>
            </w:r>
            <w:bookmarkStart w:id="58" w:name="_Ref216864697"/>
            <w:r w:rsidRPr="00860D33">
              <w:rPr>
                <w:rStyle w:val="Appelnotedebasdep"/>
                <w:rFonts w:asciiTheme="minorHAnsi" w:hAnsiTheme="minorHAnsi"/>
              </w:rPr>
              <w:footnoteReference w:id="101"/>
            </w:r>
            <w:bookmarkEnd w:id="58"/>
            <w:r w:rsidRPr="00860D33">
              <w:rPr>
                <w:rFonts w:asciiTheme="minorHAnsi" w:hAnsiTheme="minorHAnsi"/>
              </w:rPr>
              <w:t>. Inversement, il tend à avantager les hommes, les personnes cisgenres et les personnes hétérosexuelles.</w:t>
            </w:r>
          </w:p>
          <w:p w14:paraId="5E43B990" w14:textId="77777777" w:rsidR="00327BA2" w:rsidRPr="00860D33" w:rsidRDefault="00327BA2" w:rsidP="00722B91">
            <w:pPr>
              <w:spacing w:before="120" w:after="120"/>
              <w:ind w:left="174"/>
              <w:rPr>
                <w:rFonts w:asciiTheme="minorHAnsi" w:hAnsiTheme="minorHAnsi"/>
              </w:rPr>
            </w:pPr>
            <w:r w:rsidRPr="00860D33">
              <w:rPr>
                <w:rFonts w:asciiTheme="minorHAnsi" w:hAnsiTheme="minorHAnsi"/>
              </w:rPr>
              <w:t xml:space="preserve">En termes simples, les personnes LGBTQ+ sont, comme les femmes, </w:t>
            </w:r>
            <w:r w:rsidRPr="00860D33" w:rsidDel="00A90CD3">
              <w:rPr>
                <w:rFonts w:asciiTheme="minorHAnsi" w:hAnsiTheme="minorHAnsi"/>
              </w:rPr>
              <w:t>confronté</w:t>
            </w:r>
            <w:r w:rsidRPr="00860D33">
              <w:rPr>
                <w:rFonts w:asciiTheme="minorHAnsi" w:hAnsiTheme="minorHAnsi"/>
              </w:rPr>
              <w:t>e</w:t>
            </w:r>
            <w:r w:rsidRPr="00860D33" w:rsidDel="00A90CD3">
              <w:rPr>
                <w:rFonts w:asciiTheme="minorHAnsi" w:hAnsiTheme="minorHAnsi"/>
              </w:rPr>
              <w:t>s</w:t>
            </w:r>
            <w:r w:rsidRPr="00860D33">
              <w:rPr>
                <w:rFonts w:asciiTheme="minorHAnsi" w:hAnsiTheme="minorHAnsi"/>
              </w:rPr>
              <w:t xml:space="preserve"> à la rigidité des normes de genre et de sexualités. Suivant celles-ci, il est par exemple attendu qu’une personne assignée au sexe féminin à la naissance s’identifie comme femme, se comporte et se présente suivant les stéréotypes de la féminité et soit attirée par les hommes. Toute personne déviant d’un tel alignement est susceptible d’être marginalisée à différents degrés. </w:t>
            </w:r>
          </w:p>
          <w:p w14:paraId="6732A71F" w14:textId="77777777" w:rsidR="00327BA2" w:rsidRPr="00A839DD" w:rsidRDefault="00327BA2" w:rsidP="00722B91">
            <w:pPr>
              <w:spacing w:before="120" w:after="120"/>
              <w:ind w:left="174"/>
            </w:pPr>
            <w:r w:rsidRPr="00860D33">
              <w:rPr>
                <w:rFonts w:asciiTheme="minorHAnsi" w:hAnsiTheme="minorHAnsi"/>
              </w:rPr>
              <w:t>L’</w:t>
            </w:r>
            <w:proofErr w:type="spellStart"/>
            <w:r w:rsidRPr="00860D33">
              <w:rPr>
                <w:rFonts w:asciiTheme="minorHAnsi" w:hAnsiTheme="minorHAnsi"/>
              </w:rPr>
              <w:t>hétérocisnormativité</w:t>
            </w:r>
            <w:proofErr w:type="spellEnd"/>
            <w:r w:rsidRPr="00860D33">
              <w:rPr>
                <w:rFonts w:asciiTheme="minorHAnsi" w:hAnsiTheme="minorHAnsi"/>
              </w:rPr>
              <w:t xml:space="preserve"> participe de la discrimination systémique envers les personnes LGBTQ+, y compris en emploi. Ainsi, la discrimination sur le marché du travail doit être comprise dans le contexte socioculturel dans lequel elle se produit et mise en relation avec les normes sociales de la société dans laquelle évoluent les personnes concernées</w:t>
            </w:r>
            <w:bookmarkStart w:id="59" w:name="_Ref219728348"/>
            <w:r w:rsidRPr="00860D33">
              <w:rPr>
                <w:rStyle w:val="Appelnotedebasdep"/>
                <w:rFonts w:asciiTheme="minorHAnsi" w:hAnsiTheme="minorHAnsi"/>
              </w:rPr>
              <w:footnoteReference w:id="102"/>
            </w:r>
            <w:bookmarkEnd w:id="59"/>
            <w:r w:rsidRPr="00860D33">
              <w:rPr>
                <w:rFonts w:asciiTheme="minorHAnsi" w:hAnsiTheme="minorHAnsi"/>
              </w:rPr>
              <w:t>.</w:t>
            </w:r>
          </w:p>
        </w:tc>
      </w:tr>
    </w:tbl>
    <w:p w14:paraId="29DDFDFD" w14:textId="77777777" w:rsidR="00454BBA" w:rsidRPr="00A839DD" w:rsidRDefault="00454BBA" w:rsidP="001D3E83">
      <w:pPr>
        <w:pStyle w:val="Titre2"/>
        <w:rPr>
          <w:noProof w:val="0"/>
        </w:rPr>
      </w:pPr>
      <w:bookmarkStart w:id="60" w:name="_Toc229131256"/>
      <w:r w:rsidRPr="00A839DD">
        <w:rPr>
          <w:noProof w:val="0"/>
        </w:rPr>
        <w:lastRenderedPageBreak/>
        <w:t>Un climat de travail parfois hostile</w:t>
      </w:r>
      <w:bookmarkEnd w:id="60"/>
    </w:p>
    <w:p w14:paraId="7115A585" w14:textId="34C3A855" w:rsidR="00A57F37" w:rsidRPr="00A839DD" w:rsidRDefault="00A57F37" w:rsidP="0006339A">
      <w:pPr>
        <w:pStyle w:val="Paragraphe"/>
      </w:pPr>
      <w:r w:rsidRPr="00A839DD">
        <w:t>La recherche sur l’emploi au Québec et au Canada montre que des climats de travail hostiles affectent négativement l’expérience de personnes LGBTQ+</w:t>
      </w:r>
      <w:bookmarkStart w:id="61" w:name="_Ref219211343"/>
      <w:r w:rsidRPr="00A839DD">
        <w:rPr>
          <w:rStyle w:val="Appelnotedebasdep"/>
        </w:rPr>
        <w:footnoteReference w:id="103"/>
      </w:r>
      <w:bookmarkEnd w:id="61"/>
      <w:r w:rsidRPr="00A839DD">
        <w:t>. Par exemple, 65</w:t>
      </w:r>
      <w:r w:rsidR="00A2068D" w:rsidRPr="00A839DD">
        <w:t> </w:t>
      </w:r>
      <w:r w:rsidRPr="00A839DD">
        <w:t>% des personnes ayant répondu à l’enquête SAVIE-LGBTQ ont rapporté que leur climat de travail est très acceptant pour les personnes LGBTQ+, ce qui suppose que 35</w:t>
      </w:r>
      <w:r w:rsidR="00A2068D" w:rsidRPr="00A839DD">
        <w:t> </w:t>
      </w:r>
      <w:r w:rsidRPr="00A839DD">
        <w:t>% ne rapportent pas une telle situation</w:t>
      </w:r>
      <w:r w:rsidRPr="00A839DD">
        <w:rPr>
          <w:rStyle w:val="Appelnotedebasdep"/>
        </w:rPr>
        <w:footnoteReference w:id="104"/>
      </w:r>
      <w:r w:rsidRPr="00A839DD">
        <w:t>. Le taux de personnes répondantes rapportant un climat très acceptant diminue à 54</w:t>
      </w:r>
      <w:r w:rsidR="00A2068D" w:rsidRPr="00A839DD">
        <w:t> </w:t>
      </w:r>
      <w:r w:rsidRPr="00A839DD">
        <w:t>% pour les personnes bisexuelles, à 52</w:t>
      </w:r>
      <w:r w:rsidR="00A2068D" w:rsidRPr="00A839DD">
        <w:t> </w:t>
      </w:r>
      <w:r w:rsidRPr="00A839DD">
        <w:t>% pour les personnes pansexuelles, queer</w:t>
      </w:r>
      <w:r w:rsidR="008F4155" w:rsidRPr="00A839DD">
        <w:t>s</w:t>
      </w:r>
      <w:r w:rsidRPr="00A839DD">
        <w:t xml:space="preserve"> ou autre, à 48</w:t>
      </w:r>
      <w:r w:rsidR="00A2068D" w:rsidRPr="00A839DD">
        <w:t> </w:t>
      </w:r>
      <w:r w:rsidRPr="00A839DD">
        <w:t>% pour les personnes trans et à 46</w:t>
      </w:r>
      <w:r w:rsidR="00A2068D" w:rsidRPr="00A839DD">
        <w:t> </w:t>
      </w:r>
      <w:r w:rsidRPr="00A839DD">
        <w:t>% pour les personnes non binaires, alors qu’il est de 75</w:t>
      </w:r>
      <w:r w:rsidR="00A2068D" w:rsidRPr="00A839DD">
        <w:t> </w:t>
      </w:r>
      <w:r w:rsidRPr="00A839DD">
        <w:t>% pour les personnes cisgenres homosexuelles, gaies et lesbiennes</w:t>
      </w:r>
      <w:r w:rsidRPr="00A839DD">
        <w:rPr>
          <w:rStyle w:val="Appelnotedebasdep"/>
        </w:rPr>
        <w:footnoteReference w:id="105"/>
      </w:r>
      <w:r w:rsidRPr="00A839DD">
        <w:t>. Parmi les personnes cisgenres LGBQ+, la différence est importante entre les hommes (75</w:t>
      </w:r>
      <w:r w:rsidR="00A2068D" w:rsidRPr="00A839DD">
        <w:t> </w:t>
      </w:r>
      <w:r w:rsidRPr="00A839DD">
        <w:t>%) et les femmes (63</w:t>
      </w:r>
      <w:r w:rsidR="00A2068D" w:rsidRPr="00A839DD">
        <w:t> </w:t>
      </w:r>
      <w:r w:rsidRPr="00A839DD">
        <w:t>%)</w:t>
      </w:r>
      <w:r w:rsidRPr="00A839DD">
        <w:rPr>
          <w:rStyle w:val="Appelnotedebasdep"/>
        </w:rPr>
        <w:footnoteReference w:id="106"/>
      </w:r>
      <w:r w:rsidRPr="00A839DD">
        <w:t>. Ainsi, selon le sous-groupe LGBTQ+, entre un quart et la moitié des personnes répondantes ne travailleraient pas dans un milieu très acceptant.</w:t>
      </w:r>
    </w:p>
    <w:p w14:paraId="667BD939" w14:textId="1882781F" w:rsidR="00A57F37" w:rsidRPr="00A839DD" w:rsidRDefault="00A57F37" w:rsidP="0006339A">
      <w:pPr>
        <w:pStyle w:val="Paragraphe"/>
      </w:pPr>
      <w:r w:rsidRPr="00A839DD">
        <w:t>Toujours selon les données de l’enquête SAVIE-LGBTQ, 40</w:t>
      </w:r>
      <w:r w:rsidR="00A2068D" w:rsidRPr="00A839DD">
        <w:t> </w:t>
      </w:r>
      <w:r w:rsidRPr="00A839DD">
        <w:t>% des personnes répondantes LGBTQ+ ont rapporté une absence de harcèlement et de micro</w:t>
      </w:r>
      <w:r w:rsidR="00CE2600" w:rsidRPr="00A839DD">
        <w:t>-</w:t>
      </w:r>
      <w:r w:rsidRPr="00A839DD">
        <w:t>agressions au travail, la différence étant cependant très grande entre les personnes cisgenres (45</w:t>
      </w:r>
      <w:r w:rsidR="00A2068D" w:rsidRPr="00A839DD">
        <w:t> </w:t>
      </w:r>
      <w:r w:rsidRPr="00A839DD">
        <w:t>%) et trans (14</w:t>
      </w:r>
      <w:r w:rsidR="00A2068D" w:rsidRPr="00A839DD">
        <w:t> </w:t>
      </w:r>
      <w:r w:rsidRPr="00A839DD">
        <w:t>%)</w:t>
      </w:r>
      <w:r w:rsidRPr="00A839DD">
        <w:rPr>
          <w:rStyle w:val="Appelnotedebasdep"/>
        </w:rPr>
        <w:footnoteReference w:id="107"/>
      </w:r>
      <w:r w:rsidRPr="00A839DD">
        <w:t>. Les jeunes trans et les jeunes LGBTQ+ en situation de handicap sont aussi plus susceptibles de subir des formes plus sévères de harcèlement au travail, malgré l’adoption de politiques institutionnelles contre ce phénomène</w:t>
      </w:r>
      <w:r w:rsidRPr="00A839DD">
        <w:rPr>
          <w:rStyle w:val="Appelnotedebasdep"/>
        </w:rPr>
        <w:footnoteReference w:id="108"/>
      </w:r>
      <w:r w:rsidRPr="00A839DD">
        <w:t xml:space="preserve">. Plusieurs études révèlent </w:t>
      </w:r>
      <w:r w:rsidR="00B77998" w:rsidRPr="00A839DD">
        <w:t>d’a</w:t>
      </w:r>
      <w:r w:rsidRPr="00A839DD">
        <w:t>illeurs qu’un grand nombre de personnes LGBTQ+ rapportent avoir été victimes et/ou témoins de propos désobligeants ou discriminatoires au travail</w:t>
      </w:r>
      <w:bookmarkStart w:id="62" w:name="_Ref219212052"/>
      <w:r w:rsidRPr="00A839DD">
        <w:rPr>
          <w:rStyle w:val="Appelnotedebasdep"/>
        </w:rPr>
        <w:footnoteReference w:id="109"/>
      </w:r>
      <w:bookmarkEnd w:id="62"/>
      <w:r w:rsidRPr="00A839DD">
        <w:t xml:space="preserve">. </w:t>
      </w:r>
    </w:p>
    <w:p w14:paraId="38494DED" w14:textId="7DED49BF" w:rsidR="00A57F37" w:rsidRPr="00A839DD" w:rsidRDefault="00A57F37" w:rsidP="0006339A">
      <w:pPr>
        <w:pStyle w:val="Paragraphe"/>
      </w:pPr>
      <w:r w:rsidRPr="00A839DD">
        <w:t>À partir de son Enquête sur la sécurité dans les espaces publics et privés de 2018</w:t>
      </w:r>
      <w:bookmarkStart w:id="63" w:name="_Ref219712614"/>
      <w:r w:rsidRPr="00A839DD">
        <w:rPr>
          <w:rStyle w:val="Appelnotedebasdep"/>
        </w:rPr>
        <w:footnoteReference w:id="110"/>
      </w:r>
      <w:bookmarkEnd w:id="63"/>
      <w:r w:rsidRPr="00A839DD">
        <w:t xml:space="preserve">, Statistique Canada souligne </w:t>
      </w:r>
      <w:r w:rsidR="000C54F9" w:rsidRPr="00A839DD">
        <w:t>en outre</w:t>
      </w:r>
      <w:r w:rsidRPr="00A839DD">
        <w:t xml:space="preserve"> que 44 % des personnes canadiennes de minorité sexuelle ont rapporté </w:t>
      </w:r>
      <w:r w:rsidRPr="00A839DD">
        <w:lastRenderedPageBreak/>
        <w:t>avoir subi des comportements sexuels inappropriés au travail dans les douze derniers mois, contre 22 % des personnes hétérosexuelles</w:t>
      </w:r>
      <w:r w:rsidRPr="00A839DD">
        <w:rPr>
          <w:rStyle w:val="Appelnotedebasdep"/>
        </w:rPr>
        <w:footnoteReference w:id="111"/>
      </w:r>
      <w:r w:rsidRPr="00A839DD">
        <w:t>. Parmi les personnes de minorité sexuelle, les femmes sont plus nombreuses à rapporter de tels comportements, soit 49 % d’entre elles, tandis que ce taux est de 35 % chez les hommes</w:t>
      </w:r>
      <w:r w:rsidRPr="00A839DD">
        <w:rPr>
          <w:rStyle w:val="Appelnotedebasdep"/>
        </w:rPr>
        <w:footnoteReference w:id="112"/>
      </w:r>
      <w:r w:rsidRPr="00A839DD">
        <w:t>. Les disparités sont encore plus importantes entre les personnes transgenres et les personnes cisgenres avec des taux respectifs de 69 % et de 23 %</w:t>
      </w:r>
      <w:r w:rsidRPr="00A839DD">
        <w:rPr>
          <w:rStyle w:val="Appelnotedebasdep"/>
        </w:rPr>
        <w:footnoteReference w:id="113"/>
      </w:r>
      <w:r w:rsidRPr="00A839DD">
        <w:t>. Des études montrent que les femmes trans seraient davantage à risque de subir du harcèlement sexuel que les hommes trans</w:t>
      </w:r>
      <w:r w:rsidRPr="00A839DD">
        <w:rPr>
          <w:rStyle w:val="Appelnotedebasdep"/>
        </w:rPr>
        <w:footnoteReference w:id="114"/>
      </w:r>
      <w:r w:rsidRPr="00A839DD">
        <w:t>.</w:t>
      </w:r>
    </w:p>
    <w:p w14:paraId="6F3F5E5A" w14:textId="34AF34B6" w:rsidR="00A57F37" w:rsidRPr="00A839DD" w:rsidRDefault="00A57F37" w:rsidP="0006339A">
      <w:pPr>
        <w:pStyle w:val="Paragraphe"/>
      </w:pPr>
      <w:r w:rsidRPr="00A839DD">
        <w:t>Deux enquêtes récentes montrent la persistance de ce portrait dans le temps : l’Étude québécoise sur les rapports sociaux dans un contexte scolaire, de travail et dans la communauté (EQRS)</w:t>
      </w:r>
      <w:r w:rsidRPr="00A839DD">
        <w:rPr>
          <w:rStyle w:val="Appelnotedebasdep"/>
        </w:rPr>
        <w:footnoteReference w:id="115"/>
      </w:r>
      <w:r w:rsidRPr="00A839DD">
        <w:t>, réalisée par l’Institut de la statistique du Québec, et l’Étude québécoise sur les relations sociales des personnes LGBTQ2+ (EQRS</w:t>
      </w:r>
      <w:r w:rsidR="009553F7">
        <w:t xml:space="preserve"> </w:t>
      </w:r>
      <w:r w:rsidRPr="00A839DD">
        <w:t>LGBTQ+)</w:t>
      </w:r>
      <w:bookmarkStart w:id="64" w:name="_Ref219212438"/>
      <w:r w:rsidRPr="00A839DD">
        <w:rPr>
          <w:rStyle w:val="Appelnotedebasdep"/>
        </w:rPr>
        <w:footnoteReference w:id="116"/>
      </w:r>
      <w:bookmarkEnd w:id="64"/>
      <w:r w:rsidRPr="00A839DD">
        <w:t>, réalisée par la Chaire de recherche sur la diversité sexuelle et la pluralité des genres de l’Université du Québec à Montréal. Si la prévalence du (cyber)</w:t>
      </w:r>
      <w:r w:rsidR="00857679">
        <w:t xml:space="preserve"> </w:t>
      </w:r>
      <w:r w:rsidRPr="00A839DD">
        <w:t>harcèlement (comportements négatifs vécus plusieurs fois par mois) en milieu de travail dans la population générale québécoise est établie à 8 % (EQRS), y sont deux à trois fois plus exposées les personnes de minorités sexuelles (16 %) et de genre (23 %). Les résultats de l’EQRS</w:t>
      </w:r>
      <w:r w:rsidR="009553F7">
        <w:t xml:space="preserve"> </w:t>
      </w:r>
      <w:r w:rsidRPr="00A839DD">
        <w:t>LGBTQ+ confirment également les disparités entre les personnes LGBQ+ cisgenres et les personnes trans et non binaires, mais également le risque d’exposition plus élevé au (cyber)</w:t>
      </w:r>
      <w:r w:rsidR="00857679">
        <w:t xml:space="preserve"> </w:t>
      </w:r>
      <w:r w:rsidRPr="00A839DD">
        <w:t>harcèlement en milieu de travail des personnes bisexuelles et pansexuelles, des personnes LGBTQ+ racisées ou ethnicisées et de celles vivant avec des limitations fonctionnelles.</w:t>
      </w:r>
    </w:p>
    <w:p w14:paraId="6D139A0E" w14:textId="60804F69" w:rsidR="00A57F37" w:rsidRPr="00A839DD" w:rsidRDefault="00A57F37" w:rsidP="0006339A">
      <w:pPr>
        <w:pStyle w:val="Paragraphe"/>
      </w:pPr>
      <w:r w:rsidRPr="00A839DD">
        <w:t>Compte tenu de l’hostilité à laquelle les personnes LGBTQ+ peuvent faire face, il est fréquent qu’elles cachent leur orientation sexuelle ou leur transidentité en milieu de travail afin d’éviter ou prévenir certaines formes de discrimination</w:t>
      </w:r>
      <w:r w:rsidRPr="00A839DD">
        <w:rPr>
          <w:rStyle w:val="Appelnotedebasdep"/>
        </w:rPr>
        <w:footnoteReference w:id="117"/>
      </w:r>
      <w:r w:rsidRPr="00A839DD">
        <w:t>. Les données de l’enquête SAVIE-LGBTQ révèlent d’ailleurs que 41</w:t>
      </w:r>
      <w:r w:rsidR="00A2068D" w:rsidRPr="00A839DD">
        <w:t> </w:t>
      </w:r>
      <w:r w:rsidRPr="00A839DD">
        <w:t xml:space="preserve">% des personnes répondantes LGBTQ+ se sont retenues de dire ou de faire des choses qui pouvaient révéler leur orientation sexuelle en raison d’un environnement hostile au travail dans les </w:t>
      </w:r>
      <w:r w:rsidRPr="00A839DD">
        <w:lastRenderedPageBreak/>
        <w:t>12</w:t>
      </w:r>
      <w:r w:rsidR="00937C69" w:rsidRPr="00A839DD">
        <w:t> </w:t>
      </w:r>
      <w:r w:rsidRPr="00A839DD">
        <w:t>mois ayant précédé l’enquête</w:t>
      </w:r>
      <w:r w:rsidRPr="00A839DD">
        <w:rPr>
          <w:rStyle w:val="Appelnotedebasdep"/>
        </w:rPr>
        <w:footnoteReference w:id="118"/>
      </w:r>
      <w:r w:rsidRPr="00A839DD">
        <w:t>. 65</w:t>
      </w:r>
      <w:r w:rsidR="00A2068D" w:rsidRPr="00A839DD">
        <w:t> </w:t>
      </w:r>
      <w:r w:rsidRPr="00A839DD">
        <w:t>% des personnes trans répondantes ont quant à elles dissimulé leur identité de genre ou leur parcours trans pour la même raison</w:t>
      </w:r>
      <w:r w:rsidRPr="00A839DD">
        <w:rPr>
          <w:rStyle w:val="Appelnotedebasdep"/>
        </w:rPr>
        <w:footnoteReference w:id="119"/>
      </w:r>
      <w:r w:rsidRPr="00A839DD">
        <w:t>. Les décisions quant au dévoilement de l’orientation sexuelle et de la transidentité sont aussi étroitement liées au parcours de vie des personnes.</w:t>
      </w:r>
    </w:p>
    <w:p w14:paraId="51C81F40" w14:textId="77777777" w:rsidR="00C81AC8" w:rsidRPr="00A839DD" w:rsidRDefault="00C81AC8" w:rsidP="001D3E83">
      <w:pPr>
        <w:pStyle w:val="Titre2"/>
        <w:rPr>
          <w:noProof w:val="0"/>
        </w:rPr>
      </w:pPr>
      <w:bookmarkStart w:id="65" w:name="_Toc229131257"/>
      <w:r w:rsidRPr="00A839DD">
        <w:rPr>
          <w:noProof w:val="0"/>
        </w:rPr>
        <w:t>Des expériences qui influencent des parcours et des carrières</w:t>
      </w:r>
      <w:bookmarkEnd w:id="65"/>
    </w:p>
    <w:p w14:paraId="58D4ECED" w14:textId="160CF9AC" w:rsidR="00DF238C" w:rsidRPr="00A839DD" w:rsidRDefault="00DF238C" w:rsidP="0006339A">
      <w:pPr>
        <w:pStyle w:val="Paragraphe"/>
      </w:pPr>
      <w:r w:rsidRPr="00A839DD">
        <w:t>Les expériences de discrimination, de stigmatisation, d’exclusion et de violence teintent le parcours de personnes LGBTQ+, et ce possiblement dans toutes les facettes de leur vie, incluant leur carrière. Ces expériences peuvent représenter des barrières systémiques à l’embauche, au maintien en emploi et à la progression</w:t>
      </w:r>
      <w:r w:rsidRPr="00A839DD">
        <w:rPr>
          <w:rStyle w:val="Appelnotedebasdep"/>
        </w:rPr>
        <w:footnoteReference w:id="120"/>
      </w:r>
      <w:r w:rsidRPr="00A839DD">
        <w:t>. Leurs effets sont d’autant plus importants lorsqu’elles se répètent et qu’elles croisent d’autres rapports sociaux d’exclusion fondés notamment sur la «</w:t>
      </w:r>
      <w:r w:rsidR="00DE533D" w:rsidRPr="00A839DD">
        <w:rPr>
          <w:rFonts w:ascii="Arial" w:hAnsi="Arial" w:cs="Arial"/>
        </w:rPr>
        <w:t> </w:t>
      </w:r>
      <w:r w:rsidRPr="00A839DD">
        <w:t>race</w:t>
      </w:r>
      <w:r w:rsidR="00DE533D" w:rsidRPr="00A839DD">
        <w:rPr>
          <w:rFonts w:ascii="Arial" w:hAnsi="Arial" w:cs="Arial"/>
        </w:rPr>
        <w:t> </w:t>
      </w:r>
      <w:r w:rsidRPr="00A839DD">
        <w:t>», l’âge ou le handicap</w:t>
      </w:r>
      <w:r w:rsidRPr="00A839DD">
        <w:rPr>
          <w:rStyle w:val="Appelnotedebasdep"/>
        </w:rPr>
        <w:footnoteReference w:id="121"/>
      </w:r>
      <w:r w:rsidRPr="00A839DD">
        <w:t>. Ces expériences peuvent également être un facteur de risque au niveau de la santé, du bien-être et de la sécurité des individus</w:t>
      </w:r>
      <w:bookmarkStart w:id="66" w:name="_Ref229144645"/>
      <w:r w:rsidRPr="00A839DD">
        <w:rPr>
          <w:rStyle w:val="Appelnotedebasdep"/>
        </w:rPr>
        <w:footnoteReference w:id="122"/>
      </w:r>
      <w:bookmarkEnd w:id="66"/>
      <w:r w:rsidRPr="00A839DD">
        <w:t>.</w:t>
      </w:r>
    </w:p>
    <w:p w14:paraId="7B9220FA" w14:textId="68B70CA1" w:rsidR="00DF238C" w:rsidRPr="00A839DD" w:rsidRDefault="00DF238C" w:rsidP="0006339A">
      <w:pPr>
        <w:pStyle w:val="Paragraphe"/>
      </w:pPr>
      <w:r w:rsidRPr="00A839DD">
        <w:t xml:space="preserve">Les désavantages </w:t>
      </w:r>
      <w:r w:rsidR="00021D14" w:rsidRPr="00A839DD">
        <w:t>—</w:t>
      </w:r>
      <w:r w:rsidR="00B30485" w:rsidRPr="00A839DD">
        <w:rPr>
          <w:rFonts w:ascii="Arial" w:hAnsi="Arial" w:cs="Arial"/>
        </w:rPr>
        <w:t> </w:t>
      </w:r>
      <w:r w:rsidRPr="00A839DD">
        <w:t>et parfois les opportunités</w:t>
      </w:r>
      <w:r w:rsidR="00B30485" w:rsidRPr="00A839DD">
        <w:rPr>
          <w:rFonts w:ascii="Arial" w:hAnsi="Arial" w:cs="Arial"/>
        </w:rPr>
        <w:t> </w:t>
      </w:r>
      <w:r w:rsidR="00021D14" w:rsidRPr="00A839DD">
        <w:t>—</w:t>
      </w:r>
      <w:r w:rsidRPr="00A839DD">
        <w:t xml:space="preserve"> qui en découlent peuvent également influencer les options éducationnelles et professionnelles qui s’offrent aux personnes LGBTQ+</w:t>
      </w:r>
      <w:bookmarkStart w:id="67" w:name="_Ref218498381"/>
      <w:r w:rsidRPr="00A839DD">
        <w:rPr>
          <w:rStyle w:val="Appelnotedebasdep"/>
        </w:rPr>
        <w:footnoteReference w:id="123"/>
      </w:r>
      <w:bookmarkEnd w:id="67"/>
      <w:r w:rsidRPr="00A839DD">
        <w:t>. Par exemple, des personnes essaient d’éviter de travailler dans des domaines où les risques de vivre de la discrimination leur semblent plus élevés. Elles choisiront plus souvent des milieux réputés pour leur ouverture et leur culture d’inclusion</w:t>
      </w:r>
      <w:r w:rsidRPr="00A839DD">
        <w:rPr>
          <w:rStyle w:val="Appelnotedebasdep"/>
        </w:rPr>
        <w:footnoteReference w:id="124"/>
      </w:r>
      <w:r w:rsidRPr="00A839DD">
        <w:t>. De plus, comme l’intimidation subie en milieu scolaire peut affecter les performances des élèves, les opportunités et possibilités de carrière peuvent conséquemment devenir limitées</w:t>
      </w:r>
      <w:r w:rsidRPr="00A839DD">
        <w:rPr>
          <w:rStyle w:val="Appelnotedebasdep"/>
        </w:rPr>
        <w:footnoteReference w:id="125"/>
      </w:r>
      <w:r w:rsidRPr="00A839DD">
        <w:t>.</w:t>
      </w:r>
    </w:p>
    <w:p w14:paraId="300811B4" w14:textId="77777777" w:rsidR="00DF238C" w:rsidRPr="00A839DD" w:rsidRDefault="00DF238C" w:rsidP="0006339A">
      <w:pPr>
        <w:pStyle w:val="Paragraphe"/>
      </w:pPr>
      <w:r w:rsidRPr="00A839DD">
        <w:t xml:space="preserve">L’expérience de la discrimination peut donc influencer les décisions quant aux secteurs dans lesquels les personnes LGBTQ+ postulent un emploi. La discrimination à l’embauche ou en cours d’emploi peut aussi les exclure de certains secteurs et les concentrer dans d’autres. Les personnes LGBTQ+ sont ainsi moins susceptibles d’occuper des emplois de col bleu que les hommes hétérosexuels, </w:t>
      </w:r>
      <w:r w:rsidRPr="00A839DD">
        <w:lastRenderedPageBreak/>
        <w:t>tandis que les femmes et les hommes gais travaillent davantage dans le secteur de la vente et des services, soit parmi les emplois les moins bien rémunérés</w:t>
      </w:r>
      <w:r w:rsidRPr="00A839DD">
        <w:rPr>
          <w:rStyle w:val="Appelnotedebasdep"/>
        </w:rPr>
        <w:footnoteReference w:id="126"/>
      </w:r>
      <w:r w:rsidRPr="00A839DD">
        <w:t>.</w:t>
      </w:r>
    </w:p>
    <w:p w14:paraId="1771896A" w14:textId="77777777" w:rsidR="003D38C3" w:rsidRPr="00A839DD" w:rsidRDefault="003D38C3" w:rsidP="001D3E83">
      <w:pPr>
        <w:pStyle w:val="Titre2"/>
        <w:rPr>
          <w:noProof w:val="0"/>
        </w:rPr>
      </w:pPr>
      <w:bookmarkStart w:id="68" w:name="_Toc229131258"/>
      <w:r w:rsidRPr="00A839DD">
        <w:rPr>
          <w:noProof w:val="0"/>
        </w:rPr>
        <w:t>Des disparités au niveau de l’embauche, des salaires et de la qualité de l’emploi</w:t>
      </w:r>
      <w:bookmarkEnd w:id="68"/>
    </w:p>
    <w:p w14:paraId="6C8A82E4" w14:textId="77777777" w:rsidR="0009502F" w:rsidRPr="00A839DD" w:rsidRDefault="0009502F" w:rsidP="0006339A">
      <w:pPr>
        <w:pStyle w:val="Paragraphe"/>
      </w:pPr>
      <w:r w:rsidRPr="00A839DD">
        <w:t>Quelques études québécoises et canadiennes montrent que les personnes LGBTQ+ sont désavantagées lorsqu’il est question d’embauche et de salaires, et ce, encore une fois de façon variable selon les sous-groupes</w:t>
      </w:r>
      <w:bookmarkStart w:id="69" w:name="_Ref219713436"/>
      <w:r w:rsidRPr="00A839DD">
        <w:rPr>
          <w:rStyle w:val="Appelnotedebasdep"/>
        </w:rPr>
        <w:footnoteReference w:id="127"/>
      </w:r>
      <w:bookmarkEnd w:id="69"/>
      <w:r w:rsidRPr="00A839DD">
        <w:t>. Ces disparités découleraient notamment de l’organisation genrée du travail et des normes de genre et de sexualités qui imprègnent les milieux de travail, bien que les processus en jeu demeurent encore largement à être étudiés</w:t>
      </w:r>
      <w:r w:rsidRPr="00A839DD">
        <w:rPr>
          <w:rStyle w:val="Appelnotedebasdep"/>
        </w:rPr>
        <w:footnoteReference w:id="128"/>
      </w:r>
      <w:r w:rsidRPr="00A839DD">
        <w:t>.</w:t>
      </w:r>
    </w:p>
    <w:p w14:paraId="18CC54A0" w14:textId="7D84ABC6" w:rsidR="0009502F" w:rsidRPr="00A839DD" w:rsidRDefault="0009502F" w:rsidP="0006339A">
      <w:pPr>
        <w:pStyle w:val="Paragraphe"/>
      </w:pPr>
      <w:r w:rsidRPr="00A839DD">
        <w:t>En ce qui concerne l’embauche, les données disponibles sont très limitées. Quelques recherches tendent cependant à exposer que les personnes LGBTQ+ perçoivent que leur identité nuit à leurs chances d’obtenir un poste. Par exemple, 57</w:t>
      </w:r>
      <w:r w:rsidR="00A2068D" w:rsidRPr="00A839DD">
        <w:t> </w:t>
      </w:r>
      <w:r w:rsidRPr="00A839DD">
        <w:t>% des personnes ayant répondu à l’enquête SAVIE-LGBTQ rapportent avoir vécu au moins un obstacle durant toute leur trajectoire professionnelle, comme un refus d’embauche, une rétrogradation, un congédiement injuste, etc.</w:t>
      </w:r>
      <w:r w:rsidRPr="00A839DD">
        <w:rPr>
          <w:rStyle w:val="Appelnotedebasdep"/>
        </w:rPr>
        <w:footnoteReference w:id="129"/>
      </w:r>
      <w:r w:rsidRPr="00A839DD">
        <w:t xml:space="preserve"> Parmi elles, la différence est marquée entre les personnes cisgenres (55</w:t>
      </w:r>
      <w:r w:rsidR="00A2068D" w:rsidRPr="00A839DD">
        <w:t> </w:t>
      </w:r>
      <w:r w:rsidRPr="00A839DD">
        <w:t>%) et trans (67</w:t>
      </w:r>
      <w:r w:rsidR="00A2068D" w:rsidRPr="00A839DD">
        <w:t> </w:t>
      </w:r>
      <w:r w:rsidRPr="00A839DD">
        <w:t>%).</w:t>
      </w:r>
    </w:p>
    <w:p w14:paraId="71D731E6" w14:textId="51BF7EDC" w:rsidR="0009502F" w:rsidRPr="00A839DD" w:rsidRDefault="0009502F" w:rsidP="0006339A">
      <w:pPr>
        <w:pStyle w:val="Paragraphe"/>
      </w:pPr>
      <w:r w:rsidRPr="00A839DD">
        <w:t>Dans le processus d’embauche, la perception des employeurs d’enjeux spécifiques à la transition de genre peut par exemple expliquer les écarts observés : l’usage de pronoms non binaires sur le curriculum vitae, la non-concordance entre le genre figurant sur certains documents comme les relevés de notes ou les références d’anciens employeurs et le genre actuel ou l’expression de genre, l’existence d’un code vestimentaire genré ou encore le fait que l</w:t>
      </w:r>
      <w:r w:rsidR="00D263E3" w:rsidRPr="00A839DD">
        <w:t>’emploi</w:t>
      </w:r>
      <w:r w:rsidRPr="00A839DD">
        <w:t xml:space="preserve"> postulé soit réservé aux hommes ou aux femmes</w:t>
      </w:r>
      <w:r w:rsidRPr="00A839DD">
        <w:rPr>
          <w:rStyle w:val="Appelnotedebasdep"/>
        </w:rPr>
        <w:footnoteReference w:id="130"/>
      </w:r>
      <w:r w:rsidRPr="00A839DD">
        <w:t xml:space="preserve">. Quant aux personnes non binaires, une enquête du journal </w:t>
      </w:r>
      <w:r w:rsidRPr="00A839DD">
        <w:rPr>
          <w:i/>
          <w:iCs/>
        </w:rPr>
        <w:t>24 heures</w:t>
      </w:r>
      <w:r w:rsidRPr="00A839DD">
        <w:t xml:space="preserve"> a révélé qu’elles auraient deux fois moins de chances d’être embauchées en comparaison de personnes se présentant comme hommes ou femmes sur la base de CV quasi</w:t>
      </w:r>
      <w:r w:rsidR="00FF27BF" w:rsidRPr="00A839DD">
        <w:t xml:space="preserve"> </w:t>
      </w:r>
      <w:r w:rsidRPr="00A839DD">
        <w:t>identiques</w:t>
      </w:r>
      <w:r w:rsidRPr="00A839DD">
        <w:rPr>
          <w:rStyle w:val="Appelnotedebasdep"/>
        </w:rPr>
        <w:footnoteReference w:id="131"/>
      </w:r>
      <w:r w:rsidRPr="00A839DD">
        <w:t>.</w:t>
      </w:r>
    </w:p>
    <w:p w14:paraId="67A23219" w14:textId="7B3D5181" w:rsidR="0009502F" w:rsidRPr="00A839DD" w:rsidRDefault="0009502F" w:rsidP="0006339A">
      <w:pPr>
        <w:pStyle w:val="Paragraphe"/>
        <w:rPr>
          <w:highlight w:val="yellow"/>
        </w:rPr>
      </w:pPr>
      <w:r w:rsidRPr="00A839DD">
        <w:lastRenderedPageBreak/>
        <w:t>Par ailleurs, un écart salarial subsiste entre les différents groupes de personnes LGBTQ+. Le schéma</w:t>
      </w:r>
      <w:r w:rsidR="00F7245C" w:rsidRPr="00A839DD">
        <w:rPr>
          <w:rStyle w:val="Appelnotedebasdep"/>
        </w:rPr>
        <w:footnoteReference w:id="132"/>
      </w:r>
      <w:r w:rsidRPr="00A839DD">
        <w:t xml:space="preserve"> suivant expose une hiérarchie des revenus en fonction du genre et de l’orientation sexuelle chez les personnes cisgenres. Il est tiré d’un rapport de la Société de recherche sociale appliquée et a été réalisé à partir de données de Statistique Canada. Les différences mesurées tiennent compte de l’effet de diverses variables sociodémographiques (caractéristiques démographiques, composition familiale, éducation, heures travaillées, secteur d’emploi, etc.). </w:t>
      </w:r>
    </w:p>
    <w:p w14:paraId="6E2C8DB9" w14:textId="77777777" w:rsidR="00722B91" w:rsidRDefault="00127BF6" w:rsidP="00E328C8">
      <w:pPr>
        <w:pStyle w:val="Paragraphe"/>
        <w:jc w:val="center"/>
      </w:pPr>
      <w:r w:rsidRPr="00A839DD">
        <w:rPr>
          <w:rFonts w:eastAsia="MS Mincho"/>
        </w:rPr>
        <w:drawing>
          <wp:inline distT="0" distB="0" distL="0" distR="0" wp14:anchorId="551E9941" wp14:editId="014885B9">
            <wp:extent cx="4726800" cy="3200735"/>
            <wp:effectExtent l="19050" t="19050" r="17145" b="19050"/>
            <wp:docPr id="2104380595" name="Image 1" descr="La hiérarchie des salaires illustrée qui est décrite de façon détaillée dans le texte entourant la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80595" name="Image 1" descr="La hiérarchie des salaires illustrée qui est décrite de façon détaillée dans le texte entourant la figure."/>
                    <pic:cNvPicPr/>
                  </pic:nvPicPr>
                  <pic:blipFill>
                    <a:blip r:embed="rId31">
                      <a:extLst>
                        <a:ext uri="{28A0092B-C50C-407E-A947-70E740481C1C}">
                          <a14:useLocalDpi xmlns:a14="http://schemas.microsoft.com/office/drawing/2010/main" val="0"/>
                        </a:ext>
                      </a:extLst>
                    </a:blip>
                    <a:stretch>
                      <a:fillRect/>
                    </a:stretch>
                  </pic:blipFill>
                  <pic:spPr>
                    <a:xfrm>
                      <a:off x="0" y="0"/>
                      <a:ext cx="4726800" cy="3200735"/>
                    </a:xfrm>
                    <a:prstGeom prst="rect">
                      <a:avLst/>
                    </a:prstGeom>
                    <a:solidFill>
                      <a:srgbClr val="E9F8FB">
                        <a:alpha val="94000"/>
                      </a:srgbClr>
                    </a:solidFill>
                    <a:ln>
                      <a:solidFill>
                        <a:schemeClr val="tx1"/>
                      </a:solidFill>
                      <a:prstDash val="sysDot"/>
                    </a:ln>
                  </pic:spPr>
                </pic:pic>
              </a:graphicData>
            </a:graphic>
          </wp:inline>
        </w:drawing>
      </w:r>
    </w:p>
    <w:p w14:paraId="3F47AB93" w14:textId="3F52FFCF" w:rsidR="00905077" w:rsidRPr="00A839DD" w:rsidRDefault="00905077" w:rsidP="0006339A">
      <w:pPr>
        <w:pStyle w:val="Paragraphe"/>
      </w:pPr>
      <w:r w:rsidRPr="00A839DD">
        <w:t xml:space="preserve">Globalement, les hommes hétérosexuels bénéficient des revenus </w:t>
      </w:r>
      <w:r w:rsidR="00513451" w:rsidRPr="00A839DD">
        <w:t xml:space="preserve">d’emploi médians </w:t>
      </w:r>
      <w:r w:rsidRPr="00A839DD">
        <w:t>les plus élevés (55</w:t>
      </w:r>
      <w:r w:rsidR="003573E9" w:rsidRPr="00A839DD">
        <w:rPr>
          <w:rFonts w:ascii="Arial" w:hAnsi="Arial" w:cs="Arial"/>
        </w:rPr>
        <w:t> </w:t>
      </w:r>
      <w:r w:rsidR="003573E9" w:rsidRPr="00A839DD">
        <w:t>959</w:t>
      </w:r>
      <w:r w:rsidR="003573E9" w:rsidRPr="00A839DD">
        <w:rPr>
          <w:rFonts w:cs="Aptos"/>
        </w:rPr>
        <w:t> </w:t>
      </w:r>
      <w:r w:rsidRPr="00A839DD">
        <w:t>$</w:t>
      </w:r>
      <w:r w:rsidRPr="00A839DD">
        <w:rPr>
          <w:rStyle w:val="Appelnotedebasdep"/>
        </w:rPr>
        <w:footnoteReference w:id="133"/>
      </w:r>
      <w:r w:rsidRPr="00A839DD">
        <w:t>), suivis des hommes gais (50</w:t>
      </w:r>
      <w:r w:rsidR="003573E9" w:rsidRPr="00A839DD">
        <w:rPr>
          <w:rFonts w:ascii="Arial" w:hAnsi="Arial" w:cs="Arial"/>
        </w:rPr>
        <w:t> </w:t>
      </w:r>
      <w:r w:rsidR="003573E9" w:rsidRPr="00A839DD">
        <w:t>822</w:t>
      </w:r>
      <w:r w:rsidR="003573E9" w:rsidRPr="00A839DD">
        <w:rPr>
          <w:rFonts w:cs="Aptos"/>
        </w:rPr>
        <w:t> </w:t>
      </w:r>
      <w:r w:rsidRPr="00A839DD">
        <w:t>$), des femmes lesbiennes (44</w:t>
      </w:r>
      <w:r w:rsidR="003573E9" w:rsidRPr="00A839DD">
        <w:rPr>
          <w:rFonts w:ascii="Arial" w:hAnsi="Arial" w:cs="Arial"/>
        </w:rPr>
        <w:t> </w:t>
      </w:r>
      <w:r w:rsidR="003573E9" w:rsidRPr="00A839DD">
        <w:t>740</w:t>
      </w:r>
      <w:r w:rsidR="003573E9" w:rsidRPr="00A839DD">
        <w:rPr>
          <w:rFonts w:cs="Aptos"/>
        </w:rPr>
        <w:t> </w:t>
      </w:r>
      <w:r w:rsidRPr="00A839DD">
        <w:t>$), des femmes hétérosexuelles (39</w:t>
      </w:r>
      <w:r w:rsidR="003573E9" w:rsidRPr="00A839DD">
        <w:rPr>
          <w:rFonts w:ascii="Arial" w:hAnsi="Arial" w:cs="Arial"/>
        </w:rPr>
        <w:t> </w:t>
      </w:r>
      <w:r w:rsidR="003573E9" w:rsidRPr="00A839DD">
        <w:t>180</w:t>
      </w:r>
      <w:r w:rsidR="003573E9" w:rsidRPr="00A839DD">
        <w:rPr>
          <w:rFonts w:cs="Aptos"/>
        </w:rPr>
        <w:t> </w:t>
      </w:r>
      <w:r w:rsidRPr="00A839DD">
        <w:t>$) et des hommes bisexuels (31</w:t>
      </w:r>
      <w:r w:rsidR="00937C69" w:rsidRPr="00A839DD">
        <w:rPr>
          <w:rFonts w:ascii="Arial" w:hAnsi="Arial" w:cs="Arial"/>
        </w:rPr>
        <w:t> </w:t>
      </w:r>
      <w:r w:rsidR="00937C69" w:rsidRPr="00A839DD">
        <w:t>776</w:t>
      </w:r>
      <w:r w:rsidR="00937C69" w:rsidRPr="00A839DD">
        <w:rPr>
          <w:rFonts w:cs="Aptos"/>
        </w:rPr>
        <w:t> </w:t>
      </w:r>
      <w:r w:rsidRPr="00A839DD">
        <w:t>$). Les disparités sont finalement les plus importantes pour les femmes bisexuelles (25</w:t>
      </w:r>
      <w:r w:rsidR="00937C69" w:rsidRPr="00A839DD">
        <w:rPr>
          <w:rFonts w:ascii="Arial" w:hAnsi="Arial" w:cs="Arial"/>
        </w:rPr>
        <w:t> </w:t>
      </w:r>
      <w:r w:rsidRPr="00A839DD">
        <w:t>290 $). Lorsque toutes les variables sont considérées, l’écart trouvé entre les hommes hétérosexuels et homosexuels n’est cependant pas statistiquement significatif, tandis que les revenus des hommes bisexuels et des femmes hétérosexuelles apparaissent similaires. Ces conclusions vont dans le même sens que celles de Statistique Canada</w:t>
      </w:r>
      <w:r w:rsidRPr="00A839DD">
        <w:rPr>
          <w:rStyle w:val="Appelnotedebasdep"/>
        </w:rPr>
        <w:footnoteReference w:id="134"/>
      </w:r>
      <w:r w:rsidRPr="00A839DD">
        <w:t>.</w:t>
      </w:r>
    </w:p>
    <w:p w14:paraId="3B8DF321" w14:textId="51CB3599" w:rsidR="00905077" w:rsidRPr="00A839DD" w:rsidRDefault="00905077" w:rsidP="0006339A">
      <w:pPr>
        <w:pStyle w:val="Paragraphe"/>
      </w:pPr>
      <w:r w:rsidRPr="00A839DD">
        <w:t xml:space="preserve">Toujours selon ce dernier organisme, les écarts salariaux entre les hommes cisgenres et les personnes trans et non binaires sont aussi relativement importants, et ce, même en </w:t>
      </w:r>
      <w:r w:rsidR="005B35F5" w:rsidRPr="00A839DD">
        <w:t>considérant</w:t>
      </w:r>
      <w:r w:rsidRPr="00A839DD">
        <w:t xml:space="preserve"> plusieurs facteurs, dont l’âge, le niveau de scolarité, la région et diverses caractéristiques sociodémographiques : «</w:t>
      </w:r>
      <w:r w:rsidR="00DE533D" w:rsidRPr="00A839DD">
        <w:rPr>
          <w:rFonts w:ascii="Arial" w:hAnsi="Arial" w:cs="Arial"/>
        </w:rPr>
        <w:t> </w:t>
      </w:r>
      <w:r w:rsidRPr="00A839DD">
        <w:t xml:space="preserve">En tenant compte de ces facteurs, l’écart salarial par rapport aux hommes </w:t>
      </w:r>
      <w:r w:rsidRPr="00A839DD">
        <w:lastRenderedPageBreak/>
        <w:t>cisgenres allait de 19,1</w:t>
      </w:r>
      <w:r w:rsidR="00A2068D" w:rsidRPr="00A839DD">
        <w:t> </w:t>
      </w:r>
      <w:r w:rsidRPr="00A839DD">
        <w:t>% pour les femmes transgenres à 12,4</w:t>
      </w:r>
      <w:r w:rsidR="00A2068D" w:rsidRPr="00A839DD">
        <w:t> </w:t>
      </w:r>
      <w:r w:rsidRPr="00A839DD">
        <w:t>% pour les personnes non binaires et à 6,9</w:t>
      </w:r>
      <w:r w:rsidR="00A2068D" w:rsidRPr="00A839DD">
        <w:t> </w:t>
      </w:r>
      <w:r w:rsidRPr="00A839DD">
        <w:t>% pour les hommes transgenres. À titre de comparaison, l’écart salarial standardisé entre les femmes et les hommes cisgenres était de 19,5</w:t>
      </w:r>
      <w:r w:rsidR="00A2068D" w:rsidRPr="00A839DD">
        <w:t> </w:t>
      </w:r>
      <w:r w:rsidRPr="00A839DD">
        <w:t>%</w:t>
      </w:r>
      <w:r w:rsidRPr="00A839DD">
        <w:rPr>
          <w:rStyle w:val="Appelnotedebasdep"/>
        </w:rPr>
        <w:footnoteReference w:id="135"/>
      </w:r>
      <w:r w:rsidRPr="00A839DD">
        <w:t>.</w:t>
      </w:r>
      <w:r w:rsidR="00DE533D" w:rsidRPr="00A839DD">
        <w:rPr>
          <w:rFonts w:ascii="Arial" w:hAnsi="Arial" w:cs="Arial"/>
        </w:rPr>
        <w:t> </w:t>
      </w:r>
      <w:r w:rsidRPr="00A839DD">
        <w:t>» Ces données portant sur les personnes âgées de 25 à 64</w:t>
      </w:r>
      <w:r w:rsidR="00937C69" w:rsidRPr="00A839DD">
        <w:t> </w:t>
      </w:r>
      <w:r w:rsidRPr="00A839DD">
        <w:t>ans travaillant à temps plein toute l’année sous-estiment cependant possiblement les écarts de revenu en jeu, notamment pour certains sous-groupes comme les personnes non binaires qui sont plus susceptibles d’exercer un travail autonome, d’être aux études ou de travailler moins d’heures</w:t>
      </w:r>
      <w:r w:rsidRPr="00A839DD">
        <w:rPr>
          <w:rStyle w:val="Appelnotedebasdep"/>
        </w:rPr>
        <w:footnoteReference w:id="136"/>
      </w:r>
      <w:r w:rsidRPr="00A839DD">
        <w:t>. L’enquête Trans Pulse Canada, menée en 2019, a quant à elle montré qu’environ la moitié des personnes trans et non binaires répondantes âgées de 25</w:t>
      </w:r>
      <w:r w:rsidR="00937C69" w:rsidRPr="00A839DD">
        <w:t> </w:t>
      </w:r>
      <w:r w:rsidRPr="00A839DD">
        <w:t>ans et plus ont un revenu inférieur à 30</w:t>
      </w:r>
      <w:r w:rsidR="00937C69" w:rsidRPr="00A839DD">
        <w:rPr>
          <w:rFonts w:ascii="Arial" w:hAnsi="Arial" w:cs="Arial"/>
        </w:rPr>
        <w:t> </w:t>
      </w:r>
      <w:r w:rsidR="00937C69" w:rsidRPr="00A839DD">
        <w:t>000</w:t>
      </w:r>
      <w:r w:rsidR="00937C69" w:rsidRPr="00A839DD">
        <w:rPr>
          <w:rFonts w:cs="Aptos"/>
        </w:rPr>
        <w:t> </w:t>
      </w:r>
      <w:r w:rsidRPr="00A839DD">
        <w:t>$ par année, et ce malgré des niveaux de scolarisation très élevés</w:t>
      </w:r>
      <w:r w:rsidRPr="00A839DD">
        <w:rPr>
          <w:rStyle w:val="Appelnotedebasdep"/>
        </w:rPr>
        <w:footnoteReference w:id="137"/>
      </w:r>
      <w:r w:rsidRPr="00A839DD">
        <w:t>.</w:t>
      </w:r>
    </w:p>
    <w:p w14:paraId="4FB512D4" w14:textId="72444DA2" w:rsidR="00905077" w:rsidRPr="00A839DD" w:rsidRDefault="00905077" w:rsidP="0006339A">
      <w:pPr>
        <w:pStyle w:val="Paragraphe"/>
      </w:pPr>
      <w:r w:rsidRPr="00A839DD">
        <w:t>De façon générale, en 2018, le revenu moyen des personnes LGBTQ2+ ayant un revenu était nettement plus faible (39</w:t>
      </w:r>
      <w:r w:rsidR="00937C69" w:rsidRPr="00A839DD">
        <w:rPr>
          <w:rFonts w:ascii="Arial" w:hAnsi="Arial" w:cs="Arial"/>
        </w:rPr>
        <w:t> </w:t>
      </w:r>
      <w:r w:rsidRPr="00A839DD">
        <w:t>000 $) que celui des personnes n</w:t>
      </w:r>
      <w:r w:rsidR="002758F5" w:rsidRPr="00A839DD">
        <w:t>’</w:t>
      </w:r>
      <w:r w:rsidRPr="00A839DD">
        <w:t>étant pas LGBTQ2+ (54</w:t>
      </w:r>
      <w:r w:rsidR="00937C69" w:rsidRPr="00A839DD">
        <w:rPr>
          <w:rFonts w:ascii="Arial" w:hAnsi="Arial" w:cs="Arial"/>
        </w:rPr>
        <w:t> </w:t>
      </w:r>
      <w:r w:rsidRPr="00A839DD">
        <w:t>000 $) au Canada</w:t>
      </w:r>
      <w:r w:rsidRPr="00A839DD">
        <w:rPr>
          <w:rStyle w:val="Appelnotedebasdep"/>
        </w:rPr>
        <w:footnoteReference w:id="138"/>
      </w:r>
      <w:r w:rsidRPr="00A839DD">
        <w:t>.</w:t>
      </w:r>
    </w:p>
    <w:p w14:paraId="70A020AF" w14:textId="39969A07" w:rsidR="00905077" w:rsidRPr="00A839DD" w:rsidRDefault="00905077" w:rsidP="0006339A">
      <w:pPr>
        <w:pStyle w:val="Paragraphe"/>
      </w:pPr>
      <w:r w:rsidRPr="00A839DD">
        <w:t>Finalement, les données du projet SAVIE-LGBTQ ont permis de jeter un éclairage sur la qualité des emplois occupés par des personnes LGBTQ+</w:t>
      </w:r>
      <w:r w:rsidRPr="00A839DD">
        <w:rPr>
          <w:rStyle w:val="Appelnotedebasdep"/>
        </w:rPr>
        <w:footnoteReference w:id="139"/>
      </w:r>
      <w:r w:rsidRPr="00A839DD">
        <w:t>. En plus de la rémunération et des assurances collectives, de la stabilité de l’emploi et des qualifications, l’indice de qualité de l’emploi élaboré intègre</w:t>
      </w:r>
      <w:r w:rsidR="00875049">
        <w:t>nt</w:t>
      </w:r>
      <w:r w:rsidRPr="00A839DD">
        <w:t xml:space="preserve"> l’environnement de travail qui peut être plus ou moins soutenant. Ces résultats mettent en évidence que, parmi les personnes LGBTQ+, les femmes cisgenres sont désavantagées par rapport aux hommes cisgenres. Toujours au sein de cette population, les personnes étudiantes, jeunes, non syndiquées, ayant peu d’ancienneté ou travaillant dans le domaine des services sont plus à risque d’occuper un emploi de moindre qualité, de même que les personnes trans et non binaires, racisées et en situation de handicap.</w:t>
      </w:r>
    </w:p>
    <w:p w14:paraId="451B3AE8" w14:textId="77777777" w:rsidR="0064779E" w:rsidRPr="00A839DD" w:rsidRDefault="0064779E" w:rsidP="001D3E83">
      <w:pPr>
        <w:pStyle w:val="Titre2"/>
        <w:rPr>
          <w:noProof w:val="0"/>
        </w:rPr>
      </w:pPr>
      <w:bookmarkStart w:id="70" w:name="_Toc229131259"/>
      <w:r w:rsidRPr="00A839DD">
        <w:rPr>
          <w:noProof w:val="0"/>
        </w:rPr>
        <w:t>Les limites de la littérature scientifique</w:t>
      </w:r>
      <w:bookmarkEnd w:id="70"/>
    </w:p>
    <w:p w14:paraId="77B20F08" w14:textId="2546A91E" w:rsidR="00B74790" w:rsidRPr="00A839DD" w:rsidRDefault="00B74790" w:rsidP="0006339A">
      <w:pPr>
        <w:pStyle w:val="Paragraphe"/>
      </w:pPr>
      <w:r w:rsidRPr="00A839DD">
        <w:t>Les constats dégagés ci-haut émergent d’une pluralité de recherches convergentes. Plusieurs limites et inconnues subsistent cependant</w:t>
      </w:r>
      <w:r w:rsidRPr="00A839DD">
        <w:rPr>
          <w:rStyle w:val="Appelnotedebasdep"/>
        </w:rPr>
        <w:footnoteReference w:id="140"/>
      </w:r>
      <w:r w:rsidRPr="00A839DD">
        <w:t>. Les échantillons utilisés ne sont généralement pas représentatifs de l’ensemble des populations LGBTQ+, surreprésentant les hommes cisgenres et gais, les personnes blanches, les personnes dont l’orientation sexuelle ou la transidentité sont connues, à revenu plus élevé et vivant en milieu urbain. Les personnes LGBTQ+ racisées font aussi l’objet de moins d’attention dans la recherche, tandis que les personnes autochtones en sont quasi</w:t>
      </w:r>
      <w:r w:rsidR="00592181" w:rsidRPr="00A839DD">
        <w:t xml:space="preserve"> </w:t>
      </w:r>
      <w:r w:rsidRPr="00A839DD">
        <w:t xml:space="preserve">absentes. </w:t>
      </w:r>
      <w:r w:rsidRPr="00A839DD">
        <w:lastRenderedPageBreak/>
        <w:t xml:space="preserve">La situation des personnes LGBTQ+ dans certains secteurs d’emploi plus précaire ou hors du marché traditionnel de l’emploi demeure </w:t>
      </w:r>
      <w:r w:rsidR="000C75B5" w:rsidRPr="00A839DD">
        <w:t>également</w:t>
      </w:r>
      <w:r w:rsidRPr="00A839DD">
        <w:t xml:space="preserve"> fort peu étudiée.</w:t>
      </w:r>
    </w:p>
    <w:p w14:paraId="54F4E870" w14:textId="77777777" w:rsidR="00AC419F" w:rsidRPr="00A839DD" w:rsidRDefault="00AC419F" w:rsidP="001D3E83">
      <w:pPr>
        <w:pStyle w:val="Titre2"/>
        <w:rPr>
          <w:noProof w:val="0"/>
        </w:rPr>
      </w:pPr>
      <w:bookmarkStart w:id="71" w:name="_Toc229131260"/>
      <w:r w:rsidRPr="00A839DD">
        <w:rPr>
          <w:noProof w:val="0"/>
        </w:rPr>
        <w:t>L’état de la jurisprudence et de la doctrine juridique</w:t>
      </w:r>
      <w:bookmarkEnd w:id="71"/>
    </w:p>
    <w:p w14:paraId="3446DB6F" w14:textId="20E185A2" w:rsidR="002C4C61" w:rsidRPr="00A839DD" w:rsidRDefault="002C4C61" w:rsidP="0006339A">
      <w:pPr>
        <w:pStyle w:val="Paragraphe"/>
      </w:pPr>
      <w:r w:rsidRPr="00A839DD">
        <w:t>L’analyse des plaintes repose sur la revue des écrits présentée ci-dessus, ainsi que sur d’autres recherches menées à partir de dossiers de plaintes. Elle met aussi à contribution les enseignements tirés de la jurisprudence québécoise et canadienne.</w:t>
      </w:r>
    </w:p>
    <w:p w14:paraId="1D5D1043" w14:textId="14847B98" w:rsidR="002C4C61" w:rsidRPr="00A839DD" w:rsidRDefault="00586AFC" w:rsidP="0006339A">
      <w:pPr>
        <w:pStyle w:val="Paragraphe"/>
      </w:pPr>
      <w:r w:rsidRPr="00A839DD">
        <w:t>La</w:t>
      </w:r>
      <w:r w:rsidR="002C4C61" w:rsidRPr="00A839DD">
        <w:t xml:space="preserve"> revue de la jurisprudence </w:t>
      </w:r>
      <w:r w:rsidRPr="00A839DD">
        <w:t xml:space="preserve">réalisée en 2024 </w:t>
      </w:r>
      <w:r w:rsidR="002C4C61" w:rsidRPr="00A839DD">
        <w:t>révèle que les tribunaux québécois et la Cour suprême du Canada ont rendu peu de jugements en matière de discrimination en emploi sur la base de l’orientation sexuelle, et encore moins de l’identité ou l’expression de genre</w:t>
      </w:r>
      <w:bookmarkStart w:id="72" w:name="_Ref218500589"/>
      <w:r w:rsidR="002C4C61" w:rsidRPr="00A839DD">
        <w:rPr>
          <w:rStyle w:val="Appelnotedebasdep"/>
        </w:rPr>
        <w:footnoteReference w:id="141"/>
      </w:r>
      <w:bookmarkEnd w:id="72"/>
      <w:r w:rsidR="002C4C61" w:rsidRPr="00A839DD">
        <w:t>. Les affaires judiciarisées concernent pour la plupart des congédiements discriminatoires</w:t>
      </w:r>
      <w:bookmarkStart w:id="73" w:name="_Ref219806911"/>
      <w:r w:rsidR="002C4C61" w:rsidRPr="00A839DD">
        <w:rPr>
          <w:rStyle w:val="Appelnotedebasdep"/>
        </w:rPr>
        <w:footnoteReference w:id="142"/>
      </w:r>
      <w:bookmarkEnd w:id="73"/>
      <w:r w:rsidR="002C4C61" w:rsidRPr="00A839DD">
        <w:t>, des refus d’embauche discriminatoires</w:t>
      </w:r>
      <w:bookmarkStart w:id="74" w:name="_Ref219291741"/>
      <w:r w:rsidR="002C4C61" w:rsidRPr="00A839DD">
        <w:rPr>
          <w:rStyle w:val="Appelnotedebasdep"/>
        </w:rPr>
        <w:footnoteReference w:id="143"/>
      </w:r>
      <w:bookmarkEnd w:id="74"/>
      <w:r w:rsidR="002C4C61" w:rsidRPr="00A839DD">
        <w:t xml:space="preserve"> et des propos discriminatoires dans de telles circonstances</w:t>
      </w:r>
      <w:bookmarkStart w:id="75" w:name="_Ref219292420"/>
      <w:r w:rsidR="002C4C61" w:rsidRPr="00A839DD">
        <w:rPr>
          <w:rStyle w:val="Appelnotedebasdep"/>
        </w:rPr>
        <w:footnoteReference w:id="144"/>
      </w:r>
      <w:bookmarkEnd w:id="75"/>
      <w:r w:rsidR="002C4C61" w:rsidRPr="00A839DD">
        <w:t>. Quelques jugements portent sur le harcèlement discriminatoire sur la base de ces motifs au travail</w:t>
      </w:r>
      <w:r w:rsidR="002C4C61" w:rsidRPr="00A839DD">
        <w:rPr>
          <w:rStyle w:val="Appelnotedebasdep"/>
        </w:rPr>
        <w:footnoteReference w:id="145"/>
      </w:r>
      <w:r w:rsidR="002C4C61" w:rsidRPr="00A839DD">
        <w:t>. Des décisions des années</w:t>
      </w:r>
      <w:r w:rsidR="009B5E80" w:rsidRPr="00A839DD">
        <w:t> </w:t>
      </w:r>
      <w:r w:rsidR="002C4C61" w:rsidRPr="00A839DD">
        <w:t>1990 et du début des années</w:t>
      </w:r>
      <w:r w:rsidR="009B5E80" w:rsidRPr="00A839DD">
        <w:t> </w:t>
      </w:r>
      <w:r w:rsidR="002C4C61" w:rsidRPr="00A839DD">
        <w:t>2000 ont quant à elles déclaré comme étant discriminatoires des régimes d’avantages sociaux et de protection sociale qui excluaient les conjoints de même sexe</w:t>
      </w:r>
      <w:r w:rsidR="002C4C61" w:rsidRPr="00A839DD">
        <w:rPr>
          <w:rStyle w:val="Appelnotedebasdep"/>
        </w:rPr>
        <w:footnoteReference w:id="146"/>
      </w:r>
      <w:r w:rsidR="002C4C61" w:rsidRPr="00A839DD">
        <w:t>. La doctrine juridique récente aborde elle aussi peu la question de façon spécifique</w:t>
      </w:r>
      <w:r w:rsidR="002C4C61" w:rsidRPr="00A839DD">
        <w:rPr>
          <w:rStyle w:val="Appelnotedebasdep"/>
        </w:rPr>
        <w:footnoteReference w:id="147"/>
      </w:r>
      <w:r w:rsidR="002C4C61" w:rsidRPr="00A839DD">
        <w:t>.</w:t>
      </w:r>
    </w:p>
    <w:p w14:paraId="598FD6F0" w14:textId="77777777" w:rsidR="00AC419F" w:rsidRPr="00A839DD" w:rsidRDefault="00AC419F" w:rsidP="0006339A">
      <w:pPr>
        <w:pStyle w:val="Paragraphe"/>
      </w:pPr>
    </w:p>
    <w:p w14:paraId="2976B043" w14:textId="35B5D8FB" w:rsidR="002C4C61" w:rsidRPr="00A839DD" w:rsidRDefault="00DB5137" w:rsidP="00C56A88">
      <w:pPr>
        <w:pStyle w:val="Titre1"/>
        <w:rPr>
          <w:noProof w:val="0"/>
        </w:rPr>
      </w:pPr>
      <w:bookmarkStart w:id="76" w:name="_Toc229131261"/>
      <w:r w:rsidRPr="00A839DD">
        <w:rPr>
          <w:noProof w:val="0"/>
        </w:rPr>
        <w:lastRenderedPageBreak/>
        <w:t>Présentation de la recherche</w:t>
      </w:r>
      <w:bookmarkEnd w:id="76"/>
    </w:p>
    <w:p w14:paraId="16DF8339" w14:textId="77777777" w:rsidR="00DA3CAD" w:rsidRPr="00A839DD" w:rsidRDefault="00DA3CAD" w:rsidP="001D3E83">
      <w:pPr>
        <w:pStyle w:val="Titre2"/>
        <w:rPr>
          <w:noProof w:val="0"/>
        </w:rPr>
      </w:pPr>
      <w:bookmarkStart w:id="77" w:name="_Toc229131262"/>
      <w:r w:rsidRPr="00A839DD">
        <w:rPr>
          <w:noProof w:val="0"/>
        </w:rPr>
        <w:t>Question et objectifs de la recherche</w:t>
      </w:r>
      <w:bookmarkEnd w:id="77"/>
    </w:p>
    <w:p w14:paraId="32D4EAE0" w14:textId="47158D6F" w:rsidR="00C5181D" w:rsidRPr="00A839DD" w:rsidRDefault="00C5181D" w:rsidP="0006339A">
      <w:pPr>
        <w:pStyle w:val="Paragraphe"/>
      </w:pPr>
      <w:r w:rsidRPr="00A839DD">
        <w:t>La présente recherche vise à répondre à la question suivante</w:t>
      </w:r>
      <w:r w:rsidR="00577C83" w:rsidRPr="00A839DD">
        <w:t> </w:t>
      </w:r>
      <w:r w:rsidRPr="00A839DD">
        <w:t>:</w:t>
      </w:r>
    </w:p>
    <w:p w14:paraId="2D4368B8" w14:textId="0F2F99CB" w:rsidR="00C5181D" w:rsidRPr="00A839DD" w:rsidRDefault="00C5181D" w:rsidP="0006339A">
      <w:pPr>
        <w:pStyle w:val="Paragraphe"/>
      </w:pPr>
      <w:r w:rsidRPr="00A839DD">
        <w:t>Quelles sont les expériences et situations liées à l’emploi qui amènent des personnes à porter plainte à la Commission des droits pour discrimination fondée sur l’orientation sexuelle et l’identité ou l’expression de genre</w:t>
      </w:r>
      <w:r w:rsidR="00577C83" w:rsidRPr="00A839DD">
        <w:rPr>
          <w:rFonts w:ascii="Arial" w:hAnsi="Arial" w:cs="Arial"/>
        </w:rPr>
        <w:t> </w:t>
      </w:r>
      <w:r w:rsidRPr="00A839DD">
        <w:t>?</w:t>
      </w:r>
    </w:p>
    <w:p w14:paraId="0E15306A" w14:textId="77777777" w:rsidR="00C5181D" w:rsidRPr="00A839DD" w:rsidRDefault="00C5181D" w:rsidP="0006339A">
      <w:pPr>
        <w:pStyle w:val="Paragraphe"/>
        <w:rPr>
          <w:lang w:bidi="fr-CA"/>
        </w:rPr>
      </w:pPr>
      <w:r w:rsidRPr="00A839DD">
        <w:rPr>
          <w:lang w:bidi="fr-CA"/>
        </w:rPr>
        <w:t>Cette question peut être décomposée en plusieurs objectifs :</w:t>
      </w:r>
    </w:p>
    <w:p w14:paraId="1163A075" w14:textId="77777777" w:rsidR="007A5DDF" w:rsidRPr="00A839DD" w:rsidRDefault="007A5DDF" w:rsidP="0006339A">
      <w:pPr>
        <w:pStyle w:val="Paragraphe"/>
        <w:numPr>
          <w:ilvl w:val="0"/>
          <w:numId w:val="5"/>
        </w:numPr>
        <w:rPr>
          <w:lang w:bidi="fr-CA"/>
        </w:rPr>
      </w:pPr>
      <w:r w:rsidRPr="00A839DD">
        <w:rPr>
          <w:lang w:bidi="fr-CA"/>
        </w:rPr>
        <w:t>Brosser un portrait quantitatif et qualitatif :</w:t>
      </w:r>
    </w:p>
    <w:p w14:paraId="655620EE" w14:textId="2B02B001" w:rsidR="00DE3F0C" w:rsidRPr="00A839DD" w:rsidRDefault="00DE3F0C" w:rsidP="0006339A">
      <w:pPr>
        <w:pStyle w:val="Paragraphe"/>
        <w:numPr>
          <w:ilvl w:val="1"/>
          <w:numId w:val="5"/>
        </w:numPr>
        <w:rPr>
          <w:lang w:bidi="fr-CA"/>
        </w:rPr>
      </w:pPr>
      <w:r w:rsidRPr="00A839DD">
        <w:rPr>
          <w:lang w:bidi="fr-CA"/>
        </w:rPr>
        <w:t xml:space="preserve">des expériences et situations rapportées dans les plaintes reçues par la Commission des droits pour discrimination </w:t>
      </w:r>
      <w:r w:rsidR="005F2188">
        <w:rPr>
          <w:lang w:bidi="fr-CA"/>
        </w:rPr>
        <w:t xml:space="preserve">en emploi </w:t>
      </w:r>
      <w:r w:rsidRPr="00A839DD">
        <w:rPr>
          <w:lang w:bidi="fr-CA"/>
        </w:rPr>
        <w:t>sur la base de l’orientation sexuelle et de l’identité ou l’expression de genre</w:t>
      </w:r>
      <w:r w:rsidRPr="00A839DD">
        <w:rPr>
          <w:rFonts w:ascii="Arial" w:hAnsi="Arial" w:cs="Arial"/>
          <w:lang w:bidi="fr-CA"/>
        </w:rPr>
        <w:t> </w:t>
      </w:r>
      <w:r w:rsidRPr="00A839DD">
        <w:rPr>
          <w:lang w:bidi="fr-CA"/>
        </w:rPr>
        <w:t>;</w:t>
      </w:r>
    </w:p>
    <w:p w14:paraId="343A3AEE" w14:textId="2EC3F25B" w:rsidR="00DE3F0C" w:rsidRPr="00A839DD" w:rsidRDefault="00DE3F0C" w:rsidP="0006339A">
      <w:pPr>
        <w:pStyle w:val="Paragraphe"/>
        <w:numPr>
          <w:ilvl w:val="1"/>
          <w:numId w:val="5"/>
        </w:numPr>
        <w:rPr>
          <w:lang w:bidi="fr-CA"/>
        </w:rPr>
      </w:pPr>
      <w:r w:rsidRPr="00A839DD">
        <w:rPr>
          <w:lang w:bidi="fr-CA"/>
        </w:rPr>
        <w:t xml:space="preserve">de l’évolution des expériences et situations à l’origine des plaintes pour discrimination </w:t>
      </w:r>
      <w:r w:rsidR="00F679A0">
        <w:rPr>
          <w:lang w:bidi="fr-CA"/>
        </w:rPr>
        <w:t xml:space="preserve">en emploi </w:t>
      </w:r>
      <w:r w:rsidRPr="00A839DD">
        <w:rPr>
          <w:lang w:bidi="fr-CA"/>
        </w:rPr>
        <w:t>reçues par la Commission des droits, notamment et si possible en lien avec l’évolution des politiques publiques et des luttes pour les droits des personnes LGBTQ+.</w:t>
      </w:r>
    </w:p>
    <w:p w14:paraId="5ADC5384" w14:textId="77777777" w:rsidR="0084728A" w:rsidRPr="00A839DD" w:rsidRDefault="0084728A" w:rsidP="0006339A">
      <w:pPr>
        <w:pStyle w:val="Paragraphe"/>
        <w:numPr>
          <w:ilvl w:val="0"/>
          <w:numId w:val="5"/>
        </w:numPr>
        <w:rPr>
          <w:lang w:bidi="fr-CA"/>
        </w:rPr>
      </w:pPr>
      <w:r w:rsidRPr="00A839DD">
        <w:rPr>
          <w:lang w:bidi="fr-CA"/>
        </w:rPr>
        <w:t>Analyser :</w:t>
      </w:r>
    </w:p>
    <w:p w14:paraId="517CD8D3" w14:textId="0CB267B3" w:rsidR="0084728A" w:rsidRPr="00A839DD" w:rsidRDefault="0084728A" w:rsidP="0006339A">
      <w:pPr>
        <w:pStyle w:val="Paragraphe"/>
        <w:numPr>
          <w:ilvl w:val="1"/>
          <w:numId w:val="5"/>
        </w:numPr>
        <w:rPr>
          <w:lang w:bidi="fr-CA"/>
        </w:rPr>
      </w:pPr>
      <w:r w:rsidRPr="00A839DD">
        <w:rPr>
          <w:lang w:bidi="fr-CA"/>
        </w:rPr>
        <w:t>les expériences et situations décrites dans les plaintes dans une perspective de droits de la personne</w:t>
      </w:r>
      <w:r w:rsidR="00F01F5E" w:rsidRPr="00A839DD">
        <w:rPr>
          <w:rFonts w:ascii="Arial" w:hAnsi="Arial" w:cs="Arial"/>
          <w:lang w:bidi="fr-CA"/>
        </w:rPr>
        <w:t> </w:t>
      </w:r>
      <w:r w:rsidRPr="00A839DD">
        <w:rPr>
          <w:lang w:bidi="fr-CA"/>
        </w:rPr>
        <w:t>;</w:t>
      </w:r>
    </w:p>
    <w:p w14:paraId="3D9709BE" w14:textId="41BD2927" w:rsidR="0084728A" w:rsidRPr="00A839DD" w:rsidRDefault="0084728A" w:rsidP="0006339A">
      <w:pPr>
        <w:pStyle w:val="Paragraphe"/>
        <w:numPr>
          <w:ilvl w:val="1"/>
          <w:numId w:val="5"/>
        </w:numPr>
        <w:rPr>
          <w:lang w:bidi="fr-CA"/>
        </w:rPr>
      </w:pPr>
      <w:r w:rsidRPr="00A839DD">
        <w:rPr>
          <w:lang w:bidi="fr-CA"/>
        </w:rPr>
        <w:t>les plaintes en lien avec les rapports sociaux inégalitaires qui découlent de l’hétérocis</w:t>
      </w:r>
      <w:r w:rsidR="00464AB8">
        <w:rPr>
          <w:lang w:bidi="fr-CA"/>
        </w:rPr>
        <w:t>normativité</w:t>
      </w:r>
      <w:r w:rsidRPr="00A839DD">
        <w:rPr>
          <w:lang w:bidi="fr-CA"/>
        </w:rPr>
        <w:t>.</w:t>
      </w:r>
    </w:p>
    <w:p w14:paraId="095915DD" w14:textId="77777777" w:rsidR="00AF388F" w:rsidRPr="00A839DD" w:rsidRDefault="00AF388F" w:rsidP="0006339A">
      <w:pPr>
        <w:pStyle w:val="Paragraphe"/>
        <w:numPr>
          <w:ilvl w:val="0"/>
          <w:numId w:val="5"/>
        </w:numPr>
        <w:rPr>
          <w:lang w:bidi="fr-CA"/>
        </w:rPr>
      </w:pPr>
      <w:r w:rsidRPr="00A839DD">
        <w:rPr>
          <w:lang w:bidi="fr-CA"/>
        </w:rPr>
        <w:t>Mettre en évidence, le cas échéant, le caractère systémique et intersectionnel des discriminations en emploi fondées sur l’orientation sexuelle et l’identité ou l’expression de genre.</w:t>
      </w:r>
    </w:p>
    <w:p w14:paraId="39A868F2" w14:textId="77777777" w:rsidR="00AF388F" w:rsidRPr="00A839DD" w:rsidRDefault="00AF388F" w:rsidP="0006339A">
      <w:pPr>
        <w:pStyle w:val="Paragraphe"/>
        <w:numPr>
          <w:ilvl w:val="0"/>
          <w:numId w:val="5"/>
        </w:numPr>
      </w:pPr>
      <w:r w:rsidRPr="00A839DD">
        <w:t>Alimenter les réflexions sur les façons d’enrayer la discrimination</w:t>
      </w:r>
      <w:r w:rsidRPr="00A839DD">
        <w:rPr>
          <w:b/>
        </w:rPr>
        <w:t xml:space="preserve"> </w:t>
      </w:r>
      <w:r w:rsidRPr="00A839DD">
        <w:t>sur la base de l’orientation sexuelle et l’identité ou l’expression de genre en emploi, y compris sur l’opportunité d’intégrer les personnes LGBTQ+ aux groupes visés par les programmes d’accès à l’égalité en emploi</w:t>
      </w:r>
      <w:r w:rsidRPr="00A839DD">
        <w:rPr>
          <w:rStyle w:val="Appelnotedebasdep"/>
        </w:rPr>
        <w:footnoteReference w:id="148"/>
      </w:r>
      <w:r w:rsidRPr="00A839DD">
        <w:t>.</w:t>
      </w:r>
    </w:p>
    <w:p w14:paraId="086C20C1" w14:textId="77777777" w:rsidR="00A72310" w:rsidRPr="00A839DD" w:rsidRDefault="00A72310" w:rsidP="001D3E83">
      <w:pPr>
        <w:pStyle w:val="Titre2"/>
        <w:rPr>
          <w:noProof w:val="0"/>
        </w:rPr>
      </w:pPr>
      <w:bookmarkStart w:id="79" w:name="_Toc229131263"/>
      <w:r w:rsidRPr="00A839DD">
        <w:rPr>
          <w:noProof w:val="0"/>
        </w:rPr>
        <w:lastRenderedPageBreak/>
        <w:t>Originalité de la recherche</w:t>
      </w:r>
      <w:bookmarkEnd w:id="79"/>
    </w:p>
    <w:p w14:paraId="7A479CA0" w14:textId="77777777" w:rsidR="00CE74A1" w:rsidRPr="00A839DD" w:rsidRDefault="00CE74A1" w:rsidP="0006339A">
      <w:pPr>
        <w:pStyle w:val="Paragraphe"/>
      </w:pPr>
      <w:r w:rsidRPr="00A839DD">
        <w:t>La recherche se propose de contribuer de trois manières à une meilleure connaissance de la discrimination envers les personnes LGBTQ+ en emploi :</w:t>
      </w:r>
    </w:p>
    <w:p w14:paraId="18BD6033" w14:textId="77777777" w:rsidR="00186B31" w:rsidRPr="00A839DD" w:rsidRDefault="00186B31" w:rsidP="00186B31">
      <w:pPr>
        <w:pStyle w:val="puces0"/>
      </w:pPr>
      <w:r w:rsidRPr="00A839DD">
        <w:rPr>
          <w:b/>
          <w:bCs/>
        </w:rPr>
        <w:t xml:space="preserve">Une analyse fondée sur la Charte québécoise. </w:t>
      </w:r>
      <w:r w:rsidRPr="00A839DD">
        <w:t xml:space="preserve">La recherche est susceptible d’enrichir les connaissances sur la discrimination à partir d’une analyse des situations alléguées fondée sur le cadre de la Charte québécoise. </w:t>
      </w:r>
    </w:p>
    <w:p w14:paraId="342043EB" w14:textId="77777777" w:rsidR="00186B31" w:rsidRPr="00A839DD" w:rsidRDefault="00186B31" w:rsidP="00186B31">
      <w:pPr>
        <w:pStyle w:val="puces0"/>
      </w:pPr>
      <w:r w:rsidRPr="00A839DD">
        <w:rPr>
          <w:b/>
          <w:bCs/>
        </w:rPr>
        <w:t xml:space="preserve">Une source de données inédite. </w:t>
      </w:r>
      <w:r w:rsidRPr="00A839DD">
        <w:t>La présente recherche propose une analyse inédite des plaintes reçues par la Commission des droits pour discrimination en emploi fondée sur l’orientation sexuelle et l’identité ou l’expression de genre. Ce matériau permet d’enrichir l’état de la recherche qui est essentiellement basé sur des enquêtes statistiques et des descriptions des expériences des personnes concernées tirées d’entrevues. Les plaintes donnent quant à elles accès à une description de la situation dénoncée généralement écrite dans les termes de la personne, sauf dans les rares cas où elle est assistée, et produite hors d’un contexte de recherche.</w:t>
      </w:r>
    </w:p>
    <w:p w14:paraId="54DA5B79" w14:textId="77777777" w:rsidR="00186B31" w:rsidRPr="00A839DD" w:rsidRDefault="00186B31" w:rsidP="00186B31">
      <w:pPr>
        <w:pStyle w:val="puces0"/>
      </w:pPr>
      <w:r w:rsidRPr="00A839DD">
        <w:rPr>
          <w:b/>
          <w:bCs/>
        </w:rPr>
        <w:t>Un regard historique.</w:t>
      </w:r>
      <w:r w:rsidRPr="00A839DD">
        <w:t xml:space="preserve"> En se penchant sur les plaintes reçues depuis 1994, cette recherche offre un regard sur l’évolution historique des situations alléguées de discrimination en emploi par les personnes LGBTQ+ au Québec.</w:t>
      </w:r>
    </w:p>
    <w:p w14:paraId="56E825E8" w14:textId="4AAD3C2D" w:rsidR="006B5990" w:rsidRPr="00A839DD" w:rsidRDefault="006B5990" w:rsidP="001D3E83">
      <w:pPr>
        <w:pStyle w:val="Titre2"/>
        <w:rPr>
          <w:noProof w:val="0"/>
        </w:rPr>
      </w:pPr>
      <w:bookmarkStart w:id="80" w:name="_Toc229131264"/>
      <w:r w:rsidRPr="00A839DD">
        <w:rPr>
          <w:noProof w:val="0"/>
        </w:rPr>
        <w:t>Portée de la recherche</w:t>
      </w:r>
      <w:bookmarkEnd w:id="80"/>
    </w:p>
    <w:p w14:paraId="540356CA" w14:textId="77777777" w:rsidR="008F0975" w:rsidRPr="00A839DD" w:rsidRDefault="008F0975" w:rsidP="0006339A">
      <w:pPr>
        <w:pStyle w:val="Paragraphe"/>
      </w:pPr>
      <w:r w:rsidRPr="00A839DD">
        <w:t>La question formulée permet de délimiter la portée de la recherche. Elle précise par le fait même ce que ne permettent pas de dire les données analysées.</w:t>
      </w:r>
    </w:p>
    <w:p w14:paraId="2A5F7EF5" w14:textId="1E92F223" w:rsidR="006B5990" w:rsidRPr="00A839DD" w:rsidRDefault="00E7718B" w:rsidP="001D3E83">
      <w:pPr>
        <w:pStyle w:val="Titre3"/>
        <w:rPr>
          <w:noProof w:val="0"/>
        </w:rPr>
      </w:pPr>
      <w:bookmarkStart w:id="81" w:name="_Toc229131265"/>
      <w:r w:rsidRPr="00A839DD">
        <w:rPr>
          <w:noProof w:val="0"/>
        </w:rPr>
        <w:t>Sur quoi porte la recherche</w:t>
      </w:r>
      <w:r w:rsidR="00EC55D0" w:rsidRPr="00A839DD">
        <w:rPr>
          <w:noProof w:val="0"/>
        </w:rPr>
        <w:t> :</w:t>
      </w:r>
      <w:bookmarkEnd w:id="81"/>
    </w:p>
    <w:p w14:paraId="3050D629" w14:textId="2974D09B" w:rsidR="003C6719" w:rsidRPr="00A839DD" w:rsidRDefault="003C6719" w:rsidP="00EB5BD0">
      <w:pPr>
        <w:pStyle w:val="Titre4"/>
      </w:pPr>
      <w:bookmarkStart w:id="82" w:name="_Toc229131266"/>
      <w:r w:rsidRPr="00A839DD">
        <w:t>Les expériences rapportées par les personnes plaignantes</w:t>
      </w:r>
      <w:bookmarkEnd w:id="82"/>
    </w:p>
    <w:p w14:paraId="7E65BCC9" w14:textId="7CCC346E" w:rsidR="001153D6" w:rsidRDefault="000D55E9" w:rsidP="0006339A">
      <w:pPr>
        <w:pStyle w:val="Paragraphe"/>
      </w:pPr>
      <w:r w:rsidRPr="00A839DD">
        <w:t>Le projet s’intéresse aux expériences telles que rapportées par les personnes qui portent plainte, ou les personnes ou groupes qui les représentent. L’emploi du terme «</w:t>
      </w:r>
      <w:r w:rsidRPr="00A839DD">
        <w:rPr>
          <w:rFonts w:ascii="Arial" w:hAnsi="Arial" w:cs="Arial"/>
        </w:rPr>
        <w:t> </w:t>
      </w:r>
      <w:r w:rsidRPr="00A839DD">
        <w:t>exp</w:t>
      </w:r>
      <w:r w:rsidRPr="00A839DD">
        <w:rPr>
          <w:rFonts w:cs="Aptos"/>
        </w:rPr>
        <w:t>é</w:t>
      </w:r>
      <w:r w:rsidRPr="00A839DD">
        <w:t>riences</w:t>
      </w:r>
      <w:r w:rsidRPr="00A839DD">
        <w:rPr>
          <w:rFonts w:ascii="Arial" w:hAnsi="Arial" w:cs="Arial"/>
        </w:rPr>
        <w:t> </w:t>
      </w:r>
      <w:r w:rsidRPr="00A839DD">
        <w:rPr>
          <w:rFonts w:cs="Aptos"/>
        </w:rPr>
        <w:t>»</w:t>
      </w:r>
      <w:r w:rsidRPr="00A839DD">
        <w:t xml:space="preserve"> </w:t>
      </w:r>
      <w:r w:rsidRPr="00A839DD">
        <w:rPr>
          <w:rFonts w:cs="Aptos"/>
        </w:rPr>
        <w:t>é</w:t>
      </w:r>
      <w:r w:rsidRPr="00A839DD">
        <w:t>vite de parler a priori de discrimination et reconna</w:t>
      </w:r>
      <w:r w:rsidRPr="00A839DD">
        <w:rPr>
          <w:rFonts w:cs="Aptos"/>
        </w:rPr>
        <w:t>î</w:t>
      </w:r>
      <w:r w:rsidRPr="00A839DD">
        <w:t>t que la plainte pr</w:t>
      </w:r>
      <w:r w:rsidRPr="00A839DD">
        <w:rPr>
          <w:rFonts w:cs="Aptos"/>
        </w:rPr>
        <w:t>é</w:t>
      </w:r>
      <w:r w:rsidRPr="00A839DD">
        <w:t>sente le point de vue, le v</w:t>
      </w:r>
      <w:r w:rsidRPr="00A839DD">
        <w:rPr>
          <w:rFonts w:cs="Aptos"/>
        </w:rPr>
        <w:t>é</w:t>
      </w:r>
      <w:r w:rsidRPr="00A839DD">
        <w:t>cu et le ressenti de la personne. L</w:t>
      </w:r>
      <w:r w:rsidRPr="00A839DD">
        <w:rPr>
          <w:rFonts w:cs="Aptos"/>
        </w:rPr>
        <w:t>’</w:t>
      </w:r>
      <w:r w:rsidRPr="00A839DD">
        <w:t>analyse des plaintes sous cet angle permet de documenter les fa</w:t>
      </w:r>
      <w:r w:rsidRPr="00A839DD">
        <w:rPr>
          <w:rFonts w:cs="Aptos"/>
        </w:rPr>
        <w:t>ç</w:t>
      </w:r>
      <w:r w:rsidRPr="00A839DD">
        <w:t>ons dont les personnes plaignantes disent faire l</w:t>
      </w:r>
      <w:r w:rsidRPr="00A839DD">
        <w:rPr>
          <w:rFonts w:cs="Aptos"/>
        </w:rPr>
        <w:t>’</w:t>
      </w:r>
      <w:r w:rsidRPr="00A839DD">
        <w:t>exp</w:t>
      </w:r>
      <w:r w:rsidRPr="00A839DD">
        <w:rPr>
          <w:rFonts w:cs="Aptos"/>
        </w:rPr>
        <w:t>é</w:t>
      </w:r>
      <w:r w:rsidRPr="00A839DD">
        <w:t>rience de l</w:t>
      </w:r>
      <w:r w:rsidRPr="00A839DD">
        <w:rPr>
          <w:rFonts w:cs="Aptos"/>
        </w:rPr>
        <w:t>’</w:t>
      </w:r>
      <w:r w:rsidRPr="00A839DD">
        <w:t xml:space="preserve">homophobie et de la transphobie, mais aussi </w:t>
      </w:r>
      <w:r w:rsidRPr="00A839DD">
        <w:rPr>
          <w:rFonts w:cs="Aptos"/>
        </w:rPr>
        <w:t>é</w:t>
      </w:r>
      <w:r w:rsidRPr="00A839DD">
        <w:t>ventuellement d</w:t>
      </w:r>
      <w:r w:rsidRPr="00A839DD">
        <w:rPr>
          <w:rFonts w:cs="Aptos"/>
        </w:rPr>
        <w:t>’</w:t>
      </w:r>
      <w:r w:rsidRPr="00A839DD">
        <w:t>autres rapports sociaux inégalitaires, par exemple le sexisme ou le racisme.</w:t>
      </w:r>
    </w:p>
    <w:p w14:paraId="4CA23265" w14:textId="77777777" w:rsidR="00E80EE7" w:rsidRPr="00A839DD" w:rsidRDefault="00E80EE7" w:rsidP="0006339A">
      <w:pPr>
        <w:pStyle w:val="Paragraphe"/>
      </w:pPr>
    </w:p>
    <w:p w14:paraId="4C6FF759" w14:textId="4298FEEC" w:rsidR="000D55E9" w:rsidRPr="00A839DD" w:rsidRDefault="000D55E9" w:rsidP="00EB5BD0">
      <w:pPr>
        <w:pStyle w:val="Titre4"/>
      </w:pPr>
      <w:bookmarkStart w:id="83" w:name="_Toc229131267"/>
      <w:r w:rsidRPr="00A839DD">
        <w:lastRenderedPageBreak/>
        <w:t>Les situations décrites par les personnes plaignantes</w:t>
      </w:r>
      <w:bookmarkEnd w:id="83"/>
    </w:p>
    <w:p w14:paraId="6AC9B724" w14:textId="6E2BBAA2" w:rsidR="000D55E9" w:rsidRPr="00A839DD" w:rsidRDefault="000D55E9" w:rsidP="0006339A">
      <w:pPr>
        <w:pStyle w:val="Paragraphe"/>
      </w:pPr>
      <w:r w:rsidRPr="00A839DD">
        <w:t>L’attention portée aux situations invite quant à elle à se pencher sur les circonstances à l’origine de cette expérience, que ce soit par exemple le secteur d’emploi concerné, les acteurs en présence ou la nature des interactions en cause. Le concept sociologique de «</w:t>
      </w:r>
      <w:r w:rsidRPr="00A839DD">
        <w:rPr>
          <w:rFonts w:ascii="Arial" w:hAnsi="Arial" w:cs="Arial"/>
        </w:rPr>
        <w:t> </w:t>
      </w:r>
      <w:r w:rsidRPr="00A839DD">
        <w:t>d</w:t>
      </w:r>
      <w:r w:rsidRPr="00A839DD">
        <w:rPr>
          <w:rFonts w:cs="Aptos"/>
        </w:rPr>
        <w:t>é</w:t>
      </w:r>
      <w:r w:rsidRPr="00A839DD">
        <w:t>finition de la situation</w:t>
      </w:r>
      <w:r w:rsidRPr="00A839DD">
        <w:rPr>
          <w:rFonts w:ascii="Arial" w:hAnsi="Arial" w:cs="Arial"/>
        </w:rPr>
        <w:t> </w:t>
      </w:r>
      <w:r w:rsidRPr="00A839DD">
        <w:rPr>
          <w:rFonts w:cs="Aptos"/>
        </w:rPr>
        <w:t>»</w:t>
      </w:r>
      <w:r w:rsidRPr="00A839DD">
        <w:t xml:space="preserve"> est susceptible de nous aider </w:t>
      </w:r>
      <w:r w:rsidRPr="00A839DD">
        <w:rPr>
          <w:rFonts w:cs="Aptos"/>
        </w:rPr>
        <w:t>à</w:t>
      </w:r>
      <w:r w:rsidRPr="00A839DD">
        <w:t xml:space="preserve"> d</w:t>
      </w:r>
      <w:r w:rsidRPr="00A839DD">
        <w:rPr>
          <w:rFonts w:cs="Aptos"/>
        </w:rPr>
        <w:t>é</w:t>
      </w:r>
      <w:r w:rsidRPr="00A839DD">
        <w:t>crire les fa</w:t>
      </w:r>
      <w:r w:rsidRPr="00A839DD">
        <w:rPr>
          <w:rFonts w:cs="Aptos"/>
        </w:rPr>
        <w:t>ç</w:t>
      </w:r>
      <w:r w:rsidRPr="00A839DD">
        <w:t>ons dont les personnes plaignantes, ou les personnes ou groupes les repr</w:t>
      </w:r>
      <w:r w:rsidRPr="00A839DD">
        <w:rPr>
          <w:rFonts w:cs="Aptos"/>
        </w:rPr>
        <w:t>é</w:t>
      </w:r>
      <w:r w:rsidRPr="00A839DD">
        <w:t>sentant, ont d</w:t>
      </w:r>
      <w:r w:rsidRPr="00A839DD">
        <w:rPr>
          <w:rFonts w:cs="Aptos"/>
        </w:rPr>
        <w:t>é</w:t>
      </w:r>
      <w:r w:rsidRPr="00A839DD">
        <w:t xml:space="preserve">fini la situation comme </w:t>
      </w:r>
      <w:r w:rsidRPr="00A839DD">
        <w:rPr>
          <w:rFonts w:cs="Aptos"/>
        </w:rPr>
        <w:t>é</w:t>
      </w:r>
      <w:r w:rsidRPr="00A839DD">
        <w:t>tant probl</w:t>
      </w:r>
      <w:r w:rsidRPr="00A839DD">
        <w:rPr>
          <w:rFonts w:cs="Aptos"/>
        </w:rPr>
        <w:t>é</w:t>
      </w:r>
      <w:r w:rsidRPr="00A839DD">
        <w:t>matique. Ce faisant, ces personnes interprètent le lien entre l’expérience et la situation pour le présenter à la Commission des droits, s’appuyant au passage, plus ou moins formellement, sur des qualifications juridiques tirées de la Charte.</w:t>
      </w:r>
    </w:p>
    <w:p w14:paraId="5BF97523" w14:textId="4A8D36C5" w:rsidR="008A0BA6" w:rsidRPr="00A839DD" w:rsidRDefault="000D55E9" w:rsidP="00EB5BD0">
      <w:pPr>
        <w:pStyle w:val="Titre4"/>
      </w:pPr>
      <w:bookmarkStart w:id="84" w:name="_Toc229131268"/>
      <w:r w:rsidRPr="00A839DD">
        <w:t xml:space="preserve">Dans des milieux de travail </w:t>
      </w:r>
      <w:r w:rsidR="004137D3" w:rsidRPr="00A839DD">
        <w:t xml:space="preserve">relevant </w:t>
      </w:r>
      <w:r w:rsidRPr="00A839DD">
        <w:t xml:space="preserve">de </w:t>
      </w:r>
      <w:r w:rsidR="004137D3" w:rsidRPr="00A839DD">
        <w:t xml:space="preserve">la </w:t>
      </w:r>
      <w:r w:rsidRPr="00A839DD">
        <w:t xml:space="preserve">compétence </w:t>
      </w:r>
      <w:r w:rsidR="004137D3" w:rsidRPr="00A839DD">
        <w:t>du Québec</w:t>
      </w:r>
      <w:r w:rsidRPr="00A839DD">
        <w:t xml:space="preserve"> et non syndiqués (depuis 2004)</w:t>
      </w:r>
      <w:bookmarkEnd w:id="84"/>
    </w:p>
    <w:p w14:paraId="68F7309B" w14:textId="77777777" w:rsidR="000D55E9" w:rsidRPr="00A839DD" w:rsidRDefault="000D55E9" w:rsidP="0006339A">
      <w:pPr>
        <w:pStyle w:val="Paragraphe"/>
        <w:rPr>
          <w:i/>
          <w:iCs/>
        </w:rPr>
      </w:pPr>
      <w:r w:rsidRPr="00A839DD">
        <w:t>La Commission ne peut recevoir de plaintes à propos de situations vécues dans des milieux de travail qui sont de compétence fédérale</w:t>
      </w:r>
      <w:bookmarkStart w:id="85" w:name="_Ref229392394"/>
      <w:r w:rsidRPr="00A839DD">
        <w:rPr>
          <w:rStyle w:val="Appelnotedebasdep"/>
        </w:rPr>
        <w:footnoteReference w:id="149"/>
      </w:r>
      <w:bookmarkEnd w:id="85"/>
      <w:r w:rsidRPr="00A839DD">
        <w:t xml:space="preserve">, comme la fonction publique fédérale, les banques et les stations de télévision, puisque ces entreprises sont normalement assujetties à la </w:t>
      </w:r>
      <w:r w:rsidRPr="00A839DD">
        <w:rPr>
          <w:i/>
          <w:iCs/>
        </w:rPr>
        <w:t>Loi canadienne sur les droits de la personne</w:t>
      </w:r>
      <w:r w:rsidRPr="00A839DD">
        <w:rPr>
          <w:rStyle w:val="Appelnotedebasdep"/>
        </w:rPr>
        <w:footnoteReference w:id="150"/>
      </w:r>
      <w:r w:rsidRPr="00A839DD">
        <w:rPr>
          <w:i/>
          <w:iCs/>
        </w:rPr>
        <w:t xml:space="preserve">. </w:t>
      </w:r>
      <w:r w:rsidRPr="00A839DD">
        <w:t>Au Canada, environ 6 % du marché du travail salarié est sous compétence fédérale</w:t>
      </w:r>
      <w:r w:rsidRPr="00A839DD">
        <w:rPr>
          <w:rStyle w:val="Appelnotedebasdep"/>
        </w:rPr>
        <w:footnoteReference w:id="151"/>
      </w:r>
      <w:r w:rsidRPr="00A839DD">
        <w:t>.</w:t>
      </w:r>
    </w:p>
    <w:p w14:paraId="103685FB" w14:textId="6BE8F64E" w:rsidR="000D55E9" w:rsidRPr="00A839DD" w:rsidRDefault="000D55E9" w:rsidP="0006339A">
      <w:pPr>
        <w:pStyle w:val="Paragraphe"/>
      </w:pPr>
      <w:r w:rsidRPr="00A839DD">
        <w:t>Depuis 2004</w:t>
      </w:r>
      <w:r w:rsidRPr="00A839DD">
        <w:rPr>
          <w:rStyle w:val="Appelnotedebasdep"/>
        </w:rPr>
        <w:footnoteReference w:id="152"/>
      </w:r>
      <w:r w:rsidRPr="00A839DD">
        <w:t>, la Commission des droits n</w:t>
      </w:r>
      <w:r w:rsidR="006F10D1" w:rsidRPr="00A839DD">
        <w:t>e traite</w:t>
      </w:r>
      <w:r w:rsidRPr="00A839DD">
        <w:t xml:space="preserve"> plus de plaintes concernant des milieux de travail syndiqués. Selon la jurisprudence, ces plaintes relèvent de l’arbitre de grief qui a la compétence exclusive d’interpréter et d’appliquer les droits prévus par une convention collective</w:t>
      </w:r>
      <w:r w:rsidRPr="00A839DD">
        <w:rPr>
          <w:rStyle w:val="Appelnotedebasdep"/>
        </w:rPr>
        <w:footnoteReference w:id="153"/>
      </w:r>
      <w:r w:rsidRPr="00A839DD">
        <w:t>. Les droits et libertés prévus par la Charte sont considérés comme étant partie intégrante des conventions collectives</w:t>
      </w:r>
      <w:r w:rsidRPr="00A839DD">
        <w:rPr>
          <w:rStyle w:val="Appelnotedebasdep"/>
        </w:rPr>
        <w:footnoteReference w:id="154"/>
      </w:r>
      <w:r w:rsidRPr="00A839DD">
        <w:t xml:space="preserve">. La Commission pourrait cependant recevoir </w:t>
      </w:r>
      <w:r w:rsidR="005615D8" w:rsidRPr="00A839DD">
        <w:t>et traiter</w:t>
      </w:r>
      <w:r w:rsidRPr="00A839DD">
        <w:t xml:space="preserve"> des plaintes qui sortent de la compétence exclusive de l’arbitre de grief, par exemple dans les cas où c’est le caractère </w:t>
      </w:r>
      <w:r w:rsidRPr="00A839DD">
        <w:lastRenderedPageBreak/>
        <w:t>discriminatoire d’une clause de la convention collective qui est visé, au stade de son élaboration et non de son application</w:t>
      </w:r>
      <w:r w:rsidRPr="00A839DD">
        <w:rPr>
          <w:rStyle w:val="Appelnotedebasdep"/>
        </w:rPr>
        <w:footnoteReference w:id="155"/>
      </w:r>
      <w:r w:rsidRPr="00A839DD">
        <w:t>.</w:t>
      </w:r>
    </w:p>
    <w:p w14:paraId="2921AF85" w14:textId="77777777" w:rsidR="000D55E9" w:rsidRPr="00A839DD" w:rsidRDefault="000D55E9" w:rsidP="0006339A">
      <w:pPr>
        <w:pStyle w:val="Paragraphe"/>
      </w:pPr>
      <w:r w:rsidRPr="00A839DD">
        <w:t>Au Québec, le taux de présence syndicale était de 38,9 % en 2023</w:t>
      </w:r>
      <w:r w:rsidRPr="00A839DD">
        <w:rPr>
          <w:rStyle w:val="Appelnotedebasdep"/>
        </w:rPr>
        <w:footnoteReference w:id="156"/>
      </w:r>
      <w:r w:rsidRPr="00A839DD">
        <w:t>. Cela correspond au pourcentage de personnes employées couvertes par une convention collective. Ainsi, un peu plus de 60 % des personnes employées au Québec ne sont pas syndiquées.</w:t>
      </w:r>
    </w:p>
    <w:p w14:paraId="097CD6D1" w14:textId="073F5C0B" w:rsidR="000D55E9" w:rsidRPr="00A839DD" w:rsidRDefault="000D55E9" w:rsidP="0006339A">
      <w:pPr>
        <w:pStyle w:val="Paragraphe"/>
      </w:pPr>
      <w:r w:rsidRPr="00A839DD">
        <w:t>Depuis le début des années 2000, les recours en matière de discrimination en emploi sont principalement entendus par des arbitres de grief, de qui relève l’essentiel des litiges en milieu syndiqué</w:t>
      </w:r>
      <w:r w:rsidRPr="00A839DD">
        <w:rPr>
          <w:rStyle w:val="Appelnotedebasdep"/>
        </w:rPr>
        <w:footnoteReference w:id="157"/>
      </w:r>
      <w:r w:rsidRPr="00A839DD">
        <w:t>. Le Tribunal administratif du travail peut également se prononcer en matière de discrimination</w:t>
      </w:r>
      <w:r w:rsidR="00806683" w:rsidRPr="00A839DD">
        <w:t xml:space="preserve"> et de harcèlement</w:t>
      </w:r>
      <w:r w:rsidRPr="00A839DD">
        <w:t>. Ce derni</w:t>
      </w:r>
      <w:r w:rsidR="00794FB1" w:rsidRPr="00A839DD">
        <w:t>er</w:t>
      </w:r>
      <w:r w:rsidRPr="00A839DD">
        <w:t xml:space="preserve"> statue, par exemple, sur les recours concernant la protection de l’emploi, les droits d’association et de négociation, ainsi que l’équité salariale.</w:t>
      </w:r>
    </w:p>
    <w:p w14:paraId="4AE28C31" w14:textId="77777777" w:rsidR="000D55E9" w:rsidRDefault="000D55E9" w:rsidP="0006339A">
      <w:pPr>
        <w:pStyle w:val="Paragraphe"/>
      </w:pPr>
      <w:r w:rsidRPr="00A839DD">
        <w:t>Conséquemment, «</w:t>
      </w:r>
      <w:r w:rsidRPr="00A839DD">
        <w:rPr>
          <w:rFonts w:ascii="Arial" w:hAnsi="Arial"/>
        </w:rPr>
        <w:t> </w:t>
      </w:r>
      <w:r w:rsidRPr="00A839DD">
        <w:t>depuis le début des années 2010, voire le début des années 2000, les juridictions spécialisées en droit du travail ont définitivement supplanté le [Tribunal des droits de la personne, devant lequel la Commission peut porter des recours en discrimination,] dans la mise en œuvre du droit à l’égalité en emploi</w:t>
      </w:r>
      <w:r w:rsidRPr="00A839DD">
        <w:rPr>
          <w:rStyle w:val="Appelnotedebasdep"/>
        </w:rPr>
        <w:footnoteReference w:id="158"/>
      </w:r>
      <w:r w:rsidRPr="00A839DD">
        <w:t>.</w:t>
      </w:r>
      <w:r w:rsidRPr="00A839DD">
        <w:rPr>
          <w:rFonts w:ascii="Arial" w:hAnsi="Arial"/>
        </w:rPr>
        <w:t> </w:t>
      </w:r>
      <w:r w:rsidRPr="00A839DD">
        <w:t xml:space="preserve">» La présente recherche ne porte donc que sur une part des recours en discrimination en emploi intentés au Québec par des personnes LGBTQ+. </w:t>
      </w:r>
    </w:p>
    <w:tbl>
      <w:tblPr>
        <w:tblStyle w:val="Grilledutableau"/>
        <w:tblW w:w="0" w:type="auto"/>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9672"/>
      </w:tblGrid>
      <w:tr w:rsidR="003240CA" w:rsidRPr="00A839DD" w14:paraId="13139529" w14:textId="77777777" w:rsidTr="00164333">
        <w:tc>
          <w:tcPr>
            <w:tcW w:w="9672" w:type="dxa"/>
            <w:shd w:val="clear" w:color="auto" w:fill="E3ECF9"/>
          </w:tcPr>
          <w:p w14:paraId="673938F2" w14:textId="77777777" w:rsidR="003240CA" w:rsidRPr="00722B91" w:rsidRDefault="003240CA" w:rsidP="00722B91">
            <w:pPr>
              <w:spacing w:before="120" w:after="120"/>
              <w:ind w:left="174"/>
              <w:rPr>
                <w:b/>
                <w:bCs/>
              </w:rPr>
            </w:pPr>
            <w:r w:rsidRPr="00722B91">
              <w:rPr>
                <w:b/>
                <w:bCs/>
              </w:rPr>
              <w:t>Plainte de harcèlement psychologique à la CNESST</w:t>
            </w:r>
          </w:p>
          <w:p w14:paraId="5AE46425" w14:textId="63A0073E" w:rsidR="003240CA" w:rsidRPr="00722B91" w:rsidRDefault="003240CA" w:rsidP="00722B91">
            <w:pPr>
              <w:spacing w:before="120" w:after="120"/>
              <w:ind w:left="174"/>
            </w:pPr>
            <w:r w:rsidRPr="00722B91">
              <w:t xml:space="preserve">La Commission des normes, de l’équité, de la santé et de la sécurité du travail (CNESST) reçoit des plaintes pour harcèlement psychologique, incluant le harcèlement </w:t>
            </w:r>
            <w:r w:rsidR="002D2E5B" w:rsidRPr="00722B91">
              <w:t xml:space="preserve">à caractère </w:t>
            </w:r>
            <w:r w:rsidRPr="00722B91">
              <w:t>sexuel</w:t>
            </w:r>
            <w:r w:rsidR="00452581" w:rsidRPr="00722B91">
              <w:t xml:space="preserve">, </w:t>
            </w:r>
            <w:r w:rsidR="002C22F2" w:rsidRPr="00722B91">
              <w:t>mais aussi</w:t>
            </w:r>
            <w:r w:rsidR="00452581" w:rsidRPr="00722B91">
              <w:t xml:space="preserve"> des plaintes pour harcèlement fondé sur l’orientation sexuelle et l’identité ou l’expression de genre</w:t>
            </w:r>
            <w:r w:rsidRPr="00722B91">
              <w:t>.</w:t>
            </w:r>
          </w:p>
          <w:p w14:paraId="418C6647" w14:textId="412363CA" w:rsidR="003240CA" w:rsidRPr="00A839DD" w:rsidRDefault="003240CA" w:rsidP="00722B91">
            <w:pPr>
              <w:spacing w:before="120" w:after="120"/>
              <w:ind w:left="174"/>
            </w:pPr>
            <w:r w:rsidRPr="00722B91">
              <w:t xml:space="preserve">Lorsque le harcèlement psychologique allégué révèle une conduite à caractère discriminatoire, fondée sur l’un des motifs prévus à l’article 10 de la Charte, la situation peut donner lieu à une plainte pour harcèlement psychologique à la CNESST et à une plainte de harcèlement discriminatoire à la Commission des droits. </w:t>
            </w:r>
          </w:p>
          <w:p w14:paraId="423C8B68" w14:textId="77777777" w:rsidR="003240CA" w:rsidRPr="00A839DD" w:rsidRDefault="003240CA" w:rsidP="00722B91">
            <w:pPr>
              <w:spacing w:before="120"/>
              <w:ind w:left="174"/>
            </w:pPr>
            <w:r w:rsidRPr="00A839DD">
              <w:lastRenderedPageBreak/>
              <w:t>La Commission des droits et la CNESST sont liées par une entente de collaboration permettant de coordonner leur intervention respective en cette matière</w:t>
            </w:r>
            <w:r w:rsidRPr="00A839DD">
              <w:rPr>
                <w:rStyle w:val="Appelnotedebasdep"/>
              </w:rPr>
              <w:footnoteReference w:id="159"/>
            </w:r>
            <w:r w:rsidRPr="00A839DD">
              <w:t>.</w:t>
            </w:r>
          </w:p>
          <w:p w14:paraId="177F8B66" w14:textId="76BAE143" w:rsidR="003240CA" w:rsidRPr="00A839DD" w:rsidRDefault="003240CA" w:rsidP="00A72685">
            <w:pPr>
              <w:spacing w:before="120" w:after="120"/>
              <w:ind w:left="174"/>
            </w:pPr>
            <w:r w:rsidRPr="00A839DD">
              <w:t xml:space="preserve">Si une lésion professionnelle découle de la situation de harcèlement dénoncée, la </w:t>
            </w:r>
            <w:r w:rsidRPr="00A839DD">
              <w:rPr>
                <w:i/>
                <w:iCs/>
              </w:rPr>
              <w:t>Loi sur les accidents du travail et les maladies professionnelles</w:t>
            </w:r>
            <w:r w:rsidR="00973A7F">
              <w:rPr>
                <w:i/>
                <w:iCs/>
              </w:rPr>
              <w:t xml:space="preserve"> </w:t>
            </w:r>
            <w:r w:rsidR="00973A7F" w:rsidRPr="00F232C3">
              <w:t>(</w:t>
            </w:r>
            <w:r w:rsidR="00F232C3" w:rsidRPr="00F232C3">
              <w:t>LATMP</w:t>
            </w:r>
            <w:r w:rsidR="000D0943" w:rsidRPr="00F232C3">
              <w:t>)</w:t>
            </w:r>
            <w:r w:rsidRPr="00A839DD">
              <w:rPr>
                <w:i/>
                <w:iCs/>
              </w:rPr>
              <w:t xml:space="preserve"> </w:t>
            </w:r>
            <w:r w:rsidRPr="00A839DD">
              <w:t>prévoit cependant une immunité en faveur de l’employeur et des personnes employées</w:t>
            </w:r>
            <w:r w:rsidRPr="00A839DD">
              <w:rPr>
                <w:rStyle w:val="Appelnotedebasdep"/>
              </w:rPr>
              <w:footnoteReference w:id="160"/>
            </w:r>
            <w:r w:rsidRPr="00A839DD">
              <w:t>. Ainsi, si la CNESST détermine qu’il en a résulté une lésion professionnelle, le régime d’indemnisation sans égard à la faute s’applique. La victime sera indemnisée, mais ne pourra pas porter plainte à la Commission des droits ou exercer de recours devant les tribunaux.</w:t>
            </w:r>
          </w:p>
        </w:tc>
      </w:tr>
    </w:tbl>
    <w:p w14:paraId="483F0347" w14:textId="26BF7374" w:rsidR="00DB1462" w:rsidRPr="00A839DD" w:rsidRDefault="00DB1462" w:rsidP="001D3E83">
      <w:pPr>
        <w:pStyle w:val="Titre3"/>
        <w:rPr>
          <w:noProof w:val="0"/>
        </w:rPr>
      </w:pPr>
      <w:bookmarkStart w:id="86" w:name="_Toc229131269"/>
      <w:r w:rsidRPr="00A839DD">
        <w:rPr>
          <w:noProof w:val="0"/>
        </w:rPr>
        <w:lastRenderedPageBreak/>
        <w:t>Sur qui porte la recherche</w:t>
      </w:r>
      <w:bookmarkEnd w:id="86"/>
    </w:p>
    <w:p w14:paraId="3DFE6B93" w14:textId="3F27167D" w:rsidR="000D55E9" w:rsidRPr="00A839DD" w:rsidRDefault="000D55E9" w:rsidP="00EB5BD0">
      <w:pPr>
        <w:pStyle w:val="Titre4"/>
        <w:numPr>
          <w:ilvl w:val="0"/>
          <w:numId w:val="19"/>
        </w:numPr>
      </w:pPr>
      <w:bookmarkStart w:id="87" w:name="_Toc229131270"/>
      <w:r w:rsidRPr="00A839DD">
        <w:t>La recherche porte sur les personnes alléguant être victimes de discrimination en emploi fondée sur l’orientation sexuelle ou l’identité ou l’expression de genre</w:t>
      </w:r>
      <w:bookmarkEnd w:id="87"/>
    </w:p>
    <w:p w14:paraId="2AD46405" w14:textId="2DFE5AAF" w:rsidR="000D55E9" w:rsidRPr="00A839DD" w:rsidRDefault="000D55E9" w:rsidP="0006339A">
      <w:pPr>
        <w:pStyle w:val="Paragraphe"/>
      </w:pPr>
      <w:r w:rsidRPr="00A839DD">
        <w:t>La formulation de la question n’indique pas expressément que la recherche porte sur les personnes LGBTQ+. Elle laisse ouverte la possibilité que des personnes LGBTQ+, ainsi des personnes hétérosexuelles et cisgenres, aient vécu des expériences qu’elles associent à de la discrimination fondée sur l’orientation sexuelle et l’identité ou expression de genre. La perception selon laquelle une personne, peu importe son identification, appartiendrait à une minorité sexuelle et de genre, notamment en raison de son expression de genre, peut en effet fonder une discrimination. Celle-ci n’a cependant pas nécessairement les mêmes répercussions pour une personne hétérosexuelle et cisgenre que pour une personne appartenant aux minorités sexuelles et de genre. Compte tenu du faible nombre (3) de personnes n’appartenant pas aux minorités sexuelles et de genre ayant porté plainte pour ces motifs, le rapport porte dans les faits sur les personnes LGBTQ+.</w:t>
      </w:r>
    </w:p>
    <w:tbl>
      <w:tblPr>
        <w:tblStyle w:val="Grilledutableau"/>
        <w:tblW w:w="5230" w:type="pct"/>
        <w:jc w:val="center"/>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shd w:val="clear" w:color="auto" w:fill="202C4B"/>
        <w:tblLook w:val="04A0" w:firstRow="1" w:lastRow="0" w:firstColumn="1" w:lastColumn="0" w:noHBand="0" w:noVBand="1"/>
      </w:tblPr>
      <w:tblGrid>
        <w:gridCol w:w="10123"/>
      </w:tblGrid>
      <w:tr w:rsidR="00C82468" w:rsidRPr="00A839DD" w14:paraId="55D30B58" w14:textId="77777777" w:rsidTr="00164333">
        <w:trPr>
          <w:trHeight w:val="1832"/>
          <w:jc w:val="center"/>
        </w:trPr>
        <w:tc>
          <w:tcPr>
            <w:tcW w:w="5000" w:type="pct"/>
            <w:shd w:val="clear" w:color="auto" w:fill="E3ECF9"/>
          </w:tcPr>
          <w:p w14:paraId="1149D33C" w14:textId="77777777" w:rsidR="00C82468" w:rsidRPr="00D124FB" w:rsidRDefault="00C82468" w:rsidP="00A72685">
            <w:pPr>
              <w:spacing w:before="120" w:after="120"/>
              <w:ind w:left="174"/>
              <w:rPr>
                <w:b/>
                <w:bCs/>
              </w:rPr>
            </w:pPr>
            <w:r w:rsidRPr="00D124FB">
              <w:rPr>
                <w:b/>
                <w:bCs/>
              </w:rPr>
              <w:t>Exemples de plaintes de personnes cisgenres et hétérosexuelles</w:t>
            </w:r>
          </w:p>
          <w:p w14:paraId="3891F93A" w14:textId="77777777" w:rsidR="00C82468" w:rsidRPr="00A839DD" w:rsidRDefault="00C82468" w:rsidP="00A72685">
            <w:pPr>
              <w:spacing w:before="120" w:after="120"/>
              <w:ind w:left="174"/>
            </w:pPr>
            <w:r w:rsidRPr="00A839DD">
              <w:t>Une personne cisgenre porte plainte pour discrimination fondée sur l’identité ou l’expression de genre parce qu’un employeur lui a demandé si elle était trans sur la base de son apparence physique.</w:t>
            </w:r>
          </w:p>
          <w:p w14:paraId="631FCB9C" w14:textId="55D8B35F" w:rsidR="00C82468" w:rsidRPr="00A839DD" w:rsidRDefault="00C82468" w:rsidP="00A72685">
            <w:pPr>
              <w:spacing w:before="120" w:after="120"/>
              <w:ind w:left="174"/>
              <w:rPr>
                <w:color w:val="FFFFFF" w:themeColor="background1"/>
              </w:rPr>
            </w:pPr>
            <w:r w:rsidRPr="00A839DD">
              <w:t>Un homme hétérosexuel porte plainte parce qu’il subit du harcèlement discriminatoire sur la base de l’orientation sexuelle parce que ses collègues le perçoivent comme étant gai.</w:t>
            </w:r>
          </w:p>
        </w:tc>
      </w:tr>
    </w:tbl>
    <w:p w14:paraId="3D192633" w14:textId="21DFB3CA" w:rsidR="00C82468" w:rsidRPr="00A839DD" w:rsidRDefault="000D55E9" w:rsidP="00EB5BD0">
      <w:pPr>
        <w:pStyle w:val="Titre4"/>
      </w:pPr>
      <w:bookmarkStart w:id="88" w:name="_Toc229131271"/>
      <w:r w:rsidRPr="00A839DD">
        <w:t>La recherche ne porte pas sur toutes les plaintes pour discrimination en emploi formulées par des personnes LGBTQ+</w:t>
      </w:r>
      <w:bookmarkEnd w:id="88"/>
    </w:p>
    <w:p w14:paraId="40D8B18F" w14:textId="2FDE7C9E" w:rsidR="00CF7223" w:rsidRPr="00A839DD" w:rsidRDefault="00CF7223" w:rsidP="0006339A">
      <w:pPr>
        <w:pStyle w:val="Paragraphe"/>
      </w:pPr>
      <w:r w:rsidRPr="00A839DD">
        <w:t xml:space="preserve">Les données de la Commission ne permettent pas d’identifier toutes les plaintes formulées par des personnes appartenant à des minorités sexuelles et de genre. Or, </w:t>
      </w:r>
      <w:r w:rsidR="0090023D" w:rsidRPr="00A839DD">
        <w:t>celles-ci</w:t>
      </w:r>
      <w:r w:rsidRPr="00A839DD">
        <w:t xml:space="preserve"> sont susceptibles de vivre </w:t>
      </w:r>
      <w:r w:rsidRPr="00A839DD">
        <w:lastRenderedPageBreak/>
        <w:t>des discriminations fondées sur d’autres motifs ou au croisement de plusieurs motifs. Par exemple, la plainte d’une femme noire lesbienne pour discrimination sur la base de la «</w:t>
      </w:r>
      <w:r w:rsidRPr="00A839DD">
        <w:rPr>
          <w:rFonts w:ascii="Arial" w:hAnsi="Arial" w:cs="Arial"/>
        </w:rPr>
        <w:t> </w:t>
      </w:r>
      <w:r w:rsidRPr="00A839DD">
        <w:t>race</w:t>
      </w:r>
      <w:r w:rsidRPr="00A839DD">
        <w:rPr>
          <w:rFonts w:ascii="Arial" w:hAnsi="Arial" w:cs="Arial"/>
        </w:rPr>
        <w:t> </w:t>
      </w:r>
      <w:r w:rsidRPr="00A839DD">
        <w:t>» ne serait pas incluse dans le corpus de plaintes analysées. Elle le serait en revanche si elle avait porté plainte pour discrimination sur la base de l’orientation sexuelle. À partir des données institutionnelles de la Commission, la seule façon de saisir l’expérience des personnes appartenant aux minorités sexuelles et de genre est à travers les deux motifs qui les concernent spécifiquement, quoique pas exclusivement, soit l’orientation sexuelle et l’identité ou l’expression de genre.</w:t>
      </w:r>
    </w:p>
    <w:p w14:paraId="7755868E" w14:textId="48809452" w:rsidR="00931F55" w:rsidRPr="00A839DD" w:rsidRDefault="00A9448D" w:rsidP="001D3E83">
      <w:pPr>
        <w:pStyle w:val="Titre3"/>
        <w:rPr>
          <w:noProof w:val="0"/>
        </w:rPr>
      </w:pPr>
      <w:bookmarkStart w:id="89" w:name="_Toc229131272"/>
      <w:r w:rsidRPr="00A839DD">
        <w:rPr>
          <w:noProof w:val="0"/>
        </w:rPr>
        <w:t>Ce que cette recherche n’est pas</w:t>
      </w:r>
      <w:bookmarkEnd w:id="89"/>
    </w:p>
    <w:p w14:paraId="649636F6" w14:textId="10AAED3A" w:rsidR="00CF7223" w:rsidRPr="00A839DD" w:rsidRDefault="00CF7223" w:rsidP="00EB5BD0">
      <w:pPr>
        <w:pStyle w:val="Titre4"/>
        <w:numPr>
          <w:ilvl w:val="0"/>
          <w:numId w:val="14"/>
        </w:numPr>
      </w:pPr>
      <w:bookmarkStart w:id="90" w:name="_Toc229131273"/>
      <w:r w:rsidRPr="00A839DD">
        <w:t>Ce n’est pas une évaluation de la recevabilité des plaintes ou de la suffisance de la preuve</w:t>
      </w:r>
      <w:bookmarkEnd w:id="90"/>
    </w:p>
    <w:p w14:paraId="429054E0" w14:textId="3C32A80B" w:rsidR="00CF7223" w:rsidRPr="00A839DD" w:rsidRDefault="00CF7223" w:rsidP="0006339A">
      <w:pPr>
        <w:pStyle w:val="Paragraphe"/>
      </w:pPr>
      <w:r w:rsidRPr="00A839DD">
        <w:t>L’analyse de plaintes effectuée dans le cadre de ce projet ne vise pas à évaluer leur recevabilité, c’est-à-dire si la Commission des droits peut les traiter. En effet, il arrive que la Commission n’ait pas la compétence d’agir dans certains cas, par exemple si la situation implique une institution fédérale</w:t>
      </w:r>
      <w:r w:rsidRPr="00A839DD">
        <w:rPr>
          <w:rStyle w:val="Appelnotedebasdep"/>
        </w:rPr>
        <w:footnoteReference w:id="161"/>
      </w:r>
      <w:r w:rsidRPr="00A839DD">
        <w:t>, si elle fait l’objet d’un grief syndical</w:t>
      </w:r>
      <w:r w:rsidRPr="00A839DD">
        <w:rPr>
          <w:rStyle w:val="Appelnotedebasdep"/>
        </w:rPr>
        <w:footnoteReference w:id="162"/>
      </w:r>
      <w:r w:rsidRPr="00A839DD">
        <w:t>, si un autre recours a été exercé pour les mêmes faits</w:t>
      </w:r>
      <w:r w:rsidRPr="00A839DD">
        <w:rPr>
          <w:rStyle w:val="Appelnotedebasdep"/>
        </w:rPr>
        <w:footnoteReference w:id="163"/>
      </w:r>
      <w:r w:rsidRPr="00A839DD">
        <w:t>, si les faits se sont produits il y a plus de deux ans</w:t>
      </w:r>
      <w:r w:rsidRPr="00A839DD">
        <w:rPr>
          <w:rStyle w:val="Appelnotedebasdep"/>
        </w:rPr>
        <w:footnoteReference w:id="164"/>
      </w:r>
      <w:r w:rsidRPr="00A839DD">
        <w:t xml:space="preserve"> ou encore si la personne plaignante n’est pas atteinte personnellement par la situation</w:t>
      </w:r>
      <w:r w:rsidRPr="00A839DD">
        <w:rPr>
          <w:rStyle w:val="Appelnotedebasdep"/>
        </w:rPr>
        <w:footnoteReference w:id="165"/>
      </w:r>
      <w:r w:rsidRPr="00A839DD">
        <w:t>. Certaines plaintes analysées pourraient avoir été refusées ou fermées par la Commission des droits au cours de leur traitement pour ces raisons. La plainte a tout de même pu être incluse dans le corpus analysé si elle rencontrait les critères d’inclusion de la recherche présentés plus bas. Même si elles ne sont pas juridiquement recevables, ces plaintes fournissent malgré tout un éclairage sur les situations qui amène</w:t>
      </w:r>
      <w:r w:rsidR="001B7A65" w:rsidRPr="00A839DD">
        <w:t>nt</w:t>
      </w:r>
      <w:r w:rsidRPr="00A839DD">
        <w:t xml:space="preserve"> des personnes à chercher de l’aide pour les régler.</w:t>
      </w:r>
    </w:p>
    <w:p w14:paraId="5C4C6119" w14:textId="7CBE0ABE" w:rsidR="00CF7223" w:rsidRPr="00A839DD" w:rsidRDefault="00CF7223" w:rsidP="0006339A">
      <w:pPr>
        <w:pStyle w:val="Paragraphe"/>
      </w:pPr>
      <w:r w:rsidRPr="00A839DD">
        <w:t xml:space="preserve">L’analyse des plaintes effectuée ne vise pas non plus à évaluer la suffisance de preuve, c’est-à-dire si la preuve recueillie en cours d’enquête </w:t>
      </w:r>
      <w:r w:rsidR="00182A0C" w:rsidRPr="00A839DD">
        <w:t>est suffisante pour permettre la proposition de mesures de redressement à la partie mise en cause, voire un recours devant le tribunal</w:t>
      </w:r>
      <w:r w:rsidRPr="00A839DD">
        <w:t>. La recherche porte ainsi sur des allégations de discrimination, et non sur des conclusions de discrimination.</w:t>
      </w:r>
    </w:p>
    <w:p w14:paraId="0958AA32" w14:textId="1BE6407C" w:rsidR="00CF7223" w:rsidRPr="00A839DD" w:rsidRDefault="00790690" w:rsidP="00EB5BD0">
      <w:pPr>
        <w:pStyle w:val="Titre4"/>
      </w:pPr>
      <w:bookmarkStart w:id="91" w:name="_Toc229131274"/>
      <w:r w:rsidRPr="00A839DD">
        <w:t>Ce n’est pas une évaluation du traitement des plaintes réalisé par la Commission</w:t>
      </w:r>
      <w:bookmarkEnd w:id="91"/>
    </w:p>
    <w:p w14:paraId="3F4915A8" w14:textId="5B3B5C3B" w:rsidR="00CF7223" w:rsidRPr="00A839DD" w:rsidRDefault="00790690" w:rsidP="0006339A">
      <w:pPr>
        <w:pStyle w:val="Paragraphe"/>
      </w:pPr>
      <w:r w:rsidRPr="00A839DD">
        <w:t>La recherche porte sur le contenu des plaintes, et non sur leur traitement. Ce projet ne vise pas à analyser le parcours de chaque plainte. Il porte plutôt sur la plainte telle que déposée à l’entrée du processus de plainte.</w:t>
      </w:r>
    </w:p>
    <w:p w14:paraId="1EB3093C" w14:textId="4497B7C8" w:rsidR="009079CA" w:rsidRPr="00A839DD" w:rsidRDefault="00CE1383" w:rsidP="00EB5BD0">
      <w:pPr>
        <w:pStyle w:val="Titre4"/>
      </w:pPr>
      <w:bookmarkStart w:id="92" w:name="_Toc229131275"/>
      <w:r w:rsidRPr="00A839DD">
        <w:lastRenderedPageBreak/>
        <w:t>Ce n’est pas une recherche sur la prévalence ou la fréquence de l’homophobie et de la transphobie en emploi au Québec</w:t>
      </w:r>
      <w:bookmarkEnd w:id="92"/>
    </w:p>
    <w:p w14:paraId="60BA623F" w14:textId="489F8EF5" w:rsidR="00CE1383" w:rsidRPr="00A839DD" w:rsidRDefault="00E12F21" w:rsidP="0006339A">
      <w:pPr>
        <w:pStyle w:val="Paragraphe"/>
      </w:pPr>
      <w:r w:rsidRPr="00A839DD">
        <w:t>L’analyse des plaintes est une façon d’appréhender certaines expériences et situations vécues et rapportées comme étant de la discrimination. Cette approche peut néanmoins permettre de saisir des manifestations de différentes formes d’exclusion que subissent les personnes LGBTQ+ et leurs évolutions, sans toutefois prétendre à la représentativité de celles-ci. Combin</w:t>
      </w:r>
      <w:r w:rsidR="00CF75C0" w:rsidRPr="00A839DD">
        <w:t>ée</w:t>
      </w:r>
      <w:r w:rsidRPr="00A839DD">
        <w:t xml:space="preserve"> à d’autres sources documentaires présentées plus haut, cette recherche contribue à alimenter le portrait de la situation des personnes LGBTQ+ en emploi.</w:t>
      </w:r>
    </w:p>
    <w:p w14:paraId="05784EBF" w14:textId="77777777" w:rsidR="00A9448D" w:rsidRPr="00A839DD" w:rsidRDefault="00A9448D" w:rsidP="0006339A">
      <w:pPr>
        <w:pStyle w:val="Paragraphe"/>
        <w:rPr>
          <w:rFonts w:eastAsiaTheme="minorEastAsia"/>
        </w:rPr>
      </w:pPr>
    </w:p>
    <w:p w14:paraId="6A11BBD6" w14:textId="1A2BE3AC" w:rsidR="00A9448D" w:rsidRPr="00A839DD" w:rsidRDefault="0053759C" w:rsidP="00C56A88">
      <w:pPr>
        <w:pStyle w:val="Titre1"/>
        <w:rPr>
          <w:noProof w:val="0"/>
        </w:rPr>
      </w:pPr>
      <w:bookmarkStart w:id="93" w:name="_Toc229131276"/>
      <w:r w:rsidRPr="00A839DD">
        <w:rPr>
          <w:noProof w:val="0"/>
        </w:rPr>
        <w:t>Qu’est-ce qu’une plainte pour discrimination en emploi</w:t>
      </w:r>
      <w:r w:rsidR="00577C83" w:rsidRPr="00A839DD">
        <w:rPr>
          <w:rFonts w:ascii="Arial" w:hAnsi="Arial"/>
          <w:noProof w:val="0"/>
        </w:rPr>
        <w:t> </w:t>
      </w:r>
      <w:r w:rsidRPr="00A839DD">
        <w:rPr>
          <w:noProof w:val="0"/>
        </w:rPr>
        <w:t>?</w:t>
      </w:r>
      <w:bookmarkEnd w:id="93"/>
    </w:p>
    <w:p w14:paraId="08A366C1" w14:textId="77777777" w:rsidR="00A6589F" w:rsidRPr="00A839DD" w:rsidRDefault="00A6589F" w:rsidP="0006339A">
      <w:pPr>
        <w:pStyle w:val="Paragraphe"/>
      </w:pPr>
      <w:r w:rsidRPr="00A839DD">
        <w:t>Avant d’aller plus loin, il est nécessaire de présenter ce qu’est la discrimination, ce qu’est une plainte pour discrimination adressée à la Commission, ainsi que certains éléments du cadre juridique.</w:t>
      </w:r>
    </w:p>
    <w:p w14:paraId="64796650" w14:textId="3879BA76" w:rsidR="00A6589F" w:rsidRPr="00A839DD" w:rsidRDefault="00E330D6" w:rsidP="001D3E83">
      <w:pPr>
        <w:pStyle w:val="Titre2"/>
        <w:rPr>
          <w:noProof w:val="0"/>
        </w:rPr>
      </w:pPr>
      <w:bookmarkStart w:id="94" w:name="_Toc229131277"/>
      <w:r w:rsidRPr="00A839DD">
        <w:rPr>
          <w:noProof w:val="0"/>
        </w:rPr>
        <w:t>La discrimination</w:t>
      </w:r>
      <w:bookmarkEnd w:id="94"/>
    </w:p>
    <w:tbl>
      <w:tblPr>
        <w:tblStyle w:val="Grilledutableau"/>
        <w:tblW w:w="0" w:type="auto"/>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9678"/>
      </w:tblGrid>
      <w:tr w:rsidR="00E330D6" w:rsidRPr="00A839DD" w14:paraId="52D8039C" w14:textId="77777777" w:rsidTr="00164333">
        <w:tc>
          <w:tcPr>
            <w:tcW w:w="9678" w:type="dxa"/>
            <w:shd w:val="clear" w:color="auto" w:fill="E3ECF9"/>
          </w:tcPr>
          <w:p w14:paraId="51343BDA" w14:textId="77777777" w:rsidR="00E330D6" w:rsidRPr="00A839DD" w:rsidRDefault="0056229A" w:rsidP="00A72685">
            <w:pPr>
              <w:spacing w:before="120" w:after="120"/>
              <w:ind w:left="174"/>
              <w:rPr>
                <w:b/>
                <w:bCs/>
                <w:sz w:val="28"/>
                <w:szCs w:val="28"/>
              </w:rPr>
            </w:pPr>
            <w:r w:rsidRPr="00A839DD">
              <w:rPr>
                <w:b/>
                <w:bCs/>
                <w:sz w:val="28"/>
                <w:szCs w:val="28"/>
              </w:rPr>
              <w:t>L’identité ou l’expression de genre</w:t>
            </w:r>
          </w:p>
          <w:p w14:paraId="1E2D81C4" w14:textId="48C71E4D" w:rsidR="0056229A" w:rsidRPr="00A839DD" w:rsidRDefault="00362A37" w:rsidP="00A72685">
            <w:pPr>
              <w:spacing w:before="120" w:after="120"/>
              <w:ind w:left="174"/>
            </w:pPr>
            <w:r w:rsidRPr="00A839DD">
              <w:t>Avant l’ajout du motif «</w:t>
            </w:r>
            <w:r w:rsidR="00DE533D" w:rsidRPr="00A839DD">
              <w:rPr>
                <w:rFonts w:ascii="Arial" w:hAnsi="Arial" w:cs="Arial"/>
              </w:rPr>
              <w:t> </w:t>
            </w:r>
            <w:r w:rsidRPr="00A839DD">
              <w:t>identité ou expression de genre</w:t>
            </w:r>
            <w:r w:rsidR="00DE533D" w:rsidRPr="00A839DD">
              <w:rPr>
                <w:rFonts w:ascii="Arial" w:hAnsi="Arial" w:cs="Arial"/>
              </w:rPr>
              <w:t> </w:t>
            </w:r>
            <w:r w:rsidRPr="00A839DD">
              <w:t>» à la Charte, la discrimination sur la base de la transidentité était reconnue sous les motifs «</w:t>
            </w:r>
            <w:r w:rsidR="00DE533D" w:rsidRPr="00A839DD">
              <w:rPr>
                <w:rFonts w:ascii="Arial" w:hAnsi="Arial" w:cs="Arial"/>
              </w:rPr>
              <w:t> </w:t>
            </w:r>
            <w:r w:rsidRPr="00A839DD">
              <w:t>état civil</w:t>
            </w:r>
            <w:r w:rsidR="00DE533D" w:rsidRPr="00A839DD">
              <w:rPr>
                <w:rFonts w:ascii="Arial" w:hAnsi="Arial" w:cs="Arial"/>
              </w:rPr>
              <w:t> </w:t>
            </w:r>
            <w:r w:rsidRPr="00A839DD">
              <w:t>» (1982)</w:t>
            </w:r>
            <w:r w:rsidRPr="00A839DD">
              <w:rPr>
                <w:rStyle w:val="Appelnotedebasdep"/>
              </w:rPr>
              <w:footnoteReference w:id="166"/>
            </w:r>
            <w:r w:rsidRPr="00A839DD">
              <w:t>, puis «</w:t>
            </w:r>
            <w:r w:rsidR="00DE533D" w:rsidRPr="00A839DD">
              <w:rPr>
                <w:rFonts w:ascii="Arial" w:hAnsi="Arial" w:cs="Arial"/>
              </w:rPr>
              <w:t> </w:t>
            </w:r>
            <w:r w:rsidRPr="00A839DD">
              <w:t>sexe</w:t>
            </w:r>
            <w:r w:rsidR="00DE533D" w:rsidRPr="00A839DD">
              <w:rPr>
                <w:rFonts w:ascii="Arial" w:hAnsi="Arial" w:cs="Arial"/>
              </w:rPr>
              <w:t> </w:t>
            </w:r>
            <w:r w:rsidRPr="00A839DD">
              <w:t>» (1998)</w:t>
            </w:r>
            <w:r w:rsidRPr="00A839DD">
              <w:rPr>
                <w:rStyle w:val="Appelnotedebasdep"/>
              </w:rPr>
              <w:footnoteReference w:id="167"/>
            </w:r>
            <w:r w:rsidRPr="00A839DD">
              <w:t>. Depuis 2016, la Charte offre une protection spécifique aux personnes trans, y compris celles en cours de transition</w:t>
            </w:r>
            <w:r w:rsidRPr="00A839DD">
              <w:rPr>
                <w:rStyle w:val="Appelnotedebasdep"/>
              </w:rPr>
              <w:footnoteReference w:id="168"/>
            </w:r>
            <w:r w:rsidRPr="00A839DD">
              <w:t>, de même qu’aux personnes non binaires</w:t>
            </w:r>
            <w:bookmarkStart w:id="95" w:name="_Ref219291600"/>
            <w:r w:rsidRPr="00A839DD">
              <w:rPr>
                <w:rStyle w:val="Appelnotedebasdep"/>
              </w:rPr>
              <w:footnoteReference w:id="169"/>
            </w:r>
            <w:bookmarkEnd w:id="95"/>
            <w:r w:rsidRPr="00A839DD">
              <w:t>. Le «</w:t>
            </w:r>
            <w:r w:rsidR="00DE533D" w:rsidRPr="00A839DD">
              <w:rPr>
                <w:rFonts w:ascii="Arial" w:hAnsi="Arial" w:cs="Arial"/>
              </w:rPr>
              <w:t> </w:t>
            </w:r>
            <w:r w:rsidRPr="00A839DD">
              <w:t>motif expression de genre</w:t>
            </w:r>
            <w:r w:rsidR="00DE533D" w:rsidRPr="00A839DD">
              <w:rPr>
                <w:rFonts w:ascii="Arial" w:hAnsi="Arial" w:cs="Arial"/>
              </w:rPr>
              <w:t> </w:t>
            </w:r>
            <w:r w:rsidRPr="00A839DD">
              <w:t>» offre par ailleurs une protection assez vaste qui n’est pas nécessairement liée à l’identité de genre. Elle désigne «</w:t>
            </w:r>
            <w:r w:rsidR="00DE533D" w:rsidRPr="00A839DD">
              <w:rPr>
                <w:rFonts w:ascii="Arial" w:hAnsi="Arial" w:cs="Arial"/>
              </w:rPr>
              <w:t> </w:t>
            </w:r>
            <w:r w:rsidRPr="00A839DD">
              <w:t>la façon dont une personne exprime son genre, que ce soit par les codes vestimentaires, l’habillement, les cheveux, la voix, la façon de parler, le langage corporel, le choix d’un prénom, et les pronoms</w:t>
            </w:r>
            <w:r w:rsidR="00DE533D" w:rsidRPr="00A839DD">
              <w:rPr>
                <w:rFonts w:ascii="Arial" w:hAnsi="Arial" w:cs="Arial"/>
              </w:rPr>
              <w:t> </w:t>
            </w:r>
            <w:r w:rsidRPr="00A839DD">
              <w:t>»</w:t>
            </w:r>
            <w:r w:rsidRPr="00A839DD">
              <w:rPr>
                <w:rStyle w:val="Appelnotedebasdep"/>
              </w:rPr>
              <w:footnoteReference w:id="170"/>
            </w:r>
            <w:r w:rsidRPr="00A839DD">
              <w:t>.</w:t>
            </w:r>
          </w:p>
        </w:tc>
      </w:tr>
    </w:tbl>
    <w:p w14:paraId="40E0205B" w14:textId="41BCF7DA" w:rsidR="00A6589F" w:rsidRPr="00A839DD" w:rsidRDefault="00070279" w:rsidP="0006339A">
      <w:pPr>
        <w:pStyle w:val="Paragraphe"/>
      </w:pPr>
      <w:r w:rsidRPr="00A839DD">
        <w:t>Pour qu’il y ait discrimination à première vue, une personne ou un groupe de personnes doit</w:t>
      </w:r>
      <w:r w:rsidR="00577C83" w:rsidRPr="00A839DD">
        <w:t> </w:t>
      </w:r>
      <w:r w:rsidRPr="00A839DD">
        <w:t>:</w:t>
      </w:r>
    </w:p>
    <w:p w14:paraId="0A7126F4" w14:textId="37D04A75" w:rsidR="003C21AD" w:rsidRPr="00A839DD" w:rsidRDefault="003C21AD" w:rsidP="0006339A">
      <w:pPr>
        <w:pStyle w:val="Paragraphe"/>
        <w:numPr>
          <w:ilvl w:val="0"/>
          <w:numId w:val="8"/>
        </w:numPr>
      </w:pPr>
      <w:r w:rsidRPr="00A839DD">
        <w:t>faire l’objet d’une distinction, d’une exclusion ou d’une préférence</w:t>
      </w:r>
      <w:r w:rsidR="0046630A" w:rsidRPr="00A839DD">
        <w:rPr>
          <w:rFonts w:ascii="Arial" w:hAnsi="Arial" w:cs="Arial"/>
        </w:rPr>
        <w:t> </w:t>
      </w:r>
      <w:r w:rsidR="0045691A" w:rsidRPr="00A839DD">
        <w:t>;</w:t>
      </w:r>
    </w:p>
    <w:p w14:paraId="31F007DA" w14:textId="6B635818" w:rsidR="003C21AD" w:rsidRPr="00A839DD" w:rsidRDefault="003C21AD" w:rsidP="0006339A">
      <w:pPr>
        <w:pStyle w:val="Paragraphe"/>
        <w:numPr>
          <w:ilvl w:val="0"/>
          <w:numId w:val="8"/>
        </w:numPr>
      </w:pPr>
      <w:r w:rsidRPr="00A839DD">
        <w:lastRenderedPageBreak/>
        <w:t>fondée sur un ou plusieurs des motifs énumérés à l’art</w:t>
      </w:r>
      <w:r w:rsidR="00AE4484">
        <w:t>icle</w:t>
      </w:r>
      <w:r w:rsidR="009B5E80" w:rsidRPr="00A839DD">
        <w:t> </w:t>
      </w:r>
      <w:r w:rsidRPr="00A839DD">
        <w:t>10 de la Charte</w:t>
      </w:r>
      <w:r w:rsidR="00AA482B">
        <w:t xml:space="preserve">, comme le sexe, l’orientation sexuelle, l’identité ou l’expression de genre, </w:t>
      </w:r>
      <w:r w:rsidR="00A52B8E">
        <w:t>la «</w:t>
      </w:r>
      <w:r w:rsidR="00F21382">
        <w:rPr>
          <w:rFonts w:ascii="Arial" w:hAnsi="Arial" w:cs="Arial"/>
        </w:rPr>
        <w:t> </w:t>
      </w:r>
      <w:r w:rsidR="00A52B8E">
        <w:t>race</w:t>
      </w:r>
      <w:r w:rsidR="00F21382">
        <w:rPr>
          <w:rFonts w:ascii="Arial" w:hAnsi="Arial" w:cs="Arial"/>
        </w:rPr>
        <w:t> </w:t>
      </w:r>
      <w:r w:rsidR="00A52B8E">
        <w:t>»</w:t>
      </w:r>
      <w:r w:rsidR="000D6774">
        <w:t>, le handicap</w:t>
      </w:r>
      <w:r w:rsidR="00221E35">
        <w:t xml:space="preserve"> ou l’utilisation d’un moyen pour le pallier</w:t>
      </w:r>
      <w:r w:rsidR="0046630A" w:rsidRPr="00A839DD">
        <w:rPr>
          <w:rFonts w:ascii="Arial" w:hAnsi="Arial" w:cs="Arial"/>
        </w:rPr>
        <w:t> </w:t>
      </w:r>
      <w:r w:rsidR="0045691A" w:rsidRPr="00A839DD">
        <w:t>;</w:t>
      </w:r>
    </w:p>
    <w:p w14:paraId="0A87C9D6" w14:textId="441FEBD2" w:rsidR="00A9448D" w:rsidRPr="00A839DD" w:rsidRDefault="003C21AD" w:rsidP="0006339A">
      <w:pPr>
        <w:pStyle w:val="Paragraphe"/>
        <w:numPr>
          <w:ilvl w:val="0"/>
          <w:numId w:val="8"/>
        </w:numPr>
      </w:pPr>
      <w:r w:rsidRPr="00A839DD">
        <w:t>qui détruit ou compromet la reconnaissance ou l’exercice en pleine égalité de ses droits et libertés protégés par la Charte.</w:t>
      </w:r>
    </w:p>
    <w:p w14:paraId="76ED291B" w14:textId="19DD65AB" w:rsidR="00D42B50" w:rsidRPr="00A839DD" w:rsidRDefault="00D42B50" w:rsidP="0006339A">
      <w:pPr>
        <w:pStyle w:val="Paragraphe"/>
      </w:pPr>
      <w:r w:rsidRPr="00A839DD">
        <w:t>Il n’est pas nécessaire que les décisions, gestes ou propos reprochés soient uniquement fondés sur un motif interdit pour qu’ils soient considérés discriminatoires. Il suffit de démontrer que le motif a été un facteur contributif</w:t>
      </w:r>
      <w:bookmarkStart w:id="96" w:name="_Ref219299615"/>
      <w:r w:rsidRPr="00A839DD">
        <w:rPr>
          <w:rStyle w:val="Appelnotedebasdep"/>
        </w:rPr>
        <w:footnoteReference w:id="171"/>
      </w:r>
      <w:bookmarkEnd w:id="96"/>
      <w:r w:rsidRPr="00A839DD">
        <w:t xml:space="preserve">. </w:t>
      </w:r>
      <w:r w:rsidR="00027A48" w:rsidRPr="00A839DD">
        <w:t>Comme précisé précédemment, l</w:t>
      </w:r>
      <w:r w:rsidRPr="00A839DD">
        <w:t>’appartenance d’une personne à un groupe visé par un motif interdit peut quant à elle être réelle ou simplement perçue</w:t>
      </w:r>
      <w:r w:rsidRPr="00A839DD">
        <w:rPr>
          <w:rStyle w:val="Appelnotedebasdep"/>
        </w:rPr>
        <w:footnoteReference w:id="172"/>
      </w:r>
      <w:r w:rsidRPr="00A839DD">
        <w:t>. La jurisprudence a même reconnu qu’il n’est pas nécessaire qu’une personne soit homosexuelle, ni qu’elle soit perçue comme telle par la personne mise en cause, pour qu’il y ait harcèlement discriminatoire fondé sur l’orientation sexuelle : c’est l’effet préjudiciable du harcèlement, liant à la personne visée des caractéristiques négatives associées à l’homosexualité, qui sera déterminant</w:t>
      </w:r>
      <w:r w:rsidRPr="00A839DD">
        <w:rPr>
          <w:rStyle w:val="Appelnotedebasdep"/>
        </w:rPr>
        <w:footnoteReference w:id="173"/>
      </w:r>
      <w:r w:rsidRPr="00A839DD">
        <w:t>.</w:t>
      </w:r>
    </w:p>
    <w:p w14:paraId="034EF4FC" w14:textId="77777777" w:rsidR="00D42B50" w:rsidRPr="00A839DD" w:rsidRDefault="00D42B50" w:rsidP="0006339A">
      <w:pPr>
        <w:pStyle w:val="Paragraphe"/>
      </w:pPr>
      <w:r w:rsidRPr="00A839DD">
        <w:t>Pour que la discrimination soit reconnue, les personnes plaignantes n’ont pas à prouver que celle-ci est intentionnelle</w:t>
      </w:r>
      <w:r w:rsidRPr="00A839DD">
        <w:rPr>
          <w:rStyle w:val="Appelnotedebasdep"/>
        </w:rPr>
        <w:footnoteReference w:id="174"/>
      </w:r>
      <w:r w:rsidRPr="00A839DD">
        <w:t>. Ici encore, c’est l’effet de la discrimination qui est déterminant.</w:t>
      </w:r>
    </w:p>
    <w:p w14:paraId="07192AE9" w14:textId="77777777" w:rsidR="00D42B50" w:rsidRPr="00A839DD" w:rsidRDefault="00D42B50" w:rsidP="0006339A">
      <w:pPr>
        <w:pStyle w:val="Paragraphe"/>
      </w:pPr>
      <w:r w:rsidRPr="00A839DD">
        <w:t>La discrimination peut d’ailleurs prendre plusieurs formes :</w:t>
      </w:r>
    </w:p>
    <w:p w14:paraId="366C9248" w14:textId="77777777" w:rsidR="005D10FF" w:rsidRPr="00A839DD" w:rsidRDefault="005D10FF" w:rsidP="005D10FF">
      <w:pPr>
        <w:pStyle w:val="puces0"/>
      </w:pPr>
      <w:r w:rsidRPr="00A839DD">
        <w:t xml:space="preserve">La discrimination est </w:t>
      </w:r>
      <w:r w:rsidRPr="00170BB8">
        <w:rPr>
          <w:b/>
        </w:rPr>
        <w:t>directe</w:t>
      </w:r>
      <w:r w:rsidRPr="00A839DD">
        <w:t xml:space="preserve"> lorsqu’une personne est soumise à un traitement différent fondé sur un motif interdit de façon ouverte et avouée. Par exemple, un employeur qui refuserait d’embaucher une personne en raison de son orientation sexuelle. </w:t>
      </w:r>
    </w:p>
    <w:p w14:paraId="7E34927E" w14:textId="080DD9DF" w:rsidR="005D10FF" w:rsidRPr="00A839DD" w:rsidRDefault="005D10FF" w:rsidP="005D10FF">
      <w:pPr>
        <w:pStyle w:val="puces0"/>
      </w:pPr>
      <w:r w:rsidRPr="00A839DD">
        <w:t xml:space="preserve">La discrimination est </w:t>
      </w:r>
      <w:r w:rsidRPr="00170BB8">
        <w:rPr>
          <w:b/>
        </w:rPr>
        <w:t>indirecte</w:t>
      </w:r>
      <w:r w:rsidRPr="00A839DD">
        <w:t xml:space="preserve"> lorsque la situation discriminatoire découle de l’application uniforme d’une norme, d’une politique, d’une règle ou d’une pratique, neutre à première vue, ayant néanmoins un effet discriminatoire auprès d’un individu ou d’une catégorie d’individus en leur imposant des obligations, des peines ou des conditions restrictives non imposées à autrui</w:t>
      </w:r>
      <w:r w:rsidRPr="00A839DD">
        <w:rPr>
          <w:rStyle w:val="Appelnotedebasdep"/>
        </w:rPr>
        <w:footnoteReference w:id="175"/>
      </w:r>
      <w:r w:rsidRPr="00A839DD">
        <w:t>.</w:t>
      </w:r>
      <w:r w:rsidR="00F93EB4" w:rsidRPr="00A839DD">
        <w:t xml:space="preserve"> </w:t>
      </w:r>
      <w:r w:rsidRPr="00A839DD">
        <w:t>Cette forme est aussi appelée discrimination par effet préjudiciable. Par exemple, offrir l’accès seulement à des toilettes pour hommes ou femmes pourrait s’avérer avoir un effet discriminatoire pour les personnes trans et non binaires.</w:t>
      </w:r>
    </w:p>
    <w:p w14:paraId="41E4F0C5" w14:textId="2BBC4530" w:rsidR="005D10FF" w:rsidRPr="00A839DD" w:rsidRDefault="005D10FF" w:rsidP="005D10FF">
      <w:pPr>
        <w:pStyle w:val="puces0"/>
      </w:pPr>
      <w:r w:rsidRPr="00A839DD">
        <w:t xml:space="preserve">Qu’elle soit directe ou indirecte, la discrimination peut aussi être </w:t>
      </w:r>
      <w:r w:rsidRPr="00170BB8">
        <w:rPr>
          <w:b/>
        </w:rPr>
        <w:t>systémique</w:t>
      </w:r>
      <w:r w:rsidRPr="00A839DD">
        <w:t>. Elle se comprend comme «</w:t>
      </w:r>
      <w:r w:rsidR="00DE533D" w:rsidRPr="00A839DD">
        <w:rPr>
          <w:rFonts w:ascii="Arial" w:hAnsi="Arial" w:cs="Arial"/>
        </w:rPr>
        <w:t> </w:t>
      </w:r>
      <w:r w:rsidRPr="00A839DD">
        <w:t xml:space="preserve">la somme d’effets d’exclusion disproportionnés qui résultent de l’effet </w:t>
      </w:r>
      <w:r w:rsidRPr="00A839DD">
        <w:lastRenderedPageBreak/>
        <w:t>conjugué d’attitudes empreintes de préjugés et de stéréotypes, souvent inconscients, et de politiques et pratiques généralement adoptées sans tenir compte des caractéristiques des membres de groupes visés par l’interdiction de la discrimination</w:t>
      </w:r>
      <w:r w:rsidRPr="00A839DD">
        <w:rPr>
          <w:rStyle w:val="Appelnotedebasdep"/>
        </w:rPr>
        <w:footnoteReference w:id="176"/>
      </w:r>
      <w:r w:rsidRPr="00A839DD">
        <w:t>.</w:t>
      </w:r>
      <w:r w:rsidR="00DE533D" w:rsidRPr="00A839DD">
        <w:rPr>
          <w:rFonts w:ascii="Arial" w:hAnsi="Arial" w:cs="Arial"/>
        </w:rPr>
        <w:t> </w:t>
      </w:r>
      <w:r w:rsidRPr="00A839DD">
        <w:t>» Concrètement, cela pourrait se traduire par des perspectives d’embauche et d’avancement professionnel disproportionnellement désavantageuses pour un groupe, par exemple les personnes trans.</w:t>
      </w:r>
    </w:p>
    <w:p w14:paraId="615FF198" w14:textId="24B54EF4" w:rsidR="00931F55" w:rsidRPr="00A839DD" w:rsidRDefault="00987F2F" w:rsidP="0006339A">
      <w:pPr>
        <w:pStyle w:val="Paragraphe"/>
      </w:pPr>
      <w:r w:rsidRPr="00A839DD">
        <w:t>La Charte interdit spécifiquement la discrimination dans les différents aspects du travail, notamment</w:t>
      </w:r>
      <w:r w:rsidR="00577C83" w:rsidRPr="00A839DD">
        <w:t> </w:t>
      </w:r>
      <w:r w:rsidRPr="00A839DD">
        <w:t>:</w:t>
      </w:r>
    </w:p>
    <w:p w14:paraId="6C4FD433" w14:textId="5A7C1ED5" w:rsidR="00B11D50" w:rsidRPr="00A839DD" w:rsidRDefault="00B11D50" w:rsidP="00B11D50">
      <w:pPr>
        <w:pStyle w:val="puces0"/>
      </w:pPr>
      <w:proofErr w:type="gramStart"/>
      <w:r w:rsidRPr="00A839DD">
        <w:t>l’embauche</w:t>
      </w:r>
      <w:proofErr w:type="gramEnd"/>
      <w:r w:rsidRPr="00A839DD">
        <w:t>, l’apprentissage, la durée de la période de probation, la formation professionnelle, la promotion, la mutation, le déplacement, la mise à pied, la suspension, le renvoi ou les conditions de travail d’une personne ainsi que dans l’établissement de catégories ou de classifications d’emploi (art.</w:t>
      </w:r>
      <w:r w:rsidR="009B5E80" w:rsidRPr="00A839DD">
        <w:t> </w:t>
      </w:r>
      <w:r w:rsidRPr="00A839DD">
        <w:t>16)</w:t>
      </w:r>
      <w:bookmarkStart w:id="97" w:name="_Ref219299826"/>
      <w:r w:rsidRPr="00A839DD">
        <w:rPr>
          <w:rStyle w:val="Appelnotedebasdep"/>
        </w:rPr>
        <w:footnoteReference w:id="177"/>
      </w:r>
      <w:bookmarkEnd w:id="97"/>
    </w:p>
    <w:p w14:paraId="4D8C9CE4" w14:textId="77777777" w:rsidR="00B11D50" w:rsidRPr="00A839DD" w:rsidRDefault="00B11D50" w:rsidP="00B11D50">
      <w:pPr>
        <w:pStyle w:val="puces0"/>
      </w:pPr>
      <w:proofErr w:type="gramStart"/>
      <w:r w:rsidRPr="00A839DD">
        <w:t>l’admission</w:t>
      </w:r>
      <w:proofErr w:type="gramEnd"/>
      <w:r w:rsidRPr="00A839DD">
        <w:t>, la jouissance d’avantages, la suspension ou l’expulsion d’une personne d’une association d’employeurs ou de salariés ou de tout ordre professionnel ou association de personnes exerçant une même occupation (art. 17)</w:t>
      </w:r>
    </w:p>
    <w:p w14:paraId="266BB41E" w14:textId="3EBE17F0" w:rsidR="00B11D50" w:rsidRPr="00A839DD" w:rsidRDefault="00B11D50" w:rsidP="00B11D50">
      <w:pPr>
        <w:pStyle w:val="puces0"/>
      </w:pPr>
      <w:proofErr w:type="gramStart"/>
      <w:r w:rsidRPr="00A839DD">
        <w:t>la</w:t>
      </w:r>
      <w:proofErr w:type="gramEnd"/>
      <w:r w:rsidRPr="00A839DD">
        <w:t xml:space="preserve"> réception, la classification ou le traitement d’une demande d’emploi </w:t>
      </w:r>
      <w:r w:rsidR="00E60F21" w:rsidRPr="00A839DD">
        <w:t xml:space="preserve">par un bureau de placement </w:t>
      </w:r>
      <w:r w:rsidRPr="00A839DD">
        <w:t>ou dans un acte visant à soumettre une demande à un employeur éventuel (art.</w:t>
      </w:r>
      <w:r w:rsidR="009B5E80" w:rsidRPr="00A839DD">
        <w:t> </w:t>
      </w:r>
      <w:r w:rsidRPr="00A839DD">
        <w:t>18)</w:t>
      </w:r>
    </w:p>
    <w:p w14:paraId="03AD6EE5" w14:textId="44A8FA16" w:rsidR="00796B99" w:rsidRPr="00A839DD" w:rsidRDefault="00C00EB2" w:rsidP="0006339A">
      <w:pPr>
        <w:pStyle w:val="Paragraphe"/>
      </w:pPr>
      <w:r w:rsidRPr="00A839DD">
        <w:t>Il est aussi interdit, dans un formulaire de demande d’emploi ou lors d’une entrevue relative à un emploi, de requérir d’une personne des renseignements sur les motifs visés dans l’article</w:t>
      </w:r>
      <w:r w:rsidR="009B5E80" w:rsidRPr="00A839DD">
        <w:t> </w:t>
      </w:r>
      <w:r w:rsidRPr="00A839DD">
        <w:t>10 sauf si leur collecte est justifiée par d’autres considérations prévues par la Charte (art.</w:t>
      </w:r>
      <w:r w:rsidR="009B5E80" w:rsidRPr="00A839DD">
        <w:t> </w:t>
      </w:r>
      <w:r w:rsidRPr="00A839DD">
        <w:t>18.1), soit</w:t>
      </w:r>
      <w:r w:rsidR="00577C83" w:rsidRPr="00A839DD">
        <w:t> </w:t>
      </w:r>
      <w:r w:rsidRPr="00A839DD">
        <w:t>:</w:t>
      </w:r>
    </w:p>
    <w:p w14:paraId="032DD53B" w14:textId="562E7967" w:rsidR="00ED4ED8" w:rsidRPr="00A839DD" w:rsidRDefault="00ED4ED8" w:rsidP="00ED4ED8">
      <w:pPr>
        <w:pStyle w:val="puces0"/>
      </w:pPr>
      <w:proofErr w:type="gramStart"/>
      <w:r w:rsidRPr="00A839DD">
        <w:t>les</w:t>
      </w:r>
      <w:proofErr w:type="gramEnd"/>
      <w:r w:rsidRPr="00A839DD">
        <w:t xml:space="preserve"> aptitudes ou qualités requises par l’emploi (art.</w:t>
      </w:r>
      <w:r w:rsidR="009B5E80" w:rsidRPr="00A839DD">
        <w:t> </w:t>
      </w:r>
      <w:r w:rsidRPr="00A839DD">
        <w:t>20)</w:t>
      </w:r>
      <w:r w:rsidRPr="00A839DD">
        <w:rPr>
          <w:rStyle w:val="Appelnotedebasdep"/>
        </w:rPr>
        <w:footnoteReference w:id="178"/>
      </w:r>
      <w:r w:rsidR="00F97721">
        <w:t xml:space="preserve"> </w:t>
      </w:r>
    </w:p>
    <w:p w14:paraId="1059DD00" w14:textId="5AA5F499" w:rsidR="00ED4ED8" w:rsidRPr="00A839DD" w:rsidRDefault="00D25082" w:rsidP="00ED4ED8">
      <w:pPr>
        <w:pStyle w:val="puces0"/>
      </w:pPr>
      <w:proofErr w:type="gramStart"/>
      <w:r>
        <w:t>et</w:t>
      </w:r>
      <w:proofErr w:type="gramEnd"/>
      <w:r>
        <w:t xml:space="preserve"> </w:t>
      </w:r>
      <w:r w:rsidR="00ED4ED8" w:rsidRPr="00A839DD">
        <w:t>le caractère charitable, philanthropique, religieux, politique ou éducatif d’une institution sans but lucratif ou qui est vouée exclusivement au bien-être d’un groupe ethnique (art.</w:t>
      </w:r>
      <w:r w:rsidR="009B5E80" w:rsidRPr="00A839DD">
        <w:t> </w:t>
      </w:r>
      <w:r w:rsidR="00ED4ED8" w:rsidRPr="00A839DD">
        <w:t>20)</w:t>
      </w:r>
      <w:r w:rsidR="00F97721">
        <w:t xml:space="preserve"> </w:t>
      </w:r>
    </w:p>
    <w:p w14:paraId="6280150E" w14:textId="6A7D9F32" w:rsidR="00ED4ED8" w:rsidRPr="00A839DD" w:rsidRDefault="00ED4ED8" w:rsidP="00ED4ED8">
      <w:pPr>
        <w:pStyle w:val="puces0"/>
      </w:pPr>
      <w:proofErr w:type="gramStart"/>
      <w:r w:rsidRPr="00A839DD">
        <w:t>la</w:t>
      </w:r>
      <w:proofErr w:type="gramEnd"/>
      <w:r w:rsidRPr="00A839DD">
        <w:t xml:space="preserve"> mise en œuvre d’un programme d’accès à l’égalité en emploi (art.</w:t>
      </w:r>
      <w:r w:rsidR="009B5E80" w:rsidRPr="00A839DD">
        <w:t> </w:t>
      </w:r>
      <w:r w:rsidRPr="00A839DD">
        <w:t xml:space="preserve">86 et </w:t>
      </w:r>
      <w:proofErr w:type="spellStart"/>
      <w:r w:rsidRPr="00A839DD">
        <w:t>suiv</w:t>
      </w:r>
      <w:proofErr w:type="spellEnd"/>
      <w:r w:rsidRPr="00A839DD">
        <w:t>.)</w:t>
      </w:r>
    </w:p>
    <w:p w14:paraId="4CE1B103" w14:textId="1516D149" w:rsidR="005835AB" w:rsidRPr="00A839DD" w:rsidRDefault="005835AB" w:rsidP="0006339A">
      <w:pPr>
        <w:pStyle w:val="Paragraphe"/>
      </w:pPr>
      <w:r w:rsidRPr="00A839DD">
        <w:lastRenderedPageBreak/>
        <w:t>Un employeur doit aussi accorder, sans discrimination, un traitement ou un salaire égal aux membres de son personnel qui accomplissent un travail équivalent au même endroit, sauf exception</w:t>
      </w:r>
      <w:r w:rsidR="002368B3">
        <w:t>s</w:t>
      </w:r>
      <w:r w:rsidRPr="00A839DD">
        <w:t xml:space="preserve"> relatives à l’ancienneté ou à la productivité, par exemple (art. 19).</w:t>
      </w:r>
    </w:p>
    <w:p w14:paraId="0950A82B" w14:textId="77777777" w:rsidR="005835AB" w:rsidRPr="00A839DD" w:rsidRDefault="005835AB" w:rsidP="0006339A">
      <w:pPr>
        <w:pStyle w:val="Paragraphe"/>
      </w:pPr>
      <w:r w:rsidRPr="00A839DD">
        <w:t xml:space="preserve">Il peut aussi y avoir une atteinte discriminatoire à la reconnaissance ou à l’exercice des droits fondamentaux, comme : </w:t>
      </w:r>
    </w:p>
    <w:p w14:paraId="7230124D" w14:textId="0F804761" w:rsidR="00A822E4" w:rsidRPr="00A839DD" w:rsidRDefault="00A822E4" w:rsidP="00A822E4">
      <w:pPr>
        <w:pStyle w:val="puces0"/>
      </w:pPr>
      <w:proofErr w:type="gramStart"/>
      <w:r w:rsidRPr="00A839DD">
        <w:t>le</w:t>
      </w:r>
      <w:proofErr w:type="gramEnd"/>
      <w:r w:rsidRPr="00A839DD">
        <w:t xml:space="preserve"> droit à la sûreté, à l’intégrité et à la liberté de sa personne (art.</w:t>
      </w:r>
      <w:r w:rsidR="009B5E80" w:rsidRPr="00A839DD">
        <w:t> </w:t>
      </w:r>
      <w:r w:rsidRPr="00A839DD">
        <w:t>1)</w:t>
      </w:r>
    </w:p>
    <w:p w14:paraId="393AF861" w14:textId="5A0912C7" w:rsidR="00A822E4" w:rsidRPr="00A839DD" w:rsidRDefault="00A822E4" w:rsidP="00A822E4">
      <w:pPr>
        <w:pStyle w:val="puces0"/>
      </w:pPr>
      <w:proofErr w:type="gramStart"/>
      <w:r w:rsidRPr="00A839DD">
        <w:t>la</w:t>
      </w:r>
      <w:proofErr w:type="gramEnd"/>
      <w:r w:rsidRPr="00A839DD">
        <w:t xml:space="preserve"> liberté d’expression (art.</w:t>
      </w:r>
      <w:r w:rsidR="009B5E80" w:rsidRPr="00A839DD">
        <w:t> </w:t>
      </w:r>
      <w:r w:rsidRPr="00A839DD">
        <w:t>3)</w:t>
      </w:r>
    </w:p>
    <w:p w14:paraId="2DB1E5B8" w14:textId="30904C3E" w:rsidR="00E05A70" w:rsidRPr="00A839DD" w:rsidRDefault="00E05A70" w:rsidP="00A822E4">
      <w:pPr>
        <w:pStyle w:val="puces0"/>
      </w:pPr>
      <w:proofErr w:type="gramStart"/>
      <w:r w:rsidRPr="00A839DD">
        <w:t>la</w:t>
      </w:r>
      <w:proofErr w:type="gramEnd"/>
      <w:r w:rsidRPr="00A839DD">
        <w:t xml:space="preserve"> liberté d’association (art.</w:t>
      </w:r>
      <w:r w:rsidR="00291541">
        <w:t> </w:t>
      </w:r>
      <w:r w:rsidRPr="00A839DD">
        <w:t>3)</w:t>
      </w:r>
    </w:p>
    <w:p w14:paraId="26576400" w14:textId="22D68D41" w:rsidR="00A822E4" w:rsidRPr="00A839DD" w:rsidRDefault="00A822E4" w:rsidP="00A822E4">
      <w:pPr>
        <w:pStyle w:val="puces0"/>
      </w:pPr>
      <w:proofErr w:type="gramStart"/>
      <w:r w:rsidRPr="00A839DD">
        <w:t>le</w:t>
      </w:r>
      <w:proofErr w:type="gramEnd"/>
      <w:r w:rsidRPr="00A839DD">
        <w:t xml:space="preserve"> droit à la sauvegarde de sa dignité</w:t>
      </w:r>
      <w:r w:rsidRPr="00A839DD">
        <w:rPr>
          <w:rStyle w:val="Appelnotedebasdep"/>
        </w:rPr>
        <w:footnoteReference w:id="179"/>
      </w:r>
      <w:r w:rsidRPr="00A839DD">
        <w:t>, de son honneur et de sa réputation (art.</w:t>
      </w:r>
      <w:r w:rsidR="009B5E80" w:rsidRPr="00A839DD">
        <w:t> </w:t>
      </w:r>
      <w:r w:rsidRPr="00A839DD">
        <w:t>4)</w:t>
      </w:r>
    </w:p>
    <w:p w14:paraId="01A427C6" w14:textId="3EDDB43D" w:rsidR="00A822E4" w:rsidRPr="00A839DD" w:rsidRDefault="00A822E4" w:rsidP="00A822E4">
      <w:pPr>
        <w:pStyle w:val="puces0"/>
      </w:pPr>
      <w:proofErr w:type="gramStart"/>
      <w:r w:rsidRPr="00A839DD">
        <w:t>le</w:t>
      </w:r>
      <w:proofErr w:type="gramEnd"/>
      <w:r w:rsidRPr="00A839DD">
        <w:t xml:space="preserve"> droit au respect de sa vie privée (art.</w:t>
      </w:r>
      <w:r w:rsidR="009B5E80" w:rsidRPr="00A839DD">
        <w:t> </w:t>
      </w:r>
      <w:r w:rsidRPr="00A839DD">
        <w:t>5)</w:t>
      </w:r>
      <w:r w:rsidRPr="00A839DD">
        <w:rPr>
          <w:rStyle w:val="Appelnotedebasdep"/>
        </w:rPr>
        <w:footnoteReference w:id="180"/>
      </w:r>
    </w:p>
    <w:p w14:paraId="265B8A13" w14:textId="4D41170D" w:rsidR="00620C92" w:rsidRPr="00A839DD" w:rsidRDefault="00620C92" w:rsidP="0006339A">
      <w:pPr>
        <w:pStyle w:val="Paragraphe"/>
      </w:pPr>
      <w:r w:rsidRPr="00A839DD">
        <w:t>L’atteinte discriminatoire peut aussi concerner les droits économiques et sociaux, par exemple le droit à des conditions de travail justes et raisonnables et qui respecte sa santé, sa sécurité et son intégrité physique (art.</w:t>
      </w:r>
      <w:r w:rsidR="009B5E80" w:rsidRPr="00A839DD">
        <w:t> </w:t>
      </w:r>
      <w:r w:rsidRPr="00A839DD">
        <w:t>46). Il a par exemple été reconnu par les tribunaux que le harcèlement sexuel au travail peut constituer une atteinte discriminatoire à ce droit sur la base du sexe</w:t>
      </w:r>
      <w:r w:rsidRPr="00A839DD">
        <w:rPr>
          <w:rStyle w:val="Appelnotedebasdep"/>
        </w:rPr>
        <w:footnoteReference w:id="181"/>
      </w:r>
      <w:r w:rsidRPr="00A839DD">
        <w:t>.</w:t>
      </w:r>
    </w:p>
    <w:p w14:paraId="20CCC515" w14:textId="2DDAF738" w:rsidR="00620C92" w:rsidRPr="00A839DD" w:rsidRDefault="00620C92" w:rsidP="0006339A">
      <w:pPr>
        <w:pStyle w:val="Paragraphe"/>
      </w:pPr>
      <w:r w:rsidRPr="00A839DD">
        <w:t>Les droits et libertés garantis par la Charte ne sont cependant pas absolus. Celle-ci prévoit les mécanismes permettant d’aménager l’exercice de ces droits ou de les concilier avec les droits d’autrui lorsque nécessaire, dont l’accommodement raisonnable</w:t>
      </w:r>
      <w:r w:rsidR="00313A9E" w:rsidRPr="00A839DD">
        <w:t>, l’exigence professionnelle justifiée</w:t>
      </w:r>
      <w:r w:rsidRPr="00A839DD">
        <w:t xml:space="preserve"> et la conciliation des droits</w:t>
      </w:r>
      <w:r w:rsidRPr="00A839DD">
        <w:rPr>
          <w:rStyle w:val="Appelnotedebasdep"/>
        </w:rPr>
        <w:footnoteReference w:id="182"/>
      </w:r>
      <w:r w:rsidRPr="00A839DD">
        <w:t>.</w:t>
      </w:r>
    </w:p>
    <w:p w14:paraId="051E3050" w14:textId="74195BBA" w:rsidR="00A822E4" w:rsidRPr="00A839DD" w:rsidRDefault="00EE7572" w:rsidP="001D3E83">
      <w:pPr>
        <w:pStyle w:val="Titre2"/>
        <w:rPr>
          <w:noProof w:val="0"/>
        </w:rPr>
      </w:pPr>
      <w:bookmarkStart w:id="98" w:name="_Toc229131278"/>
      <w:r w:rsidRPr="00A839DD">
        <w:rPr>
          <w:noProof w:val="0"/>
        </w:rPr>
        <w:t>Le harcèlement discriminatoire</w:t>
      </w:r>
      <w:bookmarkEnd w:id="98"/>
    </w:p>
    <w:p w14:paraId="339113E4" w14:textId="7D1FEF46" w:rsidR="00F83201" w:rsidRPr="00A839DD" w:rsidRDefault="00F83201" w:rsidP="0006339A">
      <w:pPr>
        <w:pStyle w:val="Paragraphe"/>
      </w:pPr>
      <w:r w:rsidRPr="00A839DD">
        <w:t>La Charte interdit aussi le harcèlement discriminatoire sur la base des motifs prohibés (art.</w:t>
      </w:r>
      <w:r w:rsidR="009B5E80" w:rsidRPr="00A839DD">
        <w:t> </w:t>
      </w:r>
      <w:r w:rsidRPr="00A839DD">
        <w:t>10.1).</w:t>
      </w:r>
    </w:p>
    <w:p w14:paraId="5FB4EBE4" w14:textId="77777777" w:rsidR="00F83201" w:rsidRPr="00A839DD" w:rsidRDefault="00F83201" w:rsidP="0006339A">
      <w:pPr>
        <w:pStyle w:val="Paragraphe"/>
      </w:pPr>
      <w:r w:rsidRPr="00A839DD">
        <w:t>Une personne qui allègue avoir été victime de harcèlement discriminatoire doit prouver :</w:t>
      </w:r>
    </w:p>
    <w:p w14:paraId="76D5989B" w14:textId="77777777" w:rsidR="00927742" w:rsidRPr="00A839DD" w:rsidRDefault="00927742" w:rsidP="0006339A">
      <w:pPr>
        <w:pStyle w:val="Paragraphe"/>
        <w:numPr>
          <w:ilvl w:val="0"/>
          <w:numId w:val="9"/>
        </w:numPr>
      </w:pPr>
      <w:r w:rsidRPr="00A839DD">
        <w:t xml:space="preserve">qu’elle a subi une conduite vexatoire et non désirée, </w:t>
      </w:r>
    </w:p>
    <w:p w14:paraId="7B4C5DD4" w14:textId="77777777" w:rsidR="00927742" w:rsidRPr="00A839DD" w:rsidRDefault="00927742" w:rsidP="0006339A">
      <w:pPr>
        <w:pStyle w:val="Paragraphe"/>
        <w:numPr>
          <w:ilvl w:val="0"/>
          <w:numId w:val="9"/>
        </w:numPr>
      </w:pPr>
      <w:r w:rsidRPr="00A839DD">
        <w:t>un lien entre celle-ci et l’un ou plusieurs des motifs interdits de discrimination,</w:t>
      </w:r>
    </w:p>
    <w:p w14:paraId="3BB88108" w14:textId="77777777" w:rsidR="00927742" w:rsidRPr="00A839DD" w:rsidRDefault="00927742" w:rsidP="0006339A">
      <w:pPr>
        <w:pStyle w:val="Paragraphe"/>
        <w:numPr>
          <w:ilvl w:val="0"/>
          <w:numId w:val="9"/>
        </w:numPr>
      </w:pPr>
      <w:r w:rsidRPr="00A839DD">
        <w:lastRenderedPageBreak/>
        <w:t>et un effet négatif durable</w:t>
      </w:r>
      <w:r w:rsidRPr="00A839DD">
        <w:rPr>
          <w:rStyle w:val="Appelnotedebasdep"/>
        </w:rPr>
        <w:footnoteReference w:id="183"/>
      </w:r>
      <w:r w:rsidRPr="00A839DD">
        <w:t>.</w:t>
      </w:r>
    </w:p>
    <w:p w14:paraId="1A69BBEB" w14:textId="77777777" w:rsidR="0029538A" w:rsidRPr="00A839DD" w:rsidRDefault="0029538A" w:rsidP="0006339A">
      <w:pPr>
        <w:pStyle w:val="Paragraphe"/>
      </w:pPr>
      <w:r w:rsidRPr="00A839DD">
        <w:t>Comme l’explique le tribunal, le caractère durable de la conduite vexatoire pourra découler soit de la répétition des paroles, gestes ou comportements reprochés, soit de la gravité intrinsèque et de l’impact continu dans le temps d’un seul comportement</w:t>
      </w:r>
      <w:r w:rsidRPr="00A839DD">
        <w:rPr>
          <w:rStyle w:val="Appelnotedebasdep"/>
        </w:rPr>
        <w:footnoteReference w:id="184"/>
      </w:r>
      <w:r w:rsidRPr="00A839DD">
        <w:t>.</w:t>
      </w:r>
    </w:p>
    <w:p w14:paraId="655AF62B" w14:textId="7403CCDB" w:rsidR="0029538A" w:rsidRPr="00A839DD" w:rsidRDefault="0029538A" w:rsidP="0006339A">
      <w:pPr>
        <w:pStyle w:val="Paragraphe"/>
      </w:pPr>
      <w:r w:rsidRPr="00A839DD">
        <w:t xml:space="preserve">Compte tenu de la position de subordination économique ou professionnelle créée par le lien d’emploi, le critère de répétition </w:t>
      </w:r>
      <w:r w:rsidR="00EA157D" w:rsidRPr="00A839DD">
        <w:t>«</w:t>
      </w:r>
      <w:r w:rsidR="00F21382">
        <w:rPr>
          <w:rFonts w:ascii="Arial" w:hAnsi="Arial" w:cs="Arial"/>
        </w:rPr>
        <w:t> </w:t>
      </w:r>
      <w:r w:rsidRPr="00A839DD">
        <w:t>cède le pas à celui de l’effet défavorable, profond et prolongé</w:t>
      </w:r>
      <w:r w:rsidR="00F21382">
        <w:rPr>
          <w:rFonts w:ascii="Arial" w:hAnsi="Arial" w:cs="Arial"/>
        </w:rPr>
        <w:t> </w:t>
      </w:r>
      <w:r w:rsidR="00EA157D" w:rsidRPr="00A839DD">
        <w:t>»</w:t>
      </w:r>
      <w:r w:rsidRPr="00A839DD">
        <w:rPr>
          <w:rStyle w:val="Appelnotedebasdep"/>
        </w:rPr>
        <w:footnoteReference w:id="185"/>
      </w:r>
      <w:r w:rsidRPr="00A839DD">
        <w:t>. Un acte sera considéré comme grave s’il entraîne un effet nocif et continu sur la personne qui le subit</w:t>
      </w:r>
      <w:r w:rsidRPr="00A839DD">
        <w:rPr>
          <w:vertAlign w:val="superscript"/>
        </w:rPr>
        <w:footnoteReference w:id="186"/>
      </w:r>
      <w:r w:rsidRPr="00A839DD">
        <w:t>.</w:t>
      </w:r>
    </w:p>
    <w:p w14:paraId="6DA2BA9E" w14:textId="4A404986" w:rsidR="0029538A" w:rsidRPr="00A839DD" w:rsidRDefault="0029538A" w:rsidP="0006339A">
      <w:pPr>
        <w:pStyle w:val="Paragraphe"/>
      </w:pPr>
      <w:r w:rsidRPr="00A839DD">
        <w:t xml:space="preserve">En milieu de travail, </w:t>
      </w:r>
      <w:r w:rsidR="00E03C56" w:rsidRPr="00A839DD">
        <w:t xml:space="preserve">le harcèlement </w:t>
      </w:r>
      <w:r w:rsidR="00740B93" w:rsidRPr="00A839DD">
        <w:t xml:space="preserve">discriminatoire </w:t>
      </w:r>
      <w:r w:rsidR="00E03C56" w:rsidRPr="00A839DD">
        <w:t xml:space="preserve">se caractérise comme étant un </w:t>
      </w:r>
      <w:r w:rsidRPr="00A839DD">
        <w:t>abus de pouvoir exercé à l’encontre d’une personne, du seul fait qu’elle a des caractéristiques associées à l’un des motifs interdits</w:t>
      </w:r>
      <w:r w:rsidRPr="00A839DD">
        <w:rPr>
          <w:rStyle w:val="Appelnotedebasdep"/>
        </w:rPr>
        <w:footnoteReference w:id="187"/>
      </w:r>
      <w:r w:rsidRPr="00A839DD">
        <w:t>. Lorsqu’il se produit en emploi, la gravité du harcèlement peut être accentuée compte tenu de l’importance du travail dans la vie d’une personne</w:t>
      </w:r>
      <w:r w:rsidRPr="00A839DD">
        <w:rPr>
          <w:rStyle w:val="Appelnotedebasdep"/>
        </w:rPr>
        <w:footnoteReference w:id="188"/>
      </w:r>
      <w:r w:rsidR="00CE203F" w:rsidRPr="00A839DD">
        <w:t>.</w:t>
      </w:r>
    </w:p>
    <w:p w14:paraId="16DE27ED" w14:textId="12337985" w:rsidR="0029538A" w:rsidRPr="00A839DD" w:rsidRDefault="0029538A" w:rsidP="0006339A">
      <w:pPr>
        <w:pStyle w:val="Paragraphe"/>
      </w:pPr>
      <w:r w:rsidRPr="00A839DD">
        <w:t>Le harcèlement sexuel est une forme de harcèlement discriminatoire fondé sur le sexe</w:t>
      </w:r>
      <w:r w:rsidRPr="00A839DD">
        <w:rPr>
          <w:rStyle w:val="Appelnotedebasdep"/>
        </w:rPr>
        <w:footnoteReference w:id="189"/>
      </w:r>
      <w:r w:rsidRPr="00A839DD">
        <w:t>. Il est défini comme incluant toute conduite de nature sexuelle, non sollicitée, et ayant un effet défavorable sur le milieu de travail ou des conséquences préjudiciables pour les personnes qui en sont victime</w:t>
      </w:r>
      <w:r w:rsidR="00F57AE4">
        <w:t>s</w:t>
      </w:r>
      <w:r w:rsidRPr="00A839DD">
        <w:rPr>
          <w:rStyle w:val="Appelnotedebasdep"/>
        </w:rPr>
        <w:footnoteReference w:id="190"/>
      </w:r>
      <w:r w:rsidRPr="00A839DD">
        <w:t>.</w:t>
      </w:r>
    </w:p>
    <w:p w14:paraId="63AE718F" w14:textId="77777777" w:rsidR="0029538A" w:rsidRPr="00A839DD" w:rsidRDefault="0029538A" w:rsidP="0006339A">
      <w:pPr>
        <w:pStyle w:val="Paragraphe"/>
      </w:pPr>
      <w:r w:rsidRPr="00A839DD">
        <w:t>Toujours en contexte de travail, la responsabilité de l’employeur est incontournable</w:t>
      </w:r>
      <w:r w:rsidRPr="00A839DD">
        <w:rPr>
          <w:rStyle w:val="Appelnotedebasdep"/>
        </w:rPr>
        <w:footnoteReference w:id="191"/>
      </w:r>
      <w:r w:rsidRPr="00A839DD">
        <w:t>. Lorsqu’il est prouvé que le harcèlement a été commis par une personne employée, son employeur ne peut s’exonérer de sa responsabilité en démontrant une absence de faute de sa part ou la mise en œuvre de moyens raisonnables pour rectifier la situation. Il peut cependant exercer un recours contre la personne employée qui a commis le harcèlement</w:t>
      </w:r>
      <w:r w:rsidRPr="00A839DD">
        <w:rPr>
          <w:rStyle w:val="Appelnotedebasdep"/>
        </w:rPr>
        <w:footnoteReference w:id="192"/>
      </w:r>
      <w:r w:rsidRPr="00A839DD">
        <w:t>. La responsabilité de l’employeur est la même lorsque le harcèlement est exercé par une tierce personne, y compris la clientèle</w:t>
      </w:r>
      <w:r w:rsidRPr="00A839DD">
        <w:rPr>
          <w:rStyle w:val="Appelnotedebasdep"/>
        </w:rPr>
        <w:footnoteReference w:id="193"/>
      </w:r>
      <w:r w:rsidRPr="00A839DD">
        <w:t>.</w:t>
      </w:r>
    </w:p>
    <w:p w14:paraId="5CCC5812" w14:textId="18ADBBAD" w:rsidR="00620C92" w:rsidRPr="00A839DD" w:rsidRDefault="0077430B" w:rsidP="001D3E83">
      <w:pPr>
        <w:pStyle w:val="Titre2"/>
        <w:rPr>
          <w:noProof w:val="0"/>
        </w:rPr>
      </w:pPr>
      <w:bookmarkStart w:id="99" w:name="_Toc229131279"/>
      <w:r w:rsidRPr="00A839DD">
        <w:rPr>
          <w:noProof w:val="0"/>
        </w:rPr>
        <w:lastRenderedPageBreak/>
        <w:t>La plainte à la Commission</w:t>
      </w:r>
      <w:bookmarkEnd w:id="99"/>
    </w:p>
    <w:p w14:paraId="6EECB9DC" w14:textId="15EEB183" w:rsidR="0034245B" w:rsidRPr="00A839DD" w:rsidRDefault="0034245B" w:rsidP="0006339A">
      <w:pPr>
        <w:pStyle w:val="Paragraphe"/>
      </w:pPr>
      <w:r w:rsidRPr="00A839DD">
        <w:t xml:space="preserve">Lorsqu’une personne s’estime victime de discrimination ou de harcèlement discriminatoire, elle peut porter plainte à la Commission. </w:t>
      </w:r>
      <w:r w:rsidRPr="00A839DD">
        <w:rPr>
          <w:rFonts w:cstheme="minorHAnsi"/>
        </w:rPr>
        <w:t>Cette dernière agit alors de façon impartiale pour favoriser un règlement</w:t>
      </w:r>
      <w:r w:rsidRPr="00A839DD">
        <w:t xml:space="preserve"> à l’amiable, souvent par la voie de la médiation si les parties y consentent. Si aucun règlement n’intervient, elle poursuit son enquête sur les faits allégués et peut, au terme de celle-ci, proposer des mesures visant à corriger la situation de discrimination. Si les mesures correctrices proposées ne sont pas mises en œuvre, elle peut décider, en tenant compte de l’intérêt public, de prendre fait et cause pour la personne plaignante devant le tribunal. Elle a ainsi obtenu gain de cause pour plusieurs personnes plaignantes dans des affaires de congédiement ou de refus d’embauche discriminatoire de personnes LGBTQ+</w:t>
      </w:r>
      <w:r w:rsidRPr="00A839DD">
        <w:rPr>
          <w:rStyle w:val="Appelnotedebasdep"/>
        </w:rPr>
        <w:footnoteReference w:id="194"/>
      </w:r>
      <w:r w:rsidRPr="00A839DD">
        <w:t xml:space="preserve">. Le schéma </w:t>
      </w:r>
      <w:r w:rsidR="00155B40" w:rsidRPr="00A839DD">
        <w:t xml:space="preserve">à </w:t>
      </w:r>
      <w:r w:rsidR="00EB3552" w:rsidRPr="00A839DD">
        <w:t>la page suivante</w:t>
      </w:r>
      <w:r w:rsidRPr="00A839DD">
        <w:t xml:space="preserve"> illustre le traitement d’une plainte.</w:t>
      </w:r>
    </w:p>
    <w:p w14:paraId="45793D3D" w14:textId="53A00BF2" w:rsidR="00155B40" w:rsidRPr="00A839DD" w:rsidRDefault="00155B40" w:rsidP="007875CB">
      <w:pPr>
        <w:pStyle w:val="Paragraphe"/>
        <w:jc w:val="center"/>
      </w:pPr>
      <w:r w:rsidRPr="00A839DD">
        <w:lastRenderedPageBreak/>
        <w:drawing>
          <wp:inline distT="0" distB="0" distL="0" distR="0" wp14:anchorId="3DF7315C" wp14:editId="7CBDFE2B">
            <wp:extent cx="5285609" cy="7674895"/>
            <wp:effectExtent l="19050" t="19050" r="10795" b="21590"/>
            <wp:docPr id="2" name="Image 2" descr="Les trois grandes étapes du processus de traitement des plaintes : 1) Réception; 2) Intervention; 3) Résolution. Chacune des étapes est détaillée sous forme textuelle dana la page : https://www.cdpdj.qc.ca/fr/porter-plainte/traitement-des-plaintes/etapes-du-traitement-dune-plaintel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es trois grandes étapes du processus de traitement des plaintes : 1) Réception; 2) Intervention; 3) Résolution. Chacune des étapes est détaillée sous forme textuelle dana la page : https://www.cdpdj.qc.ca/fr/porter-plainte/traitement-des-plaintes/etapes-du-traitement-dune-plainteles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94958" cy="7688470"/>
                    </a:xfrm>
                    <a:prstGeom prst="rect">
                      <a:avLst/>
                    </a:prstGeom>
                    <a:noFill/>
                    <a:ln>
                      <a:solidFill>
                        <a:schemeClr val="tx1">
                          <a:lumMod val="50000"/>
                          <a:lumOff val="50000"/>
                        </a:schemeClr>
                      </a:solidFill>
                    </a:ln>
                  </pic:spPr>
                </pic:pic>
              </a:graphicData>
            </a:graphic>
          </wp:inline>
        </w:drawing>
      </w:r>
    </w:p>
    <w:p w14:paraId="55C98B16" w14:textId="77777777" w:rsidR="0060396F" w:rsidRPr="00A839DD" w:rsidRDefault="0060396F" w:rsidP="001D3E83">
      <w:pPr>
        <w:pStyle w:val="Titre2"/>
        <w:rPr>
          <w:noProof w:val="0"/>
        </w:rPr>
      </w:pPr>
      <w:bookmarkStart w:id="100" w:name="_Toc229131280"/>
      <w:r w:rsidRPr="00A839DD">
        <w:rPr>
          <w:noProof w:val="0"/>
        </w:rPr>
        <w:lastRenderedPageBreak/>
        <w:t>Les obligations de l’employeur</w:t>
      </w:r>
      <w:bookmarkEnd w:id="100"/>
    </w:p>
    <w:p w14:paraId="68DA6B10" w14:textId="77777777" w:rsidR="006239EC" w:rsidRPr="00A839DD" w:rsidRDefault="006239EC" w:rsidP="0006339A">
      <w:pPr>
        <w:pStyle w:val="Paragraphe"/>
      </w:pPr>
      <w:r w:rsidRPr="00A839DD">
        <w:t>L’employeur a plusieurs responsabilités qui ont trait aux droits de la personne. De manière générale, il doit assurer le respect des droits des membres du personnel, y compris dans l’exercice de son droit de gestion</w:t>
      </w:r>
      <w:r w:rsidRPr="00A839DD">
        <w:rPr>
          <w:rStyle w:val="Appelnotedebasdep"/>
        </w:rPr>
        <w:footnoteReference w:id="195"/>
      </w:r>
      <w:r w:rsidRPr="00A839DD">
        <w:t>. Par exemple, il doit :</w:t>
      </w:r>
    </w:p>
    <w:p w14:paraId="265F488D" w14:textId="32532E76" w:rsidR="00294D75" w:rsidRPr="00A839DD" w:rsidRDefault="00E45287" w:rsidP="00294D75">
      <w:pPr>
        <w:pStyle w:val="puces0"/>
      </w:pPr>
      <w:proofErr w:type="gramStart"/>
      <w:r w:rsidRPr="00A839DD">
        <w:t>a</w:t>
      </w:r>
      <w:r w:rsidR="00294D75" w:rsidRPr="00A839DD">
        <w:t>ssurer</w:t>
      </w:r>
      <w:proofErr w:type="gramEnd"/>
      <w:r w:rsidR="00294D75" w:rsidRPr="00A839DD">
        <w:t xml:space="preserve"> un environnement de travail exempt de discrimination et de harcèlement</w:t>
      </w:r>
      <w:r w:rsidR="00F01F5E" w:rsidRPr="00A839DD">
        <w:rPr>
          <w:rFonts w:ascii="Arial" w:hAnsi="Arial" w:cs="Arial"/>
        </w:rPr>
        <w:t> </w:t>
      </w:r>
      <w:r w:rsidR="00294D75" w:rsidRPr="00A839DD">
        <w:t>;</w:t>
      </w:r>
    </w:p>
    <w:p w14:paraId="306F088A" w14:textId="3B559BB2" w:rsidR="00294D75" w:rsidRPr="00A839DD" w:rsidRDefault="00E45287" w:rsidP="00294D75">
      <w:pPr>
        <w:pStyle w:val="puces0"/>
      </w:pPr>
      <w:proofErr w:type="gramStart"/>
      <w:r w:rsidRPr="00A839DD">
        <w:t>p</w:t>
      </w:r>
      <w:r w:rsidR="00294D75" w:rsidRPr="00A839DD">
        <w:t>rotéger</w:t>
      </w:r>
      <w:proofErr w:type="gramEnd"/>
      <w:r w:rsidR="00294D75" w:rsidRPr="00A839DD">
        <w:t xml:space="preserve"> la santé, la sécurité et la dignité de la personne salariée, y compris vis-à-vis de la clientèle</w:t>
      </w:r>
      <w:r w:rsidR="00294D75" w:rsidRPr="00A839DD">
        <w:rPr>
          <w:rStyle w:val="Appelnotedebasdep"/>
        </w:rPr>
        <w:footnoteReference w:id="196"/>
      </w:r>
      <w:r w:rsidR="00F01F5E" w:rsidRPr="00A839DD">
        <w:rPr>
          <w:rFonts w:ascii="Arial" w:hAnsi="Arial" w:cs="Arial"/>
        </w:rPr>
        <w:t> </w:t>
      </w:r>
      <w:r w:rsidR="00294D75" w:rsidRPr="00A839DD">
        <w:t>;</w:t>
      </w:r>
    </w:p>
    <w:p w14:paraId="2EA75C44" w14:textId="42568672" w:rsidR="00294D75" w:rsidRPr="00A839DD" w:rsidRDefault="00E45287" w:rsidP="00294D75">
      <w:pPr>
        <w:pStyle w:val="puces0"/>
      </w:pPr>
      <w:proofErr w:type="gramStart"/>
      <w:r w:rsidRPr="00A839DD">
        <w:t>r</w:t>
      </w:r>
      <w:r w:rsidR="00294D75" w:rsidRPr="00A839DD">
        <w:t>echercher</w:t>
      </w:r>
      <w:proofErr w:type="gramEnd"/>
      <w:r w:rsidR="00294D75" w:rsidRPr="00A839DD">
        <w:t>, en collaboration avec la personne concernée, un accommodement raisonnable face à une situation qui pourrait être discriminatoire.</w:t>
      </w:r>
    </w:p>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78"/>
      </w:tblGrid>
      <w:tr w:rsidR="00294D75" w:rsidRPr="00A839DD" w14:paraId="4C7A579C" w14:textId="77777777" w:rsidTr="00164333">
        <w:tc>
          <w:tcPr>
            <w:tcW w:w="9678" w:type="dxa"/>
            <w:shd w:val="clear" w:color="auto" w:fill="E3ECF9"/>
          </w:tcPr>
          <w:p w14:paraId="636E5727" w14:textId="77777777" w:rsidR="00EC684B" w:rsidRPr="00A839DD" w:rsidRDefault="00EC684B" w:rsidP="00A72685">
            <w:pPr>
              <w:spacing w:before="120" w:after="120"/>
              <w:ind w:left="174"/>
              <w:rPr>
                <w:b/>
                <w:bCs/>
              </w:rPr>
            </w:pPr>
            <w:r w:rsidRPr="00A839DD">
              <w:rPr>
                <w:b/>
                <w:bCs/>
                <w:sz w:val="28"/>
                <w:szCs w:val="28"/>
              </w:rPr>
              <w:t>L’accommodement raisonnable</w:t>
            </w:r>
            <w:r w:rsidRPr="00E653D9">
              <w:rPr>
                <w:rStyle w:val="Appelnotedebasdep"/>
              </w:rPr>
              <w:footnoteReference w:id="197"/>
            </w:r>
          </w:p>
          <w:p w14:paraId="3BC43C5D" w14:textId="77777777" w:rsidR="00D35C73" w:rsidRPr="00A839DD" w:rsidRDefault="00D35C73" w:rsidP="00A72685">
            <w:pPr>
              <w:spacing w:before="120" w:after="120"/>
              <w:ind w:left="174"/>
            </w:pPr>
            <w:r w:rsidRPr="00A839DD">
              <w:t>L’accommodement raisonnable est une obligation juridique qu’ont notamment les employeurs. Elle découle du droit à l’égalité protégé par la Charte.</w:t>
            </w:r>
          </w:p>
          <w:p w14:paraId="724CA2BC" w14:textId="3C1F3ABB" w:rsidR="00D35C73" w:rsidRPr="00A839DD" w:rsidRDefault="00D35C73" w:rsidP="00A72685">
            <w:pPr>
              <w:spacing w:before="120" w:after="120"/>
              <w:ind w:left="174"/>
            </w:pPr>
            <w:r w:rsidRPr="00A839DD">
              <w:t>Ce droit peut être violé lorsque des situations similaires sont traitées de manière différente. Mais il peut également l’être lorsque des situations différentes sont traitées de manière identique, sans tenir compte d</w:t>
            </w:r>
            <w:r w:rsidR="00577684" w:rsidRPr="00A839DD">
              <w:t xml:space="preserve">’une </w:t>
            </w:r>
            <w:r w:rsidRPr="00A839DD">
              <w:t xml:space="preserve">situation particulière </w:t>
            </w:r>
            <w:r w:rsidR="00126E8F" w:rsidRPr="00A839DD">
              <w:t>associable à un ou plusieurs motifs de discrimination</w:t>
            </w:r>
            <w:r w:rsidRPr="00A839DD">
              <w:t>. Tel qu’expliqué précédemment, ce n’est pas l’intention de discriminer qui importe mais bien l’effet produit par la norme ou par la conduite visée.</w:t>
            </w:r>
          </w:p>
          <w:p w14:paraId="010BF62B" w14:textId="75761323" w:rsidR="00D35C73" w:rsidRPr="00A839DD" w:rsidRDefault="00D35C73" w:rsidP="00A72685">
            <w:pPr>
              <w:spacing w:before="120" w:after="120"/>
              <w:ind w:left="174"/>
            </w:pPr>
            <w:r w:rsidRPr="00A839DD">
              <w:t xml:space="preserve">Cela signifie que les employeurs qui conçoivent </w:t>
            </w:r>
            <w:r w:rsidR="00C26C24" w:rsidRPr="00A839DD">
              <w:t xml:space="preserve">ou mettent en œuvre </w:t>
            </w:r>
            <w:r w:rsidRPr="00A839DD">
              <w:t>des normes «</w:t>
            </w:r>
            <w:r w:rsidR="00DE533D" w:rsidRPr="00A839DD">
              <w:rPr>
                <w:rFonts w:ascii="Arial" w:hAnsi="Arial" w:cs="Arial"/>
              </w:rPr>
              <w:t> </w:t>
            </w:r>
            <w:r w:rsidRPr="00A839DD">
              <w:t>doivent être conscients des différences entre les personnes et des différences qui caractérisent des groupes de personnes. Ils doivent intégrer des notions d’égalité</w:t>
            </w:r>
            <w:r w:rsidR="00DE533D" w:rsidRPr="00A839DD">
              <w:rPr>
                <w:rFonts w:ascii="Arial" w:hAnsi="Arial" w:cs="Arial"/>
              </w:rPr>
              <w:t> </w:t>
            </w:r>
            <w:r w:rsidRPr="00A839DD">
              <w:t>»</w:t>
            </w:r>
            <w:r w:rsidRPr="00A839DD">
              <w:rPr>
                <w:rStyle w:val="Appelnotedebasdep"/>
              </w:rPr>
              <w:footnoteReference w:id="198"/>
            </w:r>
            <w:r w:rsidRPr="00A839DD">
              <w:t xml:space="preserve"> dans la définition même de leurs normes et décisions.</w:t>
            </w:r>
          </w:p>
          <w:p w14:paraId="42EF8A71" w14:textId="6A0E898E" w:rsidR="00D35C73" w:rsidRPr="00A839DD" w:rsidRDefault="00D35C73" w:rsidP="00A72685">
            <w:pPr>
              <w:spacing w:before="120" w:after="120"/>
              <w:ind w:left="174"/>
            </w:pPr>
            <w:r w:rsidRPr="00A839DD">
              <w:t>Si ce n’est pas possible, les employeurs doivent trouver un aménagement pour toute personne qui pourrait autrement être pénalisée</w:t>
            </w:r>
            <w:r w:rsidR="001820E2" w:rsidRPr="00A839DD">
              <w:t xml:space="preserve"> par une situation de discrimination</w:t>
            </w:r>
            <w:r w:rsidRPr="00A839DD">
              <w:t>, et ce</w:t>
            </w:r>
            <w:r w:rsidR="001820E2" w:rsidRPr="00A839DD">
              <w:t>,</w:t>
            </w:r>
            <w:r w:rsidRPr="00A839DD">
              <w:t xml:space="preserve"> en collaboration avec la personne concernée</w:t>
            </w:r>
            <w:r w:rsidRPr="00A839DD">
              <w:rPr>
                <w:rStyle w:val="Appelnotedebasdep"/>
              </w:rPr>
              <w:footnoteReference w:id="199"/>
            </w:r>
            <w:r w:rsidRPr="00A839DD">
              <w:t>.</w:t>
            </w:r>
          </w:p>
          <w:p w14:paraId="7A9EDB14" w14:textId="77777777" w:rsidR="00D35C73" w:rsidRPr="00A839DD" w:rsidRDefault="00D35C73" w:rsidP="00A72685">
            <w:pPr>
              <w:spacing w:before="120" w:after="120"/>
              <w:ind w:left="174"/>
            </w:pPr>
            <w:r w:rsidRPr="00A839DD">
              <w:lastRenderedPageBreak/>
              <w:t>Toutefois, l’accommodement ne doit pas avoir pour effet d’imposer une contrainte excessive à l’employeur.</w:t>
            </w:r>
          </w:p>
          <w:p w14:paraId="55D0F601" w14:textId="737A996A" w:rsidR="00294D75" w:rsidRPr="00A839DD" w:rsidRDefault="00D35C73" w:rsidP="00A72685">
            <w:pPr>
              <w:spacing w:before="120" w:after="120"/>
              <w:ind w:left="174"/>
            </w:pPr>
            <w:r w:rsidRPr="00A839DD">
              <w:t xml:space="preserve">Pour en savoir plus, consultez le </w:t>
            </w:r>
            <w:r w:rsidRPr="00A839DD">
              <w:rPr>
                <w:i/>
                <w:iCs/>
              </w:rPr>
              <w:t>Guide d’accompagnement : traitement d’une demande d’accommodement raisonnable</w:t>
            </w:r>
            <w:r w:rsidRPr="00A839DD">
              <w:rPr>
                <w:rStyle w:val="Appelnotedebasdep"/>
              </w:rPr>
              <w:footnoteReference w:id="200"/>
            </w:r>
            <w:r w:rsidRPr="00A839DD">
              <w:t xml:space="preserve"> et l’autoformation sur le même sujet</w:t>
            </w:r>
            <w:r w:rsidRPr="00A839DD">
              <w:rPr>
                <w:rStyle w:val="Appelnotedebasdep"/>
              </w:rPr>
              <w:footnoteReference w:id="201"/>
            </w:r>
            <w:r w:rsidRPr="00A839DD">
              <w:t>.</w:t>
            </w:r>
          </w:p>
        </w:tc>
      </w:tr>
    </w:tbl>
    <w:p w14:paraId="2B8D5AA0" w14:textId="77777777" w:rsidR="006239EC" w:rsidRPr="00A839DD" w:rsidRDefault="006239EC" w:rsidP="0006339A">
      <w:pPr>
        <w:pStyle w:val="Paragraphe"/>
      </w:pPr>
    </w:p>
    <w:p w14:paraId="0761614F" w14:textId="32BEE644" w:rsidR="00DC1B46" w:rsidRPr="00A839DD" w:rsidRDefault="00DC1B46" w:rsidP="00C56A88">
      <w:pPr>
        <w:pStyle w:val="Titre1"/>
        <w:rPr>
          <w:noProof w:val="0"/>
        </w:rPr>
      </w:pPr>
      <w:bookmarkStart w:id="101" w:name="_Toc229131281"/>
      <w:r w:rsidRPr="00A839DD">
        <w:rPr>
          <w:noProof w:val="0"/>
        </w:rPr>
        <w:t>Nombre de plaintes et considérations méthodologiques</w:t>
      </w:r>
      <w:bookmarkEnd w:id="101"/>
    </w:p>
    <w:p w14:paraId="3DF340DC" w14:textId="26934488" w:rsidR="00DC1B46" w:rsidRPr="00A839DD" w:rsidRDefault="00826740" w:rsidP="0006339A">
      <w:pPr>
        <w:pStyle w:val="Paragraphe"/>
      </w:pPr>
      <w:r w:rsidRPr="00A839DD">
        <w:t>La présente analyse de plaintes repose sur deux portraits complémentaires</w:t>
      </w:r>
      <w:r w:rsidR="00577C83" w:rsidRPr="00A839DD">
        <w:t> </w:t>
      </w:r>
      <w:r w:rsidRPr="00A839DD">
        <w:t>:</w:t>
      </w:r>
    </w:p>
    <w:p w14:paraId="22E2FC76" w14:textId="6FCC1E3B" w:rsidR="00A051E2" w:rsidRPr="00A839DD" w:rsidRDefault="008C79E8" w:rsidP="00A051E2">
      <w:pPr>
        <w:pStyle w:val="puces0"/>
      </w:pPr>
      <w:proofErr w:type="gramStart"/>
      <w:r w:rsidRPr="00A839DD">
        <w:t>u</w:t>
      </w:r>
      <w:r w:rsidR="00A051E2" w:rsidRPr="00A839DD">
        <w:t>n</w:t>
      </w:r>
      <w:proofErr w:type="gramEnd"/>
      <w:r w:rsidR="00A051E2" w:rsidRPr="00A839DD">
        <w:t xml:space="preserve"> portrait quantitatif des 769</w:t>
      </w:r>
      <w:r w:rsidR="00937C69" w:rsidRPr="00A839DD">
        <w:t> </w:t>
      </w:r>
      <w:r w:rsidR="00A051E2" w:rsidRPr="00A839DD">
        <w:t>plaintes reçues par la Commission des droits entre 1994 et 2024 pour discrimination en emploi fondée sur l’orientation sexuelle et l’identité ou l’expression de genre</w:t>
      </w:r>
      <w:r w:rsidR="00F01F5E" w:rsidRPr="00A839DD">
        <w:rPr>
          <w:rFonts w:ascii="Arial" w:hAnsi="Arial" w:cs="Arial"/>
        </w:rPr>
        <w:t> </w:t>
      </w:r>
      <w:r w:rsidR="00A051E2" w:rsidRPr="00A839DD">
        <w:t>;</w:t>
      </w:r>
    </w:p>
    <w:p w14:paraId="37330D78" w14:textId="1D64F009" w:rsidR="00826740" w:rsidRPr="00A839DD" w:rsidRDefault="008C79E8" w:rsidP="00A051E2">
      <w:pPr>
        <w:pStyle w:val="puces0"/>
      </w:pPr>
      <w:proofErr w:type="gramStart"/>
      <w:r w:rsidRPr="00A839DD">
        <w:t>u</w:t>
      </w:r>
      <w:r w:rsidR="00A051E2" w:rsidRPr="00A839DD">
        <w:t>n</w:t>
      </w:r>
      <w:proofErr w:type="gramEnd"/>
      <w:r w:rsidR="00A051E2" w:rsidRPr="00A839DD">
        <w:t xml:space="preserve"> portrait qualitatif d’un </w:t>
      </w:r>
      <w:r w:rsidR="0024616B">
        <w:t>corpus</w:t>
      </w:r>
      <w:r w:rsidR="00A051E2" w:rsidRPr="00A839DD">
        <w:t xml:space="preserve"> de 201</w:t>
      </w:r>
      <w:r w:rsidR="00937C69" w:rsidRPr="00A839DD">
        <w:t> </w:t>
      </w:r>
      <w:r w:rsidR="00A051E2" w:rsidRPr="00A839DD">
        <w:t>plaintes reçues entre 1994 et 2020.</w:t>
      </w:r>
    </w:p>
    <w:p w14:paraId="0009FC2D" w14:textId="77777777" w:rsidR="0011368D" w:rsidRPr="00A839DD" w:rsidRDefault="0011368D" w:rsidP="001D3E83">
      <w:pPr>
        <w:pStyle w:val="Titre2"/>
        <w:rPr>
          <w:noProof w:val="0"/>
        </w:rPr>
      </w:pPr>
      <w:bookmarkStart w:id="102" w:name="_Toc229131282"/>
      <w:r w:rsidRPr="00A839DD">
        <w:rPr>
          <w:noProof w:val="0"/>
        </w:rPr>
        <w:t>Portrait quantitatif des plaintes reçues par la Commission</w:t>
      </w:r>
      <w:bookmarkEnd w:id="102"/>
    </w:p>
    <w:p w14:paraId="76E3BE87" w14:textId="7A6EAD3F" w:rsidR="0011368D" w:rsidRPr="00A839DD" w:rsidRDefault="002159E2" w:rsidP="0006339A">
      <w:pPr>
        <w:pStyle w:val="Paragraphe"/>
      </w:pPr>
      <w:r w:rsidRPr="00A839DD">
        <w:t xml:space="preserve">Avant d’entreprendre une analyse qualitative du contenu de plaintes pour discrimination en emploi </w:t>
      </w:r>
      <w:r w:rsidR="00680035">
        <w:t>fondée sur</w:t>
      </w:r>
      <w:r w:rsidRPr="00A839DD">
        <w:t xml:space="preserve"> l’orientation sexuelle et l’identité ou l’expression de genre, il est d’abord nécessaire d’en brosser un portrait quantitatif. Celui-ci permettra de dégager des tendances générales, de situer ces plaintes par rapport à l’ensemble de celles reçues par la Commission et d’identifier d’éventuelles spécificités propres à ces motifs de discrimination.</w:t>
      </w:r>
    </w:p>
    <w:p w14:paraId="603985C9" w14:textId="77777777" w:rsidR="0019175F" w:rsidRPr="00A839DD" w:rsidRDefault="0019175F" w:rsidP="001D3E83">
      <w:pPr>
        <w:pStyle w:val="Titre3"/>
        <w:rPr>
          <w:noProof w:val="0"/>
        </w:rPr>
      </w:pPr>
      <w:bookmarkStart w:id="103" w:name="_Toc229131283"/>
      <w:r w:rsidRPr="00A839DD">
        <w:rPr>
          <w:noProof w:val="0"/>
        </w:rPr>
        <w:t>Les limites des données du logiciel de traitement des plaintes</w:t>
      </w:r>
      <w:bookmarkEnd w:id="103"/>
    </w:p>
    <w:p w14:paraId="3B118DCB" w14:textId="77777777" w:rsidR="00A71DD2" w:rsidRPr="00A839DD" w:rsidRDefault="00A71DD2" w:rsidP="0006339A">
      <w:pPr>
        <w:pStyle w:val="Paragraphe"/>
      </w:pPr>
      <w:r w:rsidRPr="00A839DD">
        <w:t>La possibilité de brosser un portrait quantitatif des plaintes reçues par la Commission est étroitement liée à la conception du logiciel interne utilisé pour leur traitement.</w:t>
      </w:r>
    </w:p>
    <w:p w14:paraId="2B797A51" w14:textId="469006EA" w:rsidR="00A71DD2" w:rsidRPr="00A839DD" w:rsidRDefault="00A71DD2" w:rsidP="0006339A">
      <w:pPr>
        <w:pStyle w:val="Paragraphe"/>
      </w:pPr>
      <w:r w:rsidRPr="00A839DD">
        <w:t xml:space="preserve">Comme ce système n’a pas été conçu à des fins de recherche, plusieurs des données qu’il contient ne sont pas directement exploitables dans un tel cadre. De plus, certaines informations qui pourraient s’avérer pertinentes pour la recherche ne sont pas systématiquement recueillies. Par exemple, dans le logiciel, la donnée collectée sur la région concernée par la plainte a longtemps seulement référé au bureau régional de la Commission l’ayant traitée, et non à la région où les faits allégués se sont produits. </w:t>
      </w:r>
      <w:r w:rsidR="007A55EB" w:rsidRPr="00A839DD">
        <w:t>De plus, le logiciel permet seulement d’extraire le motif de discrimination dit «</w:t>
      </w:r>
      <w:r w:rsidR="00F21382">
        <w:rPr>
          <w:rFonts w:ascii="Arial" w:hAnsi="Arial" w:cs="Arial"/>
        </w:rPr>
        <w:t> </w:t>
      </w:r>
      <w:r w:rsidR="007A55EB" w:rsidRPr="00A839DD">
        <w:t>principal</w:t>
      </w:r>
      <w:r w:rsidR="00F21382">
        <w:rPr>
          <w:rFonts w:ascii="Arial" w:hAnsi="Arial" w:cs="Arial"/>
        </w:rPr>
        <w:t> </w:t>
      </w:r>
      <w:r w:rsidR="007A55EB" w:rsidRPr="00A839DD">
        <w:t xml:space="preserve">» </w:t>
      </w:r>
      <w:r w:rsidR="007A55EB" w:rsidRPr="00A839DD">
        <w:lastRenderedPageBreak/>
        <w:t xml:space="preserve">dans un dossier, bien que d’autres motifs puissent y être inscrits et pris en compte dans l’analyse de la plainte. </w:t>
      </w:r>
      <w:r w:rsidRPr="00A839DD">
        <w:t>Ce logiciel est par ailleurs utilisé par la Commission depuis 2008</w:t>
      </w:r>
      <w:r w:rsidR="003D6AE7" w:rsidRPr="00A839DD">
        <w:t xml:space="preserve"> seulement</w:t>
      </w:r>
      <w:r w:rsidRPr="00A839DD">
        <w:t>. Les données antérieures y ont été importées, mais certaines informations n’ont pas été saisies rétrospectivement. D’autres changements apportés dans la structure du logiciel au fil des décennies affectent aussi la comparabilité historique de certaines données.</w:t>
      </w:r>
    </w:p>
    <w:p w14:paraId="6E563988" w14:textId="3BC563A1" w:rsidR="00A71DD2" w:rsidRPr="00A839DD" w:rsidRDefault="00A71DD2" w:rsidP="0006339A">
      <w:pPr>
        <w:pStyle w:val="Paragraphe"/>
      </w:pPr>
      <w:r w:rsidRPr="00A839DD">
        <w:t>Le présent portrait quantitatif repose sur les données systématiquement collectées qui sont les plus fiables. L’analyse qualitative qui suit, réalisée à partir de la lecture de 201</w:t>
      </w:r>
      <w:r w:rsidR="00937C69" w:rsidRPr="00A839DD">
        <w:t> </w:t>
      </w:r>
      <w:r w:rsidRPr="00A839DD">
        <w:t>plaintes, permet d’enrichir ce tableau.</w:t>
      </w:r>
    </w:p>
    <w:p w14:paraId="135D5858" w14:textId="46972AE6" w:rsidR="00846773" w:rsidRPr="00A839DD" w:rsidRDefault="00846773" w:rsidP="001D3E83">
      <w:pPr>
        <w:pStyle w:val="Titre3"/>
        <w:rPr>
          <w:noProof w:val="0"/>
        </w:rPr>
      </w:pPr>
      <w:bookmarkStart w:id="104" w:name="_Toc229131284"/>
      <w:r w:rsidRPr="00A839DD">
        <w:rPr>
          <w:noProof w:val="0"/>
        </w:rPr>
        <w:t>Le nombre de plaintes reçues concernant le travail (1994 –</w:t>
      </w:r>
      <w:r w:rsidR="00B30485" w:rsidRPr="00A839DD">
        <w:rPr>
          <w:rFonts w:ascii="Arial" w:hAnsi="Arial"/>
          <w:noProof w:val="0"/>
        </w:rPr>
        <w:t> </w:t>
      </w:r>
      <w:r w:rsidRPr="00A839DD">
        <w:rPr>
          <w:noProof w:val="0"/>
        </w:rPr>
        <w:t>2024)</w:t>
      </w:r>
      <w:bookmarkEnd w:id="104"/>
      <w:r w:rsidRPr="00A839DD">
        <w:rPr>
          <w:noProof w:val="0"/>
        </w:rPr>
        <w:t xml:space="preserve"> </w:t>
      </w:r>
    </w:p>
    <w:p w14:paraId="28202259" w14:textId="4FF8C93C" w:rsidR="00256669" w:rsidRPr="00A839DD" w:rsidRDefault="00256669" w:rsidP="0006339A">
      <w:pPr>
        <w:pStyle w:val="Paragraphe"/>
      </w:pPr>
      <w:r w:rsidRPr="00A839DD">
        <w:t>Du 1</w:t>
      </w:r>
      <w:r w:rsidRPr="00A839DD">
        <w:rPr>
          <w:vertAlign w:val="superscript"/>
        </w:rPr>
        <w:t>er</w:t>
      </w:r>
      <w:r w:rsidR="00937C69" w:rsidRPr="00A839DD">
        <w:t> </w:t>
      </w:r>
      <w:r w:rsidRPr="00A839DD">
        <w:t>janvier 1994 au 31</w:t>
      </w:r>
      <w:r w:rsidR="00937C69" w:rsidRPr="00A839DD">
        <w:t> </w:t>
      </w:r>
      <w:r w:rsidRPr="00A839DD">
        <w:t>décembre 2024, la Commission a reçu 769</w:t>
      </w:r>
      <w:r w:rsidR="00937C69" w:rsidRPr="00A839DD">
        <w:t> </w:t>
      </w:r>
      <w:r w:rsidRPr="00A839DD">
        <w:t>plaintes pour discrimination en emploi sur la base d</w:t>
      </w:r>
      <w:r w:rsidR="00B54D5A">
        <w:t>’un des</w:t>
      </w:r>
      <w:r w:rsidRPr="00A839DD">
        <w:t xml:space="preserve"> deux motifs étudiés, soit 640 pour l’orientation sexuelle et 129 pour l’identité ou l’expression de genre, incluant les plaintes pour discrimination </w:t>
      </w:r>
      <w:r w:rsidR="009D35DB">
        <w:t>fondée sur l</w:t>
      </w:r>
      <w:r w:rsidRPr="00A839DD">
        <w:t>a transidentité auparavant traitées sous le motif «</w:t>
      </w:r>
      <w:r w:rsidR="00DE533D" w:rsidRPr="00A839DD">
        <w:rPr>
          <w:rFonts w:ascii="Arial" w:hAnsi="Arial" w:cs="Arial"/>
        </w:rPr>
        <w:t> </w:t>
      </w:r>
      <w:r w:rsidRPr="00A839DD">
        <w:t>sexe</w:t>
      </w:r>
      <w:r w:rsidR="00DE533D" w:rsidRPr="00A839DD">
        <w:rPr>
          <w:rFonts w:ascii="Arial" w:hAnsi="Arial" w:cs="Arial"/>
        </w:rPr>
        <w:t> </w:t>
      </w:r>
      <w:r w:rsidRPr="00A839DD">
        <w:t>». Les plaintes antérieures à 1994 ne sont pas incluses dans ce portrait quantitatif en raison de la difficulté d’isoler les plaintes relatives à l’emploi dans la base de données pour cette période.</w:t>
      </w:r>
    </w:p>
    <w:tbl>
      <w:tblPr>
        <w:tblW w:w="775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202C4B"/>
        <w:tblCellMar>
          <w:left w:w="0" w:type="dxa"/>
          <w:right w:w="0" w:type="dxa"/>
        </w:tblCellMar>
        <w:tblLook w:val="0420" w:firstRow="1" w:lastRow="0" w:firstColumn="0" w:lastColumn="0" w:noHBand="0" w:noVBand="1"/>
      </w:tblPr>
      <w:tblGrid>
        <w:gridCol w:w="3553"/>
        <w:gridCol w:w="2479"/>
        <w:gridCol w:w="1724"/>
      </w:tblGrid>
      <w:tr w:rsidR="0021375D" w:rsidRPr="00A839DD" w14:paraId="74451F4A" w14:textId="77777777" w:rsidTr="00164333">
        <w:trPr>
          <w:trHeight w:val="714"/>
          <w:jc w:val="center"/>
        </w:trPr>
        <w:tc>
          <w:tcPr>
            <w:tcW w:w="0" w:type="auto"/>
            <w:gridSpan w:val="3"/>
            <w:shd w:val="clear" w:color="auto" w:fill="953D89"/>
            <w:tcMar>
              <w:top w:w="72" w:type="dxa"/>
              <w:left w:w="144" w:type="dxa"/>
              <w:bottom w:w="72" w:type="dxa"/>
              <w:right w:w="144" w:type="dxa"/>
            </w:tcMar>
            <w:vAlign w:val="center"/>
          </w:tcPr>
          <w:p w14:paraId="6BD4D093" w14:textId="691752AC" w:rsidR="0021375D" w:rsidRPr="00A839DD" w:rsidRDefault="00C83181" w:rsidP="00580F2C">
            <w:pPr>
              <w:pStyle w:val="Titregraphique"/>
            </w:pPr>
            <w:r w:rsidRPr="00A839DD">
              <w:t>T</w:t>
            </w:r>
            <w:r w:rsidR="007A04F7" w:rsidRPr="00A839DD">
              <w:t>ableau</w:t>
            </w:r>
            <w:r w:rsidR="00F9183B" w:rsidRPr="00A839DD">
              <w:t> </w:t>
            </w:r>
            <w:r w:rsidR="007A04F7" w:rsidRPr="00A839DD">
              <w:t>1</w:t>
            </w:r>
          </w:p>
          <w:p w14:paraId="504B4FE7" w14:textId="5FDEA606" w:rsidR="007A04F7" w:rsidRPr="00A839DD" w:rsidRDefault="007A04F7" w:rsidP="003344D2">
            <w:pPr>
              <w:jc w:val="center"/>
              <w:rPr>
                <w:sz w:val="20"/>
                <w:szCs w:val="20"/>
              </w:rPr>
            </w:pPr>
            <w:r w:rsidRPr="00A839DD">
              <w:rPr>
                <w:rFonts w:eastAsia="Aptos" w:cs="Calibri"/>
                <w:color w:val="FFFFFF" w:themeColor="background1"/>
                <w:sz w:val="20"/>
                <w:szCs w:val="20"/>
                <w:lang w:eastAsia="fr-CA"/>
              </w:rPr>
              <w:t>Nombre de plaintes pour discrimination en emploi selon le motif (1994 –</w:t>
            </w:r>
            <w:r w:rsidR="00B30485" w:rsidRPr="00A839DD">
              <w:rPr>
                <w:rFonts w:ascii="Arial" w:eastAsia="Aptos" w:hAnsi="Arial" w:cs="Arial"/>
                <w:color w:val="FFFFFF" w:themeColor="background1"/>
                <w:sz w:val="20"/>
                <w:szCs w:val="20"/>
                <w:lang w:eastAsia="fr-CA"/>
              </w:rPr>
              <w:t> </w:t>
            </w:r>
            <w:r w:rsidRPr="00A839DD">
              <w:rPr>
                <w:rFonts w:eastAsia="Aptos" w:cs="Calibri"/>
                <w:color w:val="FFFFFF" w:themeColor="background1"/>
                <w:sz w:val="20"/>
                <w:szCs w:val="20"/>
                <w:lang w:eastAsia="fr-CA"/>
              </w:rPr>
              <w:t>2024)</w:t>
            </w:r>
          </w:p>
        </w:tc>
      </w:tr>
      <w:tr w:rsidR="007669DA" w:rsidRPr="00A839DD" w14:paraId="2D06F54C" w14:textId="77777777" w:rsidTr="00164333">
        <w:trPr>
          <w:trHeight w:val="438"/>
          <w:jc w:val="center"/>
        </w:trPr>
        <w:tc>
          <w:tcPr>
            <w:tcW w:w="0" w:type="auto"/>
            <w:shd w:val="clear" w:color="auto" w:fill="202C4B"/>
            <w:tcMar>
              <w:top w:w="72" w:type="dxa"/>
              <w:left w:w="144" w:type="dxa"/>
              <w:bottom w:w="72" w:type="dxa"/>
              <w:right w:w="144" w:type="dxa"/>
            </w:tcMar>
            <w:vAlign w:val="center"/>
            <w:hideMark/>
          </w:tcPr>
          <w:p w14:paraId="30ECA4F1" w14:textId="5A15B7A0" w:rsidR="007669DA" w:rsidRPr="00151D90" w:rsidRDefault="007669DA" w:rsidP="00323B98">
            <w:pPr>
              <w:jc w:val="center"/>
              <w:rPr>
                <w:b/>
                <w:bCs/>
                <w:color w:val="FFFFFF" w:themeColor="background1"/>
                <w:sz w:val="20"/>
                <w:szCs w:val="20"/>
              </w:rPr>
            </w:pPr>
            <w:r w:rsidRPr="00151D90">
              <w:rPr>
                <w:b/>
                <w:bCs/>
                <w:color w:val="FFFFFF" w:themeColor="background1"/>
                <w:sz w:val="20"/>
                <w:szCs w:val="20"/>
              </w:rPr>
              <w:t>Motifs</w:t>
            </w:r>
          </w:p>
        </w:tc>
        <w:tc>
          <w:tcPr>
            <w:tcW w:w="0" w:type="auto"/>
            <w:shd w:val="clear" w:color="auto" w:fill="202C4B"/>
            <w:tcMar>
              <w:top w:w="72" w:type="dxa"/>
              <w:left w:w="144" w:type="dxa"/>
              <w:bottom w:w="72" w:type="dxa"/>
              <w:right w:w="144" w:type="dxa"/>
            </w:tcMar>
            <w:vAlign w:val="center"/>
            <w:hideMark/>
          </w:tcPr>
          <w:p w14:paraId="01808C25" w14:textId="77777777" w:rsidR="007669DA" w:rsidRPr="00151D90" w:rsidRDefault="007669DA" w:rsidP="00323B98">
            <w:pPr>
              <w:jc w:val="center"/>
              <w:rPr>
                <w:b/>
                <w:bCs/>
                <w:color w:val="FFFFFF" w:themeColor="background1"/>
                <w:sz w:val="20"/>
                <w:szCs w:val="20"/>
              </w:rPr>
            </w:pPr>
            <w:r w:rsidRPr="00151D90">
              <w:rPr>
                <w:b/>
                <w:bCs/>
                <w:color w:val="FFFFFF" w:themeColor="background1"/>
                <w:sz w:val="20"/>
                <w:szCs w:val="20"/>
              </w:rPr>
              <w:t>Nombre de plaintes</w:t>
            </w:r>
          </w:p>
        </w:tc>
        <w:tc>
          <w:tcPr>
            <w:tcW w:w="0" w:type="auto"/>
            <w:shd w:val="clear" w:color="auto" w:fill="202C4B"/>
            <w:tcMar>
              <w:top w:w="72" w:type="dxa"/>
              <w:left w:w="144" w:type="dxa"/>
              <w:bottom w:w="72" w:type="dxa"/>
              <w:right w:w="144" w:type="dxa"/>
            </w:tcMar>
            <w:vAlign w:val="center"/>
            <w:hideMark/>
          </w:tcPr>
          <w:p w14:paraId="3B8D0BB5" w14:textId="77777777" w:rsidR="007669DA" w:rsidRPr="00151D90" w:rsidRDefault="007669DA" w:rsidP="00323B98">
            <w:pPr>
              <w:jc w:val="center"/>
              <w:rPr>
                <w:b/>
                <w:bCs/>
                <w:color w:val="FFFFFF" w:themeColor="background1"/>
                <w:sz w:val="20"/>
                <w:szCs w:val="20"/>
              </w:rPr>
            </w:pPr>
            <w:r w:rsidRPr="00151D90">
              <w:rPr>
                <w:b/>
                <w:bCs/>
                <w:color w:val="FFFFFF" w:themeColor="background1"/>
                <w:sz w:val="20"/>
                <w:szCs w:val="20"/>
              </w:rPr>
              <w:t>Pourcentage</w:t>
            </w:r>
          </w:p>
        </w:tc>
      </w:tr>
      <w:tr w:rsidR="007669DA" w:rsidRPr="00A839DD" w14:paraId="25071553" w14:textId="77777777" w:rsidTr="00164333">
        <w:trPr>
          <w:trHeight w:val="263"/>
          <w:jc w:val="center"/>
        </w:trPr>
        <w:tc>
          <w:tcPr>
            <w:tcW w:w="0" w:type="auto"/>
            <w:shd w:val="clear" w:color="auto" w:fill="E3ECF9"/>
            <w:tcMar>
              <w:top w:w="72" w:type="dxa"/>
              <w:left w:w="144" w:type="dxa"/>
              <w:bottom w:w="72" w:type="dxa"/>
              <w:right w:w="144" w:type="dxa"/>
            </w:tcMar>
            <w:vAlign w:val="center"/>
            <w:hideMark/>
          </w:tcPr>
          <w:p w14:paraId="7EFD420B" w14:textId="77777777" w:rsidR="007669DA" w:rsidRPr="00A839DD" w:rsidRDefault="007669DA" w:rsidP="0041700E">
            <w:pPr>
              <w:rPr>
                <w:sz w:val="20"/>
                <w:szCs w:val="20"/>
              </w:rPr>
            </w:pPr>
            <w:r w:rsidRPr="00A839DD">
              <w:rPr>
                <w:sz w:val="20"/>
                <w:szCs w:val="20"/>
              </w:rPr>
              <w:t>Orientation sexuelle</w:t>
            </w:r>
          </w:p>
        </w:tc>
        <w:tc>
          <w:tcPr>
            <w:tcW w:w="0" w:type="auto"/>
            <w:shd w:val="clear" w:color="auto" w:fill="E3ECF9"/>
            <w:tcMar>
              <w:top w:w="72" w:type="dxa"/>
              <w:left w:w="144" w:type="dxa"/>
              <w:bottom w:w="72" w:type="dxa"/>
              <w:right w:w="144" w:type="dxa"/>
            </w:tcMar>
            <w:vAlign w:val="center"/>
            <w:hideMark/>
          </w:tcPr>
          <w:p w14:paraId="54DB8D3E" w14:textId="77777777" w:rsidR="007669DA" w:rsidRPr="00A839DD" w:rsidRDefault="007669DA" w:rsidP="0041700E">
            <w:pPr>
              <w:jc w:val="center"/>
              <w:rPr>
                <w:sz w:val="20"/>
                <w:szCs w:val="20"/>
              </w:rPr>
            </w:pPr>
            <w:r w:rsidRPr="00A839DD">
              <w:rPr>
                <w:sz w:val="20"/>
                <w:szCs w:val="20"/>
              </w:rPr>
              <w:t>640</w:t>
            </w:r>
          </w:p>
        </w:tc>
        <w:tc>
          <w:tcPr>
            <w:tcW w:w="0" w:type="auto"/>
            <w:shd w:val="clear" w:color="auto" w:fill="E3ECF9"/>
            <w:tcMar>
              <w:top w:w="72" w:type="dxa"/>
              <w:left w:w="144" w:type="dxa"/>
              <w:bottom w:w="72" w:type="dxa"/>
              <w:right w:w="144" w:type="dxa"/>
            </w:tcMar>
            <w:vAlign w:val="center"/>
            <w:hideMark/>
          </w:tcPr>
          <w:p w14:paraId="05C65713" w14:textId="36BEA22B" w:rsidR="007669DA" w:rsidRPr="00A839DD" w:rsidRDefault="007669DA" w:rsidP="0041700E">
            <w:pPr>
              <w:jc w:val="center"/>
              <w:rPr>
                <w:sz w:val="20"/>
                <w:szCs w:val="20"/>
              </w:rPr>
            </w:pPr>
            <w:r w:rsidRPr="00A839DD">
              <w:rPr>
                <w:sz w:val="20"/>
                <w:szCs w:val="20"/>
              </w:rPr>
              <w:t>83</w:t>
            </w:r>
            <w:r w:rsidR="00A2068D" w:rsidRPr="00A839DD">
              <w:rPr>
                <w:sz w:val="20"/>
                <w:szCs w:val="20"/>
              </w:rPr>
              <w:t> </w:t>
            </w:r>
            <w:r w:rsidRPr="00A839DD">
              <w:rPr>
                <w:sz w:val="20"/>
                <w:szCs w:val="20"/>
              </w:rPr>
              <w:t>%</w:t>
            </w:r>
          </w:p>
        </w:tc>
      </w:tr>
      <w:tr w:rsidR="007669DA" w:rsidRPr="00A839DD" w14:paraId="3338BBF6" w14:textId="77777777" w:rsidTr="00164333">
        <w:trPr>
          <w:trHeight w:val="336"/>
          <w:jc w:val="center"/>
        </w:trPr>
        <w:tc>
          <w:tcPr>
            <w:tcW w:w="0" w:type="auto"/>
            <w:shd w:val="clear" w:color="auto" w:fill="FFFFFF" w:themeFill="background1"/>
            <w:tcMar>
              <w:top w:w="72" w:type="dxa"/>
              <w:left w:w="144" w:type="dxa"/>
              <w:bottom w:w="72" w:type="dxa"/>
              <w:right w:w="144" w:type="dxa"/>
            </w:tcMar>
            <w:vAlign w:val="center"/>
            <w:hideMark/>
          </w:tcPr>
          <w:p w14:paraId="1BC9C515" w14:textId="77777777" w:rsidR="007669DA" w:rsidRPr="00A839DD" w:rsidRDefault="007669DA" w:rsidP="0041700E">
            <w:pPr>
              <w:rPr>
                <w:sz w:val="20"/>
                <w:szCs w:val="20"/>
              </w:rPr>
            </w:pPr>
            <w:r w:rsidRPr="00A839DD">
              <w:rPr>
                <w:sz w:val="20"/>
                <w:szCs w:val="20"/>
              </w:rPr>
              <w:t>Identité ou expression de genre</w:t>
            </w:r>
          </w:p>
        </w:tc>
        <w:tc>
          <w:tcPr>
            <w:tcW w:w="0" w:type="auto"/>
            <w:shd w:val="clear" w:color="auto" w:fill="FFFFFF" w:themeFill="background1"/>
            <w:tcMar>
              <w:top w:w="72" w:type="dxa"/>
              <w:left w:w="144" w:type="dxa"/>
              <w:bottom w:w="72" w:type="dxa"/>
              <w:right w:w="144" w:type="dxa"/>
            </w:tcMar>
            <w:vAlign w:val="center"/>
            <w:hideMark/>
          </w:tcPr>
          <w:p w14:paraId="269A6563" w14:textId="77777777" w:rsidR="007669DA" w:rsidRPr="00A839DD" w:rsidRDefault="007669DA" w:rsidP="0041700E">
            <w:pPr>
              <w:jc w:val="center"/>
              <w:rPr>
                <w:sz w:val="20"/>
                <w:szCs w:val="20"/>
              </w:rPr>
            </w:pPr>
            <w:r w:rsidRPr="00A839DD">
              <w:rPr>
                <w:sz w:val="20"/>
                <w:szCs w:val="20"/>
              </w:rPr>
              <w:t>129</w:t>
            </w:r>
          </w:p>
        </w:tc>
        <w:tc>
          <w:tcPr>
            <w:tcW w:w="0" w:type="auto"/>
            <w:shd w:val="clear" w:color="auto" w:fill="FFFFFF" w:themeFill="background1"/>
            <w:tcMar>
              <w:top w:w="72" w:type="dxa"/>
              <w:left w:w="144" w:type="dxa"/>
              <w:bottom w:w="72" w:type="dxa"/>
              <w:right w:w="144" w:type="dxa"/>
            </w:tcMar>
            <w:vAlign w:val="center"/>
            <w:hideMark/>
          </w:tcPr>
          <w:p w14:paraId="0C3047A2" w14:textId="66C06392" w:rsidR="007669DA" w:rsidRPr="00A839DD" w:rsidRDefault="007669DA" w:rsidP="0041700E">
            <w:pPr>
              <w:jc w:val="center"/>
              <w:rPr>
                <w:sz w:val="20"/>
                <w:szCs w:val="20"/>
              </w:rPr>
            </w:pPr>
            <w:r w:rsidRPr="00A839DD">
              <w:rPr>
                <w:sz w:val="20"/>
                <w:szCs w:val="20"/>
              </w:rPr>
              <w:t>17</w:t>
            </w:r>
            <w:r w:rsidR="00A2068D" w:rsidRPr="00A839DD">
              <w:rPr>
                <w:sz w:val="20"/>
                <w:szCs w:val="20"/>
              </w:rPr>
              <w:t> </w:t>
            </w:r>
            <w:r w:rsidRPr="00A839DD">
              <w:rPr>
                <w:sz w:val="20"/>
                <w:szCs w:val="20"/>
              </w:rPr>
              <w:t>%</w:t>
            </w:r>
          </w:p>
        </w:tc>
      </w:tr>
      <w:tr w:rsidR="007669DA" w:rsidRPr="00A839DD" w14:paraId="41090B3A" w14:textId="77777777" w:rsidTr="00164333">
        <w:trPr>
          <w:trHeight w:val="336"/>
          <w:jc w:val="center"/>
        </w:trPr>
        <w:tc>
          <w:tcPr>
            <w:tcW w:w="0" w:type="auto"/>
            <w:shd w:val="clear" w:color="auto" w:fill="E3ECF9"/>
            <w:tcMar>
              <w:top w:w="72" w:type="dxa"/>
              <w:left w:w="144" w:type="dxa"/>
              <w:bottom w:w="72" w:type="dxa"/>
              <w:right w:w="144" w:type="dxa"/>
            </w:tcMar>
            <w:vAlign w:val="center"/>
          </w:tcPr>
          <w:p w14:paraId="228FA95B" w14:textId="77777777" w:rsidR="007669DA" w:rsidRPr="00A839DD" w:rsidRDefault="007669DA" w:rsidP="0041700E">
            <w:pPr>
              <w:rPr>
                <w:sz w:val="20"/>
                <w:szCs w:val="20"/>
              </w:rPr>
            </w:pPr>
            <w:r w:rsidRPr="00A839DD">
              <w:rPr>
                <w:sz w:val="20"/>
                <w:szCs w:val="20"/>
              </w:rPr>
              <w:t>Sexe (transidentité)</w:t>
            </w:r>
          </w:p>
        </w:tc>
        <w:tc>
          <w:tcPr>
            <w:tcW w:w="0" w:type="auto"/>
            <w:shd w:val="clear" w:color="auto" w:fill="E3ECF9"/>
            <w:tcMar>
              <w:top w:w="72" w:type="dxa"/>
              <w:left w:w="144" w:type="dxa"/>
              <w:bottom w:w="72" w:type="dxa"/>
              <w:right w:w="144" w:type="dxa"/>
            </w:tcMar>
            <w:vAlign w:val="center"/>
          </w:tcPr>
          <w:p w14:paraId="7C60CB7E" w14:textId="77777777" w:rsidR="007669DA" w:rsidRPr="00A839DD" w:rsidRDefault="007669DA" w:rsidP="0041700E">
            <w:pPr>
              <w:jc w:val="center"/>
              <w:rPr>
                <w:sz w:val="20"/>
                <w:szCs w:val="20"/>
              </w:rPr>
            </w:pPr>
            <w:r w:rsidRPr="00A839DD">
              <w:rPr>
                <w:sz w:val="20"/>
                <w:szCs w:val="20"/>
              </w:rPr>
              <w:t>57</w:t>
            </w:r>
          </w:p>
        </w:tc>
        <w:tc>
          <w:tcPr>
            <w:tcW w:w="0" w:type="auto"/>
            <w:shd w:val="clear" w:color="auto" w:fill="E3ECF9"/>
            <w:tcMar>
              <w:top w:w="72" w:type="dxa"/>
              <w:left w:w="144" w:type="dxa"/>
              <w:bottom w:w="72" w:type="dxa"/>
              <w:right w:w="144" w:type="dxa"/>
            </w:tcMar>
            <w:vAlign w:val="center"/>
          </w:tcPr>
          <w:p w14:paraId="286B8CE6" w14:textId="33C5FCCE" w:rsidR="007669DA" w:rsidRPr="00A839DD" w:rsidRDefault="007669DA" w:rsidP="0041700E">
            <w:pPr>
              <w:jc w:val="center"/>
              <w:rPr>
                <w:sz w:val="20"/>
                <w:szCs w:val="20"/>
              </w:rPr>
            </w:pPr>
            <w:r w:rsidRPr="00A839DD">
              <w:rPr>
                <w:sz w:val="20"/>
                <w:szCs w:val="20"/>
              </w:rPr>
              <w:t>7</w:t>
            </w:r>
            <w:r w:rsidR="00A2068D" w:rsidRPr="00A839DD">
              <w:rPr>
                <w:sz w:val="20"/>
                <w:szCs w:val="20"/>
              </w:rPr>
              <w:t> </w:t>
            </w:r>
            <w:r w:rsidRPr="00A839DD">
              <w:rPr>
                <w:sz w:val="20"/>
                <w:szCs w:val="20"/>
              </w:rPr>
              <w:t>%</w:t>
            </w:r>
          </w:p>
        </w:tc>
      </w:tr>
      <w:tr w:rsidR="007669DA" w:rsidRPr="00A839DD" w14:paraId="72B660E4" w14:textId="77777777" w:rsidTr="00164333">
        <w:trPr>
          <w:trHeight w:val="167"/>
          <w:jc w:val="center"/>
        </w:trPr>
        <w:tc>
          <w:tcPr>
            <w:tcW w:w="0" w:type="auto"/>
            <w:shd w:val="clear" w:color="auto" w:fill="FFFFFF" w:themeFill="background1"/>
            <w:tcMar>
              <w:top w:w="72" w:type="dxa"/>
              <w:left w:w="144" w:type="dxa"/>
              <w:bottom w:w="72" w:type="dxa"/>
              <w:right w:w="144" w:type="dxa"/>
            </w:tcMar>
            <w:hideMark/>
          </w:tcPr>
          <w:p w14:paraId="13008857" w14:textId="77777777" w:rsidR="007669DA" w:rsidRPr="00A839DD" w:rsidRDefault="007669DA">
            <w:pPr>
              <w:rPr>
                <w:b/>
                <w:bCs/>
                <w:sz w:val="20"/>
                <w:szCs w:val="20"/>
              </w:rPr>
            </w:pPr>
            <w:r w:rsidRPr="00A839DD">
              <w:rPr>
                <w:b/>
                <w:bCs/>
                <w:sz w:val="20"/>
                <w:szCs w:val="20"/>
              </w:rPr>
              <w:t>Total</w:t>
            </w:r>
          </w:p>
        </w:tc>
        <w:tc>
          <w:tcPr>
            <w:tcW w:w="0" w:type="auto"/>
            <w:shd w:val="clear" w:color="auto" w:fill="FFFFFF" w:themeFill="background1"/>
            <w:tcMar>
              <w:top w:w="72" w:type="dxa"/>
              <w:left w:w="144" w:type="dxa"/>
              <w:bottom w:w="72" w:type="dxa"/>
              <w:right w:w="144" w:type="dxa"/>
            </w:tcMar>
            <w:vAlign w:val="center"/>
            <w:hideMark/>
          </w:tcPr>
          <w:p w14:paraId="167B2409" w14:textId="77777777" w:rsidR="007669DA" w:rsidRPr="00A839DD" w:rsidRDefault="007669DA">
            <w:pPr>
              <w:jc w:val="center"/>
              <w:rPr>
                <w:b/>
                <w:bCs/>
                <w:sz w:val="20"/>
                <w:szCs w:val="20"/>
              </w:rPr>
            </w:pPr>
            <w:r w:rsidRPr="00A839DD">
              <w:rPr>
                <w:b/>
                <w:bCs/>
                <w:sz w:val="20"/>
                <w:szCs w:val="20"/>
              </w:rPr>
              <w:t>769</w:t>
            </w:r>
          </w:p>
        </w:tc>
        <w:tc>
          <w:tcPr>
            <w:tcW w:w="0" w:type="auto"/>
            <w:shd w:val="clear" w:color="auto" w:fill="FFFFFF" w:themeFill="background1"/>
            <w:tcMar>
              <w:top w:w="72" w:type="dxa"/>
              <w:left w:w="144" w:type="dxa"/>
              <w:bottom w:w="72" w:type="dxa"/>
              <w:right w:w="144" w:type="dxa"/>
            </w:tcMar>
            <w:vAlign w:val="center"/>
            <w:hideMark/>
          </w:tcPr>
          <w:p w14:paraId="0D222A1D" w14:textId="4B398524" w:rsidR="007669DA" w:rsidRPr="00A839DD" w:rsidRDefault="007669DA">
            <w:pPr>
              <w:jc w:val="center"/>
              <w:rPr>
                <w:b/>
                <w:bCs/>
                <w:sz w:val="20"/>
                <w:szCs w:val="20"/>
              </w:rPr>
            </w:pPr>
            <w:r w:rsidRPr="00A839DD">
              <w:rPr>
                <w:b/>
                <w:bCs/>
                <w:sz w:val="20"/>
                <w:szCs w:val="20"/>
              </w:rPr>
              <w:t>100</w:t>
            </w:r>
            <w:r w:rsidR="00A2068D" w:rsidRPr="00A839DD">
              <w:rPr>
                <w:b/>
                <w:bCs/>
                <w:sz w:val="20"/>
                <w:szCs w:val="20"/>
              </w:rPr>
              <w:t> </w:t>
            </w:r>
            <w:r w:rsidRPr="00A839DD">
              <w:rPr>
                <w:b/>
                <w:bCs/>
                <w:sz w:val="20"/>
                <w:szCs w:val="20"/>
              </w:rPr>
              <w:t>%</w:t>
            </w:r>
          </w:p>
        </w:tc>
      </w:tr>
    </w:tbl>
    <w:p w14:paraId="4E7559B6" w14:textId="3D5E8B49" w:rsidR="0011763A" w:rsidRPr="00A839DD" w:rsidRDefault="0011763A" w:rsidP="0006339A">
      <w:pPr>
        <w:pStyle w:val="Paragraphe"/>
      </w:pPr>
      <w:r w:rsidRPr="00A839DD">
        <w:t xml:space="preserve">La plus grande proportion de plaintes pour discrimination </w:t>
      </w:r>
      <w:r w:rsidR="00B17622">
        <w:t>fondée sur</w:t>
      </w:r>
      <w:r w:rsidRPr="00A839DD">
        <w:t xml:space="preserve"> l’orientation sexuelle s’explique probablement de deux façons. Premièrement, la reconnaissance de l’homophobie a été beaucoup plus précoce que </w:t>
      </w:r>
      <w:r w:rsidR="00774A8D">
        <w:t xml:space="preserve">celle de </w:t>
      </w:r>
      <w:r w:rsidRPr="00A839DD">
        <w:t>la transphobie. À titre de rappel, le motif «</w:t>
      </w:r>
      <w:r w:rsidR="00DE533D" w:rsidRPr="00A839DD">
        <w:rPr>
          <w:rFonts w:ascii="Arial" w:hAnsi="Arial" w:cs="Arial"/>
        </w:rPr>
        <w:t> </w:t>
      </w:r>
      <w:r w:rsidRPr="00A839DD">
        <w:t>orientation sexuelle</w:t>
      </w:r>
      <w:r w:rsidR="00DE533D" w:rsidRPr="00A839DD">
        <w:rPr>
          <w:rFonts w:ascii="Arial" w:hAnsi="Arial" w:cs="Arial"/>
        </w:rPr>
        <w:t> </w:t>
      </w:r>
      <w:r w:rsidRPr="00A839DD">
        <w:t xml:space="preserve">» a été ajouté à la Charte en 1977, tandis que l’identité ou l’expression de genre y a été incluse en 2016. Deuxièmement, selon des données de 2018 pour le Québec, davantage de personnes se déclarent </w:t>
      </w:r>
      <w:r w:rsidRPr="00A839DD">
        <w:lastRenderedPageBreak/>
        <w:t>appartenir aux minorités sexuelles (3,3</w:t>
      </w:r>
      <w:r w:rsidR="00A2068D" w:rsidRPr="00A839DD">
        <w:t> </w:t>
      </w:r>
      <w:r w:rsidRPr="00A839DD">
        <w:t>% de la population de 15</w:t>
      </w:r>
      <w:r w:rsidR="00937C69" w:rsidRPr="00A839DD">
        <w:t> </w:t>
      </w:r>
      <w:r w:rsidRPr="00A839DD">
        <w:t>ans et plus) qu’aux minorités de genre (0,23</w:t>
      </w:r>
      <w:r w:rsidR="00A2068D" w:rsidRPr="00A839DD">
        <w:t> </w:t>
      </w:r>
      <w:r w:rsidRPr="00A839DD">
        <w:t>%)</w:t>
      </w:r>
      <w:r w:rsidRPr="00A839DD">
        <w:rPr>
          <w:rStyle w:val="Appelnotedebasdep"/>
        </w:rPr>
        <w:footnoteReference w:id="202"/>
      </w:r>
      <w:r w:rsidRPr="00A839DD">
        <w:t>.</w:t>
      </w:r>
    </w:p>
    <w:p w14:paraId="06FF6CDE" w14:textId="0BBB77A4" w:rsidR="0011763A" w:rsidRPr="00A839DD" w:rsidRDefault="0011763A" w:rsidP="0006339A">
      <w:pPr>
        <w:pStyle w:val="Paragraphe"/>
      </w:pPr>
      <w:r w:rsidRPr="00A839DD">
        <w:t>Parmi ces 769</w:t>
      </w:r>
      <w:r w:rsidR="00937C69" w:rsidRPr="00A839DD">
        <w:t> </w:t>
      </w:r>
      <w:r w:rsidRPr="00A839DD">
        <w:t xml:space="preserve">plaintes, </w:t>
      </w:r>
      <w:r w:rsidR="00FA2976" w:rsidRPr="00A839DD">
        <w:t>une plainte sur quatre (</w:t>
      </w:r>
      <w:r w:rsidR="00720B76" w:rsidRPr="00A839DD">
        <w:t>24,3</w:t>
      </w:r>
      <w:r w:rsidR="0046630A" w:rsidRPr="00A839DD">
        <w:t> </w:t>
      </w:r>
      <w:r w:rsidR="00720B76" w:rsidRPr="00A839DD">
        <w:t>%)</w:t>
      </w:r>
      <w:r w:rsidR="00283C64" w:rsidRPr="00A839DD">
        <w:t xml:space="preserve"> vise</w:t>
      </w:r>
      <w:r w:rsidRPr="00A839DD">
        <w:t xml:space="preserve"> spécifiquement des situations de harcèlement discriminatoire</w:t>
      </w:r>
      <w:r w:rsidR="00F555C0" w:rsidRPr="00A839DD">
        <w:t xml:space="preserve">. </w:t>
      </w:r>
      <w:r w:rsidR="00C00F73" w:rsidRPr="00A839DD">
        <w:t xml:space="preserve">Parmi celles-ci, </w:t>
      </w:r>
      <w:r w:rsidR="0090723D" w:rsidRPr="00A839DD">
        <w:t>l</w:t>
      </w:r>
      <w:r w:rsidR="00720B76" w:rsidRPr="00A839DD">
        <w:t xml:space="preserve">a </w:t>
      </w:r>
      <w:r w:rsidR="0090723D" w:rsidRPr="00A839DD">
        <w:t>grande majorité a</w:t>
      </w:r>
      <w:r w:rsidRPr="00A839DD">
        <w:t xml:space="preserve"> trait à l’orientation sexuelle </w:t>
      </w:r>
      <w:r w:rsidR="00720B76" w:rsidRPr="00A839DD">
        <w:t>(82,9</w:t>
      </w:r>
      <w:r w:rsidR="0046630A" w:rsidRPr="00A839DD">
        <w:t> </w:t>
      </w:r>
      <w:r w:rsidR="00720B76" w:rsidRPr="00A839DD">
        <w:t>%)</w:t>
      </w:r>
      <w:r w:rsidR="00E85B87" w:rsidRPr="00A839DD">
        <w:t>, tandis que moins d’une sur cinq concerne</w:t>
      </w:r>
      <w:r w:rsidRPr="00A839DD">
        <w:t xml:space="preserve"> l’identité ou l’expression de genre</w:t>
      </w:r>
      <w:r w:rsidR="00F555C0" w:rsidRPr="00A839DD">
        <w:t xml:space="preserve"> (17,1</w:t>
      </w:r>
      <w:r w:rsidR="0046630A" w:rsidRPr="00A839DD">
        <w:t> </w:t>
      </w:r>
      <w:r w:rsidR="00F555C0" w:rsidRPr="00A839DD">
        <w:t>%)</w:t>
      </w:r>
      <w:r w:rsidRPr="00A839DD">
        <w:t xml:space="preserve">. Dans l’analyse qui suit, la distinction entre plaintes pour discrimination et plaintes pour harcèlement discriminatoire n’est pas explorée davantage. Les plaintes pour discrimination peuvent par exemple inclure des allégations de harcèlement discriminatoire, et vice versa. Comme l’objectif de la présente recherche n’est pas de qualifier juridiquement les faits allégués, il a plutôt été décidé de décrire le plus précisément possible les situations et expériences </w:t>
      </w:r>
      <w:r w:rsidR="00FA464B" w:rsidRPr="00A839DD">
        <w:t>exposées</w:t>
      </w:r>
      <w:r w:rsidRPr="00A839DD">
        <w:t xml:space="preserve"> dans les plaintes en utilisant des termes proches de ceux employés par les personnes plaignantes.</w:t>
      </w:r>
    </w:p>
    <w:p w14:paraId="78540D5B" w14:textId="77777777" w:rsidR="003B6693" w:rsidRPr="00A839DD" w:rsidRDefault="003B6693" w:rsidP="001D3E83">
      <w:pPr>
        <w:pStyle w:val="Titre2"/>
        <w:rPr>
          <w:noProof w:val="0"/>
        </w:rPr>
      </w:pPr>
      <w:bookmarkStart w:id="105" w:name="_Toc229131285"/>
      <w:r w:rsidRPr="00A839DD">
        <w:rPr>
          <w:noProof w:val="0"/>
        </w:rPr>
        <w:t>Portrait qualitatif des plaintes reçues par la Commission</w:t>
      </w:r>
      <w:bookmarkEnd w:id="105"/>
    </w:p>
    <w:p w14:paraId="3D526EC0" w14:textId="77777777" w:rsidR="00902A87" w:rsidRPr="00A839DD" w:rsidRDefault="00902A87" w:rsidP="0006339A">
      <w:pPr>
        <w:pStyle w:val="Paragraphe"/>
      </w:pPr>
      <w:r w:rsidRPr="00A839DD">
        <w:t>À la différence du portrait quantitatif, le portrait qualitatif ne porte pas sur l’ensemble des plaintes reçues par la Commission pour discrimination en emploi fondée sur l’orientation sexuelle et l’identité ou l’expression de genre. Celui-ci vise à approfondir l’analyse d’une partie des plaintes à partir d’une grille de lecture propre au projet, ce qui permet de ne pas se limiter aux variables saisies au cours du traitement des plaintes.</w:t>
      </w:r>
    </w:p>
    <w:p w14:paraId="5E5D2FA8" w14:textId="77777777" w:rsidR="005C2CEE" w:rsidRPr="00A839DD" w:rsidRDefault="005C2CEE" w:rsidP="001D3E83">
      <w:pPr>
        <w:pStyle w:val="Titre3"/>
        <w:rPr>
          <w:noProof w:val="0"/>
        </w:rPr>
      </w:pPr>
      <w:bookmarkStart w:id="106" w:name="_Toc229131286"/>
      <w:r w:rsidRPr="00A839DD">
        <w:rPr>
          <w:noProof w:val="0"/>
        </w:rPr>
        <w:t>Un corpus important mais non représentatif</w:t>
      </w:r>
      <w:bookmarkEnd w:id="106"/>
    </w:p>
    <w:p w14:paraId="5B1DAB77" w14:textId="039D48B7" w:rsidR="00DE46CF" w:rsidRDefault="00DE46CF" w:rsidP="0006339A">
      <w:pPr>
        <w:pStyle w:val="Paragraphe"/>
      </w:pPr>
      <w:r w:rsidRPr="00A839DD">
        <w:t>Le corpus retenu pour l’analyse qualitative inclut des plaintes reçues pour discrimination en emploi entre le 1</w:t>
      </w:r>
      <w:r w:rsidRPr="00A839DD">
        <w:rPr>
          <w:vertAlign w:val="superscript"/>
        </w:rPr>
        <w:t>er</w:t>
      </w:r>
      <w:r w:rsidR="00937C69" w:rsidRPr="00A839DD">
        <w:t> </w:t>
      </w:r>
      <w:r w:rsidRPr="00A839DD">
        <w:t>janvier 1994 et le 31</w:t>
      </w:r>
      <w:r w:rsidR="00937C69" w:rsidRPr="00A839DD">
        <w:t> </w:t>
      </w:r>
      <w:r w:rsidRPr="00A839DD">
        <w:t xml:space="preserve">décembre 2020. Le début de la période est le même que pour le portrait quantitatif. La fin de la période coïncide quant à elle avec la fin de la collecte de données du projet SAVIE-LGBTQ. </w:t>
      </w:r>
    </w:p>
    <w:p w14:paraId="17A7FDF5" w14:textId="77777777" w:rsidR="00F9560E" w:rsidRDefault="00F9560E" w:rsidP="0006339A">
      <w:pPr>
        <w:pStyle w:val="Paragraphe"/>
      </w:pPr>
    </w:p>
    <w:p w14:paraId="30F2BF86" w14:textId="77777777" w:rsidR="00F9560E" w:rsidRDefault="00F9560E" w:rsidP="0006339A">
      <w:pPr>
        <w:pStyle w:val="Paragraphe"/>
      </w:pPr>
    </w:p>
    <w:p w14:paraId="7F767373" w14:textId="77777777" w:rsidR="00F9560E" w:rsidRDefault="00F9560E" w:rsidP="0006339A">
      <w:pPr>
        <w:pStyle w:val="Paragraphe"/>
      </w:pPr>
    </w:p>
    <w:p w14:paraId="47E81122" w14:textId="77777777" w:rsidR="00F9560E" w:rsidRDefault="00F9560E" w:rsidP="0006339A">
      <w:pPr>
        <w:pStyle w:val="Paragraphe"/>
      </w:pPr>
    </w:p>
    <w:p w14:paraId="159D5193" w14:textId="77777777" w:rsidR="00F9560E" w:rsidRPr="00A839DD" w:rsidRDefault="00F9560E" w:rsidP="0006339A">
      <w:pPr>
        <w:pStyle w:val="Paragraphe"/>
      </w:pPr>
    </w:p>
    <w:tbl>
      <w:tblPr>
        <w:tblW w:w="90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20" w:firstRow="1" w:lastRow="0" w:firstColumn="0" w:lastColumn="0" w:noHBand="0" w:noVBand="1"/>
      </w:tblPr>
      <w:tblGrid>
        <w:gridCol w:w="2399"/>
        <w:gridCol w:w="1903"/>
        <w:gridCol w:w="2203"/>
        <w:gridCol w:w="2537"/>
      </w:tblGrid>
      <w:tr w:rsidR="00AD5420" w:rsidRPr="00A839DD" w14:paraId="52D62101" w14:textId="77777777" w:rsidTr="00164333">
        <w:trPr>
          <w:trHeight w:val="352"/>
          <w:jc w:val="center"/>
        </w:trPr>
        <w:tc>
          <w:tcPr>
            <w:tcW w:w="0" w:type="auto"/>
            <w:gridSpan w:val="4"/>
            <w:shd w:val="clear" w:color="auto" w:fill="953D89"/>
            <w:tcMar>
              <w:top w:w="72" w:type="dxa"/>
              <w:left w:w="144" w:type="dxa"/>
              <w:bottom w:w="72" w:type="dxa"/>
              <w:right w:w="144" w:type="dxa"/>
            </w:tcMar>
            <w:vAlign w:val="center"/>
          </w:tcPr>
          <w:p w14:paraId="66652F58" w14:textId="0A3DB435" w:rsidR="00AD5420" w:rsidRPr="00A839DD" w:rsidRDefault="00AD5420" w:rsidP="004A3DE0">
            <w:pPr>
              <w:tabs>
                <w:tab w:val="left" w:pos="16"/>
              </w:tabs>
              <w:jc w:val="center"/>
              <w:rPr>
                <w:b/>
                <w:color w:val="FFFFFF" w:themeColor="background1"/>
                <w:sz w:val="20"/>
                <w:szCs w:val="20"/>
                <w:bdr w:val="none" w:sz="0" w:space="0" w:color="auto" w:frame="1"/>
              </w:rPr>
            </w:pPr>
            <w:r w:rsidRPr="00AD5420">
              <w:rPr>
                <w:rFonts w:asciiTheme="minorHAnsi" w:hAnsiTheme="minorHAnsi" w:cs="Calibri"/>
                <w:b/>
                <w:bCs/>
                <w:color w:val="FFFFFF" w:themeColor="background1"/>
                <w:sz w:val="20"/>
                <w:szCs w:val="20"/>
                <w:lang w:eastAsia="fr-CA"/>
              </w:rPr>
              <w:lastRenderedPageBreak/>
              <w:t>Tableau 2</w:t>
            </w:r>
            <w:r w:rsidRPr="00AD5420">
              <w:rPr>
                <w:b/>
                <w:color w:val="FFFFFF" w:themeColor="background1"/>
                <w:sz w:val="20"/>
                <w:szCs w:val="20"/>
              </w:rPr>
              <w:t> </w:t>
            </w:r>
            <w:r w:rsidRPr="00AD5420">
              <w:rPr>
                <w:b/>
                <w:color w:val="FFFFFF" w:themeColor="background1"/>
                <w:sz w:val="20"/>
                <w:szCs w:val="20"/>
              </w:rPr>
              <w:br/>
            </w:r>
            <w:r w:rsidRPr="00AD5420">
              <w:rPr>
                <w:color w:val="FFFFFF" w:themeColor="background1"/>
                <w:sz w:val="20"/>
                <w:szCs w:val="20"/>
              </w:rPr>
              <w:t>Nombre de plaintes pour discrimination en emploi retenues</w:t>
            </w:r>
            <w:r w:rsidRPr="00AD5420">
              <w:rPr>
                <w:color w:val="FFFFFF" w:themeColor="background1"/>
                <w:sz w:val="20"/>
                <w:szCs w:val="20"/>
              </w:rPr>
              <w:br/>
              <w:t>pour l’analyse qualitative (1994 –</w:t>
            </w:r>
            <w:r w:rsidRPr="00AD5420">
              <w:rPr>
                <w:rFonts w:ascii="Arial" w:hAnsi="Arial" w:cs="Arial"/>
                <w:color w:val="FFFFFF" w:themeColor="background1"/>
                <w:sz w:val="20"/>
                <w:szCs w:val="20"/>
              </w:rPr>
              <w:t> </w:t>
            </w:r>
            <w:r w:rsidRPr="00AD5420">
              <w:rPr>
                <w:color w:val="FFFFFF" w:themeColor="background1"/>
                <w:sz w:val="20"/>
                <w:szCs w:val="20"/>
              </w:rPr>
              <w:t>2020)</w:t>
            </w:r>
          </w:p>
        </w:tc>
      </w:tr>
      <w:tr w:rsidR="0041700E" w:rsidRPr="00A839DD" w14:paraId="1A01FEF1" w14:textId="77777777" w:rsidTr="00164333">
        <w:trPr>
          <w:trHeight w:val="352"/>
          <w:jc w:val="center"/>
        </w:trPr>
        <w:tc>
          <w:tcPr>
            <w:tcW w:w="0" w:type="auto"/>
            <w:shd w:val="clear" w:color="auto" w:fill="202C4B"/>
            <w:tcMar>
              <w:top w:w="72" w:type="dxa"/>
              <w:left w:w="144" w:type="dxa"/>
              <w:bottom w:w="72" w:type="dxa"/>
              <w:right w:w="144" w:type="dxa"/>
            </w:tcMar>
            <w:vAlign w:val="center"/>
            <w:hideMark/>
          </w:tcPr>
          <w:p w14:paraId="048AB754" w14:textId="77777777" w:rsidR="0039325F" w:rsidRPr="00A839DD" w:rsidRDefault="0039325F" w:rsidP="004A3DE0">
            <w:pPr>
              <w:jc w:val="center"/>
              <w:rPr>
                <w:b/>
                <w:color w:val="FFFFFF" w:themeColor="background1"/>
                <w:sz w:val="20"/>
                <w:szCs w:val="20"/>
                <w:bdr w:val="none" w:sz="0" w:space="0" w:color="auto" w:frame="1"/>
              </w:rPr>
            </w:pPr>
            <w:r w:rsidRPr="00A839DD">
              <w:rPr>
                <w:b/>
                <w:color w:val="FFFFFF" w:themeColor="background1"/>
                <w:sz w:val="20"/>
                <w:szCs w:val="20"/>
                <w:bdr w:val="none" w:sz="0" w:space="0" w:color="auto" w:frame="1"/>
              </w:rPr>
              <w:t>Motifs</w:t>
            </w:r>
          </w:p>
        </w:tc>
        <w:tc>
          <w:tcPr>
            <w:tcW w:w="0" w:type="auto"/>
            <w:shd w:val="clear" w:color="auto" w:fill="202C4B"/>
            <w:tcMar>
              <w:top w:w="72" w:type="dxa"/>
              <w:left w:w="144" w:type="dxa"/>
              <w:bottom w:w="72" w:type="dxa"/>
              <w:right w:w="144" w:type="dxa"/>
            </w:tcMar>
            <w:vAlign w:val="center"/>
            <w:hideMark/>
          </w:tcPr>
          <w:p w14:paraId="58A7D4A6" w14:textId="77777777" w:rsidR="0039325F" w:rsidRPr="00A839DD" w:rsidRDefault="0039325F" w:rsidP="004A3DE0">
            <w:pPr>
              <w:tabs>
                <w:tab w:val="left" w:pos="0"/>
              </w:tabs>
              <w:ind w:left="52"/>
              <w:jc w:val="center"/>
              <w:rPr>
                <w:b/>
                <w:color w:val="FFFFFF" w:themeColor="background1"/>
                <w:sz w:val="20"/>
                <w:szCs w:val="20"/>
                <w:bdr w:val="none" w:sz="0" w:space="0" w:color="auto" w:frame="1"/>
              </w:rPr>
            </w:pPr>
            <w:r w:rsidRPr="00A839DD">
              <w:rPr>
                <w:b/>
                <w:color w:val="FFFFFF" w:themeColor="background1"/>
                <w:sz w:val="20"/>
                <w:szCs w:val="20"/>
                <w:bdr w:val="none" w:sz="0" w:space="0" w:color="auto" w:frame="1"/>
              </w:rPr>
              <w:t>Nombre total de plaintes</w:t>
            </w:r>
          </w:p>
        </w:tc>
        <w:tc>
          <w:tcPr>
            <w:tcW w:w="0" w:type="auto"/>
            <w:shd w:val="clear" w:color="auto" w:fill="202C4B"/>
            <w:tcMar>
              <w:top w:w="72" w:type="dxa"/>
              <w:left w:w="144" w:type="dxa"/>
              <w:bottom w:w="72" w:type="dxa"/>
              <w:right w:w="144" w:type="dxa"/>
            </w:tcMar>
            <w:vAlign w:val="center"/>
            <w:hideMark/>
          </w:tcPr>
          <w:p w14:paraId="3995DAEB" w14:textId="77777777" w:rsidR="0039325F" w:rsidRPr="00A839DD" w:rsidRDefault="0039325F" w:rsidP="004A3DE0">
            <w:pPr>
              <w:tabs>
                <w:tab w:val="left" w:pos="0"/>
              </w:tabs>
              <w:jc w:val="center"/>
              <w:rPr>
                <w:b/>
                <w:color w:val="FFFFFF" w:themeColor="background1"/>
                <w:sz w:val="20"/>
                <w:szCs w:val="20"/>
                <w:bdr w:val="none" w:sz="0" w:space="0" w:color="auto" w:frame="1"/>
              </w:rPr>
            </w:pPr>
            <w:r w:rsidRPr="00A839DD">
              <w:rPr>
                <w:b/>
                <w:color w:val="FFFFFF" w:themeColor="background1"/>
                <w:sz w:val="20"/>
                <w:szCs w:val="20"/>
                <w:bdr w:val="none" w:sz="0" w:space="0" w:color="auto" w:frame="1"/>
              </w:rPr>
              <w:t>Nombre de plaintes analysées</w:t>
            </w:r>
          </w:p>
        </w:tc>
        <w:tc>
          <w:tcPr>
            <w:tcW w:w="0" w:type="auto"/>
            <w:shd w:val="clear" w:color="auto" w:fill="202C4B"/>
            <w:tcMar>
              <w:top w:w="72" w:type="dxa"/>
              <w:left w:w="144" w:type="dxa"/>
              <w:bottom w:w="72" w:type="dxa"/>
              <w:right w:w="144" w:type="dxa"/>
            </w:tcMar>
            <w:vAlign w:val="center"/>
            <w:hideMark/>
          </w:tcPr>
          <w:p w14:paraId="44FC3174" w14:textId="77777777" w:rsidR="0039325F" w:rsidRPr="00A839DD" w:rsidRDefault="0039325F" w:rsidP="004A3DE0">
            <w:pPr>
              <w:tabs>
                <w:tab w:val="left" w:pos="16"/>
              </w:tabs>
              <w:jc w:val="center"/>
              <w:rPr>
                <w:b/>
                <w:color w:val="FFFFFF" w:themeColor="background1"/>
                <w:sz w:val="20"/>
                <w:szCs w:val="20"/>
                <w:bdr w:val="none" w:sz="0" w:space="0" w:color="auto" w:frame="1"/>
              </w:rPr>
            </w:pPr>
            <w:r w:rsidRPr="00A839DD">
              <w:rPr>
                <w:b/>
                <w:color w:val="FFFFFF" w:themeColor="background1"/>
                <w:sz w:val="20"/>
                <w:szCs w:val="20"/>
                <w:bdr w:val="none" w:sz="0" w:space="0" w:color="auto" w:frame="1"/>
              </w:rPr>
              <w:t>Pourcentage de plaintes analysées</w:t>
            </w:r>
          </w:p>
        </w:tc>
      </w:tr>
      <w:tr w:rsidR="0039325F" w:rsidRPr="00A839DD" w14:paraId="5FE993E9" w14:textId="77777777" w:rsidTr="00164333">
        <w:trPr>
          <w:trHeight w:val="288"/>
          <w:jc w:val="center"/>
        </w:trPr>
        <w:tc>
          <w:tcPr>
            <w:tcW w:w="0" w:type="auto"/>
            <w:shd w:val="clear" w:color="auto" w:fill="FFFFFF" w:themeFill="background1"/>
            <w:tcMar>
              <w:top w:w="72" w:type="dxa"/>
              <w:left w:w="144" w:type="dxa"/>
              <w:bottom w:w="72" w:type="dxa"/>
              <w:right w:w="144" w:type="dxa"/>
            </w:tcMar>
            <w:vAlign w:val="center"/>
            <w:hideMark/>
          </w:tcPr>
          <w:p w14:paraId="599E282F" w14:textId="77777777" w:rsidR="0039325F" w:rsidRPr="00A839DD" w:rsidRDefault="0039325F" w:rsidP="004A3DE0">
            <w:pPr>
              <w:rPr>
                <w:sz w:val="20"/>
                <w:szCs w:val="20"/>
                <w:bdr w:val="none" w:sz="0" w:space="0" w:color="auto" w:frame="1"/>
              </w:rPr>
            </w:pPr>
            <w:r w:rsidRPr="00A839DD">
              <w:rPr>
                <w:sz w:val="20"/>
                <w:szCs w:val="20"/>
                <w:bdr w:val="none" w:sz="0" w:space="0" w:color="auto" w:frame="1"/>
              </w:rPr>
              <w:t>Orientation sexuelle</w:t>
            </w:r>
          </w:p>
        </w:tc>
        <w:tc>
          <w:tcPr>
            <w:tcW w:w="0" w:type="auto"/>
            <w:shd w:val="clear" w:color="auto" w:fill="FFFFFF" w:themeFill="background1"/>
            <w:tcMar>
              <w:top w:w="72" w:type="dxa"/>
              <w:left w:w="144" w:type="dxa"/>
              <w:bottom w:w="72" w:type="dxa"/>
              <w:right w:w="144" w:type="dxa"/>
            </w:tcMar>
            <w:vAlign w:val="center"/>
            <w:hideMark/>
          </w:tcPr>
          <w:p w14:paraId="23787B9A" w14:textId="77777777" w:rsidR="0039325F" w:rsidRPr="00A839DD" w:rsidRDefault="0039325F" w:rsidP="004A3DE0">
            <w:pPr>
              <w:jc w:val="center"/>
              <w:rPr>
                <w:sz w:val="20"/>
                <w:szCs w:val="20"/>
                <w:bdr w:val="none" w:sz="0" w:space="0" w:color="auto" w:frame="1"/>
              </w:rPr>
            </w:pPr>
            <w:r w:rsidRPr="00A839DD">
              <w:rPr>
                <w:sz w:val="20"/>
                <w:szCs w:val="20"/>
                <w:bdr w:val="none" w:sz="0" w:space="0" w:color="auto" w:frame="1"/>
              </w:rPr>
              <w:t>511</w:t>
            </w:r>
          </w:p>
        </w:tc>
        <w:tc>
          <w:tcPr>
            <w:tcW w:w="0" w:type="auto"/>
            <w:shd w:val="clear" w:color="auto" w:fill="FFFFFF" w:themeFill="background1"/>
            <w:tcMar>
              <w:top w:w="72" w:type="dxa"/>
              <w:left w:w="144" w:type="dxa"/>
              <w:bottom w:w="72" w:type="dxa"/>
              <w:right w:w="144" w:type="dxa"/>
            </w:tcMar>
            <w:vAlign w:val="center"/>
            <w:hideMark/>
          </w:tcPr>
          <w:p w14:paraId="602A8555" w14:textId="77777777" w:rsidR="0039325F" w:rsidRPr="00A839DD" w:rsidRDefault="0039325F" w:rsidP="004A3DE0">
            <w:pPr>
              <w:jc w:val="center"/>
              <w:rPr>
                <w:sz w:val="20"/>
                <w:szCs w:val="20"/>
                <w:bdr w:val="none" w:sz="0" w:space="0" w:color="auto" w:frame="1"/>
              </w:rPr>
            </w:pPr>
            <w:r w:rsidRPr="00A839DD">
              <w:rPr>
                <w:sz w:val="20"/>
                <w:szCs w:val="20"/>
                <w:bdr w:val="none" w:sz="0" w:space="0" w:color="auto" w:frame="1"/>
              </w:rPr>
              <w:t>164</w:t>
            </w:r>
          </w:p>
        </w:tc>
        <w:tc>
          <w:tcPr>
            <w:tcW w:w="0" w:type="auto"/>
            <w:shd w:val="clear" w:color="auto" w:fill="FFFFFF" w:themeFill="background1"/>
            <w:tcMar>
              <w:top w:w="72" w:type="dxa"/>
              <w:left w:w="144" w:type="dxa"/>
              <w:bottom w:w="72" w:type="dxa"/>
              <w:right w:w="144" w:type="dxa"/>
            </w:tcMar>
            <w:vAlign w:val="center"/>
            <w:hideMark/>
          </w:tcPr>
          <w:p w14:paraId="5A49E52B" w14:textId="0B9F376F" w:rsidR="0039325F" w:rsidRPr="00A839DD" w:rsidRDefault="0039325F" w:rsidP="004A3DE0">
            <w:pPr>
              <w:jc w:val="center"/>
              <w:rPr>
                <w:sz w:val="20"/>
                <w:szCs w:val="20"/>
                <w:bdr w:val="none" w:sz="0" w:space="0" w:color="auto" w:frame="1"/>
              </w:rPr>
            </w:pPr>
            <w:r w:rsidRPr="00A839DD">
              <w:rPr>
                <w:sz w:val="20"/>
                <w:szCs w:val="20"/>
                <w:bdr w:val="none" w:sz="0" w:space="0" w:color="auto" w:frame="1"/>
              </w:rPr>
              <w:t>32</w:t>
            </w:r>
            <w:r w:rsidR="00A2068D" w:rsidRPr="00A839DD">
              <w:rPr>
                <w:sz w:val="20"/>
                <w:szCs w:val="20"/>
                <w:bdr w:val="none" w:sz="0" w:space="0" w:color="auto" w:frame="1"/>
              </w:rPr>
              <w:t> </w:t>
            </w:r>
            <w:r w:rsidRPr="00A839DD">
              <w:rPr>
                <w:sz w:val="20"/>
                <w:szCs w:val="20"/>
                <w:bdr w:val="none" w:sz="0" w:space="0" w:color="auto" w:frame="1"/>
              </w:rPr>
              <w:t>%</w:t>
            </w:r>
          </w:p>
        </w:tc>
      </w:tr>
      <w:tr w:rsidR="0039325F" w:rsidRPr="00A839DD" w14:paraId="3326BAF8" w14:textId="77777777" w:rsidTr="00164333">
        <w:trPr>
          <w:trHeight w:val="316"/>
          <w:jc w:val="center"/>
        </w:trPr>
        <w:tc>
          <w:tcPr>
            <w:tcW w:w="0" w:type="auto"/>
            <w:shd w:val="clear" w:color="auto" w:fill="E3ECF9"/>
            <w:tcMar>
              <w:top w:w="72" w:type="dxa"/>
              <w:left w:w="144" w:type="dxa"/>
              <w:bottom w:w="72" w:type="dxa"/>
              <w:right w:w="144" w:type="dxa"/>
            </w:tcMar>
            <w:vAlign w:val="center"/>
            <w:hideMark/>
          </w:tcPr>
          <w:p w14:paraId="1EDC4410" w14:textId="77777777" w:rsidR="0039325F" w:rsidRPr="00A839DD" w:rsidRDefault="0039325F" w:rsidP="004A3DE0">
            <w:pPr>
              <w:tabs>
                <w:tab w:val="left" w:pos="0"/>
              </w:tabs>
              <w:rPr>
                <w:sz w:val="20"/>
                <w:szCs w:val="20"/>
                <w:bdr w:val="none" w:sz="0" w:space="0" w:color="auto" w:frame="1"/>
              </w:rPr>
            </w:pPr>
            <w:r w:rsidRPr="00A839DD">
              <w:rPr>
                <w:sz w:val="20"/>
                <w:szCs w:val="20"/>
                <w:bdr w:val="none" w:sz="0" w:space="0" w:color="auto" w:frame="1"/>
              </w:rPr>
              <w:t>Identité ou expression de genre</w:t>
            </w:r>
          </w:p>
        </w:tc>
        <w:tc>
          <w:tcPr>
            <w:tcW w:w="0" w:type="auto"/>
            <w:shd w:val="clear" w:color="auto" w:fill="E3ECF9"/>
            <w:tcMar>
              <w:top w:w="72" w:type="dxa"/>
              <w:left w:w="144" w:type="dxa"/>
              <w:bottom w:w="72" w:type="dxa"/>
              <w:right w:w="144" w:type="dxa"/>
            </w:tcMar>
            <w:vAlign w:val="center"/>
            <w:hideMark/>
          </w:tcPr>
          <w:p w14:paraId="032BDB4E" w14:textId="77777777" w:rsidR="0039325F" w:rsidRPr="00A839DD" w:rsidRDefault="0039325F" w:rsidP="004A3DE0">
            <w:pPr>
              <w:jc w:val="center"/>
              <w:rPr>
                <w:sz w:val="20"/>
                <w:szCs w:val="20"/>
                <w:bdr w:val="none" w:sz="0" w:space="0" w:color="auto" w:frame="1"/>
              </w:rPr>
            </w:pPr>
            <w:r w:rsidRPr="00A839DD">
              <w:rPr>
                <w:sz w:val="20"/>
                <w:szCs w:val="20"/>
                <w:bdr w:val="none" w:sz="0" w:space="0" w:color="auto" w:frame="1"/>
              </w:rPr>
              <w:t>83</w:t>
            </w:r>
          </w:p>
        </w:tc>
        <w:tc>
          <w:tcPr>
            <w:tcW w:w="0" w:type="auto"/>
            <w:shd w:val="clear" w:color="auto" w:fill="E3ECF9"/>
            <w:tcMar>
              <w:top w:w="72" w:type="dxa"/>
              <w:left w:w="144" w:type="dxa"/>
              <w:bottom w:w="72" w:type="dxa"/>
              <w:right w:w="144" w:type="dxa"/>
            </w:tcMar>
            <w:vAlign w:val="center"/>
            <w:hideMark/>
          </w:tcPr>
          <w:p w14:paraId="4488E95F" w14:textId="77777777" w:rsidR="0039325F" w:rsidRPr="00A839DD" w:rsidRDefault="0039325F" w:rsidP="004A3DE0">
            <w:pPr>
              <w:jc w:val="center"/>
              <w:rPr>
                <w:sz w:val="20"/>
                <w:szCs w:val="20"/>
                <w:bdr w:val="none" w:sz="0" w:space="0" w:color="auto" w:frame="1"/>
              </w:rPr>
            </w:pPr>
            <w:r w:rsidRPr="00A839DD">
              <w:rPr>
                <w:sz w:val="20"/>
                <w:szCs w:val="20"/>
                <w:bdr w:val="none" w:sz="0" w:space="0" w:color="auto" w:frame="1"/>
              </w:rPr>
              <w:t>37</w:t>
            </w:r>
          </w:p>
        </w:tc>
        <w:tc>
          <w:tcPr>
            <w:tcW w:w="0" w:type="auto"/>
            <w:shd w:val="clear" w:color="auto" w:fill="E3ECF9"/>
            <w:tcMar>
              <w:top w:w="72" w:type="dxa"/>
              <w:left w:w="144" w:type="dxa"/>
              <w:bottom w:w="72" w:type="dxa"/>
              <w:right w:w="144" w:type="dxa"/>
            </w:tcMar>
            <w:vAlign w:val="center"/>
            <w:hideMark/>
          </w:tcPr>
          <w:p w14:paraId="536DB788" w14:textId="06FFB844" w:rsidR="0039325F" w:rsidRPr="00A839DD" w:rsidRDefault="0039325F" w:rsidP="004A3DE0">
            <w:pPr>
              <w:jc w:val="center"/>
              <w:rPr>
                <w:sz w:val="20"/>
                <w:szCs w:val="20"/>
                <w:bdr w:val="none" w:sz="0" w:space="0" w:color="auto" w:frame="1"/>
              </w:rPr>
            </w:pPr>
            <w:r w:rsidRPr="00A839DD">
              <w:rPr>
                <w:sz w:val="20"/>
                <w:szCs w:val="20"/>
                <w:bdr w:val="none" w:sz="0" w:space="0" w:color="auto" w:frame="1"/>
              </w:rPr>
              <w:t>45</w:t>
            </w:r>
            <w:r w:rsidR="00A2068D" w:rsidRPr="00A839DD">
              <w:rPr>
                <w:sz w:val="20"/>
                <w:szCs w:val="20"/>
                <w:bdr w:val="none" w:sz="0" w:space="0" w:color="auto" w:frame="1"/>
              </w:rPr>
              <w:t> </w:t>
            </w:r>
            <w:r w:rsidRPr="00A839DD">
              <w:rPr>
                <w:sz w:val="20"/>
                <w:szCs w:val="20"/>
                <w:bdr w:val="none" w:sz="0" w:space="0" w:color="auto" w:frame="1"/>
              </w:rPr>
              <w:t>%</w:t>
            </w:r>
          </w:p>
        </w:tc>
      </w:tr>
      <w:tr w:rsidR="0039325F" w:rsidRPr="00A839DD" w14:paraId="5508484E" w14:textId="77777777" w:rsidTr="00164333">
        <w:trPr>
          <w:trHeight w:val="116"/>
          <w:jc w:val="center"/>
        </w:trPr>
        <w:tc>
          <w:tcPr>
            <w:tcW w:w="0" w:type="auto"/>
            <w:shd w:val="clear" w:color="auto" w:fill="FFFFFF" w:themeFill="background1"/>
            <w:tcMar>
              <w:top w:w="72" w:type="dxa"/>
              <w:left w:w="144" w:type="dxa"/>
              <w:bottom w:w="72" w:type="dxa"/>
              <w:right w:w="144" w:type="dxa"/>
            </w:tcMar>
            <w:vAlign w:val="center"/>
            <w:hideMark/>
          </w:tcPr>
          <w:p w14:paraId="6FDF7869" w14:textId="77777777" w:rsidR="0039325F" w:rsidRPr="00A839DD" w:rsidRDefault="0039325F" w:rsidP="004A3DE0">
            <w:pPr>
              <w:tabs>
                <w:tab w:val="left" w:pos="0"/>
              </w:tabs>
              <w:rPr>
                <w:b/>
                <w:bCs/>
                <w:sz w:val="20"/>
                <w:szCs w:val="20"/>
                <w:bdr w:val="none" w:sz="0" w:space="0" w:color="auto" w:frame="1"/>
              </w:rPr>
            </w:pPr>
            <w:r w:rsidRPr="00A839DD">
              <w:rPr>
                <w:b/>
                <w:bCs/>
                <w:sz w:val="20"/>
                <w:szCs w:val="20"/>
                <w:bdr w:val="none" w:sz="0" w:space="0" w:color="auto" w:frame="1"/>
              </w:rPr>
              <w:t>Total pour les deux motifs étudiés</w:t>
            </w:r>
          </w:p>
        </w:tc>
        <w:tc>
          <w:tcPr>
            <w:tcW w:w="0" w:type="auto"/>
            <w:shd w:val="clear" w:color="auto" w:fill="FFFFFF" w:themeFill="background1"/>
            <w:tcMar>
              <w:top w:w="72" w:type="dxa"/>
              <w:left w:w="144" w:type="dxa"/>
              <w:bottom w:w="72" w:type="dxa"/>
              <w:right w:w="144" w:type="dxa"/>
            </w:tcMar>
            <w:vAlign w:val="center"/>
            <w:hideMark/>
          </w:tcPr>
          <w:p w14:paraId="6B1B3673" w14:textId="77777777" w:rsidR="0039325F" w:rsidRPr="00A839DD" w:rsidRDefault="0039325F" w:rsidP="004A3DE0">
            <w:pPr>
              <w:jc w:val="center"/>
              <w:rPr>
                <w:b/>
                <w:bCs/>
                <w:sz w:val="20"/>
                <w:szCs w:val="20"/>
                <w:bdr w:val="none" w:sz="0" w:space="0" w:color="auto" w:frame="1"/>
              </w:rPr>
            </w:pPr>
            <w:r w:rsidRPr="00A839DD">
              <w:rPr>
                <w:b/>
                <w:bCs/>
                <w:sz w:val="20"/>
                <w:szCs w:val="20"/>
                <w:bdr w:val="none" w:sz="0" w:space="0" w:color="auto" w:frame="1"/>
              </w:rPr>
              <w:t>594</w:t>
            </w:r>
          </w:p>
        </w:tc>
        <w:tc>
          <w:tcPr>
            <w:tcW w:w="0" w:type="auto"/>
            <w:shd w:val="clear" w:color="auto" w:fill="FFFFFF" w:themeFill="background1"/>
            <w:tcMar>
              <w:top w:w="72" w:type="dxa"/>
              <w:left w:w="144" w:type="dxa"/>
              <w:bottom w:w="72" w:type="dxa"/>
              <w:right w:w="144" w:type="dxa"/>
            </w:tcMar>
            <w:vAlign w:val="center"/>
            <w:hideMark/>
          </w:tcPr>
          <w:p w14:paraId="0E04BF9C" w14:textId="77777777" w:rsidR="0039325F" w:rsidRPr="00A839DD" w:rsidRDefault="0039325F" w:rsidP="004A3DE0">
            <w:pPr>
              <w:jc w:val="center"/>
              <w:rPr>
                <w:b/>
                <w:bCs/>
                <w:sz w:val="20"/>
                <w:szCs w:val="20"/>
                <w:bdr w:val="none" w:sz="0" w:space="0" w:color="auto" w:frame="1"/>
              </w:rPr>
            </w:pPr>
            <w:r w:rsidRPr="00A839DD">
              <w:rPr>
                <w:b/>
                <w:bCs/>
                <w:sz w:val="20"/>
                <w:szCs w:val="20"/>
                <w:bdr w:val="none" w:sz="0" w:space="0" w:color="auto" w:frame="1"/>
              </w:rPr>
              <w:t>201</w:t>
            </w:r>
          </w:p>
        </w:tc>
        <w:tc>
          <w:tcPr>
            <w:tcW w:w="0" w:type="auto"/>
            <w:shd w:val="clear" w:color="auto" w:fill="FFFFFF" w:themeFill="background1"/>
            <w:tcMar>
              <w:top w:w="72" w:type="dxa"/>
              <w:left w:w="144" w:type="dxa"/>
              <w:bottom w:w="72" w:type="dxa"/>
              <w:right w:w="144" w:type="dxa"/>
            </w:tcMar>
            <w:vAlign w:val="center"/>
            <w:hideMark/>
          </w:tcPr>
          <w:p w14:paraId="67377173" w14:textId="68F60CBA" w:rsidR="0039325F" w:rsidRPr="00A839DD" w:rsidRDefault="0039325F" w:rsidP="004A3DE0">
            <w:pPr>
              <w:jc w:val="center"/>
              <w:rPr>
                <w:b/>
                <w:bCs/>
                <w:sz w:val="20"/>
                <w:szCs w:val="20"/>
                <w:bdr w:val="none" w:sz="0" w:space="0" w:color="auto" w:frame="1"/>
              </w:rPr>
            </w:pPr>
            <w:r w:rsidRPr="00A839DD">
              <w:rPr>
                <w:b/>
                <w:bCs/>
                <w:sz w:val="20"/>
                <w:szCs w:val="20"/>
                <w:bdr w:val="none" w:sz="0" w:space="0" w:color="auto" w:frame="1"/>
              </w:rPr>
              <w:t>34</w:t>
            </w:r>
            <w:r w:rsidR="00A2068D" w:rsidRPr="00A839DD">
              <w:rPr>
                <w:b/>
                <w:bCs/>
                <w:sz w:val="20"/>
                <w:szCs w:val="20"/>
                <w:bdr w:val="none" w:sz="0" w:space="0" w:color="auto" w:frame="1"/>
              </w:rPr>
              <w:t> </w:t>
            </w:r>
            <w:r w:rsidRPr="00A839DD">
              <w:rPr>
                <w:b/>
                <w:bCs/>
                <w:sz w:val="20"/>
                <w:szCs w:val="20"/>
                <w:bdr w:val="none" w:sz="0" w:space="0" w:color="auto" w:frame="1"/>
              </w:rPr>
              <w:t>%</w:t>
            </w:r>
          </w:p>
        </w:tc>
      </w:tr>
    </w:tbl>
    <w:p w14:paraId="3862BCCA" w14:textId="77777777" w:rsidR="00250167" w:rsidRPr="00A839DD" w:rsidRDefault="00250167" w:rsidP="0006339A">
      <w:pPr>
        <w:pStyle w:val="Paragraphe"/>
      </w:pPr>
      <w:r w:rsidRPr="00A839DD">
        <w:t>Le nombre de plaintes retenues dépend de plusieurs éléments.</w:t>
      </w:r>
    </w:p>
    <w:p w14:paraId="3EF1520C" w14:textId="14B9306A" w:rsidR="00250167" w:rsidRPr="00A839DD" w:rsidRDefault="00250167" w:rsidP="0006339A">
      <w:pPr>
        <w:pStyle w:val="Paragraphe"/>
      </w:pPr>
      <w:r w:rsidRPr="00A839DD">
        <w:t>D’abord, les plaintes déposées à la Commission sont entièrement numérisées depuis 2008. Pour rencontrer l’objectif d’une analyse rétrospective à long terme, il a fallu travailler sur des dizaines de plaintes en format papier qui ont pu être retracées dans ce qu’il reste des archives de la Commission antérieures à 2008</w:t>
      </w:r>
      <w:r w:rsidR="00E13649" w:rsidRPr="00A839DD">
        <w:t xml:space="preserve">, </w:t>
      </w:r>
      <w:r w:rsidR="00915B9D" w:rsidRPr="00A839DD">
        <w:t>conservé</w:t>
      </w:r>
      <w:r w:rsidR="00A40C11" w:rsidRPr="00A839DD">
        <w:t xml:space="preserve">es </w:t>
      </w:r>
      <w:r w:rsidR="00E13649" w:rsidRPr="00A839DD">
        <w:t xml:space="preserve">conformément </w:t>
      </w:r>
      <w:r w:rsidR="00915B9D" w:rsidRPr="00A839DD">
        <w:t>aux règles en vigueur</w:t>
      </w:r>
      <w:r w:rsidRPr="00A839DD">
        <w:t>.</w:t>
      </w:r>
    </w:p>
    <w:p w14:paraId="4AE566D5" w14:textId="77777777" w:rsidR="00250167" w:rsidRPr="00A839DD" w:rsidRDefault="00250167" w:rsidP="0006339A">
      <w:pPr>
        <w:pStyle w:val="Paragraphe"/>
        <w:rPr>
          <w:b/>
        </w:rPr>
      </w:pPr>
      <w:r w:rsidRPr="00A839DD">
        <w:t xml:space="preserve">Deuxièmement, il n’a pas été possible d’effectuer une sélection aléatoire des plaintes à analyser compte tenu de l’état de l’archivage. Puisque les plaintes archivées étaient toutes des plaintes fermées par décision de la Commission, c’est cette unité que nous avons utilisée tout au long de la période pour constituer le corpus. Ce sont aussi les plaintes pour lesquelles nous étions le plus susceptibles d’avoir davantage d’informations complémentaires au-delà de la plainte elle-même, notamment les notes au dossier qui permettent de mieux saisir le contexte de la plainte. Un dossier de plainte peut être fermé pour différentes raisons : abandon de la démarche par la personne plaignante, règlement en médiation, acceptation des mesures de redressement par le mis en cause, etc. </w:t>
      </w:r>
      <w:r w:rsidRPr="00A839DD">
        <w:rPr>
          <w:b/>
        </w:rPr>
        <w:t>Une plainte fermée n’équivaut pas à une conclusion d’absence de discrimination.</w:t>
      </w:r>
    </w:p>
    <w:p w14:paraId="478FA1E6" w14:textId="234BFD31" w:rsidR="004E5BD8" w:rsidRPr="00A839DD" w:rsidRDefault="00250167" w:rsidP="0006339A">
      <w:pPr>
        <w:pStyle w:val="Paragraphe"/>
      </w:pPr>
      <w:r w:rsidRPr="00A839DD">
        <w:t>Troisièmement, la sélection des plaintes s’est faite sur la base de plusieurs critères d’inclusion et d’exclusion. Pour que les plaintes soient incluses, le dossier devait</w:t>
      </w:r>
      <w:r w:rsidR="004E5BD8" w:rsidRPr="00A839DD">
        <w:t> :</w:t>
      </w:r>
    </w:p>
    <w:p w14:paraId="41854726" w14:textId="629B533D" w:rsidR="006D06AD" w:rsidRPr="00A839DD" w:rsidRDefault="001712F5" w:rsidP="00E8628C">
      <w:pPr>
        <w:pStyle w:val="puces0"/>
      </w:pPr>
      <w:proofErr w:type="gramStart"/>
      <w:r>
        <w:t>ê</w:t>
      </w:r>
      <w:r w:rsidR="001B2D18">
        <w:t>tre</w:t>
      </w:r>
      <w:proofErr w:type="gramEnd"/>
      <w:r w:rsidR="001B2D18">
        <w:t xml:space="preserve"> </w:t>
      </w:r>
      <w:r w:rsidR="00250167" w:rsidRPr="00A839DD">
        <w:t>accessible</w:t>
      </w:r>
      <w:r w:rsidR="0046630A" w:rsidRPr="00A839DD">
        <w:rPr>
          <w:rFonts w:ascii="Arial" w:hAnsi="Arial" w:cs="Arial"/>
        </w:rPr>
        <w:t> </w:t>
      </w:r>
      <w:r w:rsidR="006D06AD" w:rsidRPr="00A839DD">
        <w:t>;</w:t>
      </w:r>
    </w:p>
    <w:p w14:paraId="3999FACD" w14:textId="1157D207" w:rsidR="006D06AD" w:rsidRPr="00A839DD" w:rsidRDefault="001712F5" w:rsidP="00E8628C">
      <w:pPr>
        <w:pStyle w:val="puces0"/>
      </w:pPr>
      <w:proofErr w:type="gramStart"/>
      <w:r>
        <w:t>être</w:t>
      </w:r>
      <w:proofErr w:type="gramEnd"/>
      <w:r w:rsidR="001B2D18">
        <w:t xml:space="preserve"> </w:t>
      </w:r>
      <w:r w:rsidR="00250167" w:rsidRPr="00A839DD">
        <w:t>en format papier ou électronique</w:t>
      </w:r>
      <w:r w:rsidR="00F01F5E" w:rsidRPr="00A839DD">
        <w:rPr>
          <w:rFonts w:ascii="Arial" w:hAnsi="Arial" w:cs="Arial"/>
        </w:rPr>
        <w:t> </w:t>
      </w:r>
      <w:r w:rsidR="00250167" w:rsidRPr="00A839DD">
        <w:t>;</w:t>
      </w:r>
    </w:p>
    <w:p w14:paraId="20BDDC34" w14:textId="77777777" w:rsidR="006D06AD" w:rsidRPr="00A839DD" w:rsidRDefault="00250167" w:rsidP="00E8628C">
      <w:pPr>
        <w:pStyle w:val="puces0"/>
      </w:pPr>
      <w:proofErr w:type="gramStart"/>
      <w:r w:rsidRPr="00A839DD">
        <w:t>avoir</w:t>
      </w:r>
      <w:proofErr w:type="gramEnd"/>
      <w:r w:rsidRPr="00A839DD">
        <w:t xml:space="preserve"> été fermé par décision de la Commission</w:t>
      </w:r>
      <w:r w:rsidR="00F01F5E" w:rsidRPr="00A839DD">
        <w:rPr>
          <w:rFonts w:ascii="Arial" w:hAnsi="Arial" w:cs="Arial"/>
        </w:rPr>
        <w:t> </w:t>
      </w:r>
      <w:r w:rsidRPr="00A839DD">
        <w:t>;</w:t>
      </w:r>
    </w:p>
    <w:p w14:paraId="670338C7" w14:textId="2C0D62C7" w:rsidR="006D06AD" w:rsidRPr="001712F5" w:rsidRDefault="00250167" w:rsidP="00E8628C">
      <w:pPr>
        <w:pStyle w:val="puces0"/>
      </w:pPr>
      <w:proofErr w:type="gramStart"/>
      <w:r w:rsidRPr="001712F5">
        <w:t>concern</w:t>
      </w:r>
      <w:r w:rsidR="001B2D18" w:rsidRPr="001712F5">
        <w:t>er</w:t>
      </w:r>
      <w:proofErr w:type="gramEnd"/>
      <w:r w:rsidRPr="001712F5">
        <w:t xml:space="preserve"> l</w:t>
      </w:r>
      <w:r w:rsidR="006D06AD" w:rsidRPr="001712F5">
        <w:t>’emploi</w:t>
      </w:r>
      <w:r w:rsidR="00F01F5E" w:rsidRPr="001712F5">
        <w:rPr>
          <w:rFonts w:ascii="Arial" w:hAnsi="Arial" w:cs="Arial"/>
        </w:rPr>
        <w:t> </w:t>
      </w:r>
      <w:r w:rsidRPr="001712F5">
        <w:t>et</w:t>
      </w:r>
    </w:p>
    <w:p w14:paraId="3F7B6B75" w14:textId="772566EC" w:rsidR="006D06AD" w:rsidRPr="00A839DD" w:rsidRDefault="002E2710" w:rsidP="00E8628C">
      <w:pPr>
        <w:pStyle w:val="puces0"/>
      </w:pPr>
      <w:proofErr w:type="gramStart"/>
      <w:r>
        <w:t>port</w:t>
      </w:r>
      <w:r w:rsidR="001712F5">
        <w:t>er</w:t>
      </w:r>
      <w:proofErr w:type="gramEnd"/>
      <w:r>
        <w:t xml:space="preserve"> sur une allégation de</w:t>
      </w:r>
      <w:r w:rsidR="00250167" w:rsidRPr="00A839DD">
        <w:t xml:space="preserve"> discrimination fondée sur l’orientation sexuelle </w:t>
      </w:r>
      <w:r w:rsidR="00374621">
        <w:t>ou</w:t>
      </w:r>
      <w:r w:rsidR="00250167" w:rsidRPr="00A839DD">
        <w:t xml:space="preserve"> l’identité ou l’expression de genre, incluant la discrimination fondée sur la transidentité dénoncée sous le motif «</w:t>
      </w:r>
      <w:r w:rsidR="00DE533D" w:rsidRPr="00A839DD">
        <w:rPr>
          <w:rFonts w:ascii="Arial" w:hAnsi="Arial" w:cs="Arial"/>
        </w:rPr>
        <w:t> </w:t>
      </w:r>
      <w:r w:rsidR="00250167" w:rsidRPr="00A839DD">
        <w:t>sexe</w:t>
      </w:r>
      <w:r w:rsidR="00DE533D" w:rsidRPr="00A839DD">
        <w:rPr>
          <w:rFonts w:ascii="Arial" w:hAnsi="Arial" w:cs="Arial"/>
        </w:rPr>
        <w:t> </w:t>
      </w:r>
      <w:r w:rsidR="00250167" w:rsidRPr="00A839DD">
        <w:t>».</w:t>
      </w:r>
    </w:p>
    <w:p w14:paraId="5DA6D65D" w14:textId="66FEC4A8" w:rsidR="00250167" w:rsidRPr="00A839DD" w:rsidRDefault="00250167" w:rsidP="0006339A">
      <w:pPr>
        <w:pStyle w:val="Paragraphe"/>
      </w:pPr>
      <w:r w:rsidRPr="00A839DD">
        <w:lastRenderedPageBreak/>
        <w:t>Au fil de la recherche, des plaintes ont ensuite été exclues parce que la présentation des faits dans les plaintes s’avérait finalement trop sommaire pour permettre leur analyse ou encore parce que le lien avec les motifs de discrimination ou l</w:t>
      </w:r>
      <w:r w:rsidR="00B36D79" w:rsidRPr="00A839DD">
        <w:t>’emploi</w:t>
      </w:r>
      <w:r w:rsidRPr="00A839DD">
        <w:t xml:space="preserve"> était trop ténu ou absent</w:t>
      </w:r>
      <w:r w:rsidRPr="00A839DD">
        <w:rPr>
          <w:rStyle w:val="Appelnotedebasdep"/>
        </w:rPr>
        <w:footnoteReference w:id="203"/>
      </w:r>
      <w:r w:rsidRPr="00A839DD">
        <w:t>.</w:t>
      </w:r>
    </w:p>
    <w:p w14:paraId="647A9795" w14:textId="66E5A403" w:rsidR="00250167" w:rsidRPr="00A839DD" w:rsidRDefault="00250167" w:rsidP="0006339A">
      <w:pPr>
        <w:pStyle w:val="Paragraphe"/>
      </w:pPr>
      <w:r w:rsidRPr="00A839DD">
        <w:t xml:space="preserve">Le corpus de plaintes retenu pour l’analyse qualitative n’est donc pas représentatif de l’ensemble des plaintes reçues pour discrimination en emploi </w:t>
      </w:r>
      <w:r w:rsidR="00F62CD6">
        <w:t>fondée sur</w:t>
      </w:r>
      <w:r w:rsidRPr="00A839DD">
        <w:t xml:space="preserve"> l’orientation sexuelle ou l’identité ou l’expression de genre depuis la création de la Commission. Il demeure tout de même significatif pour saisir les grandes tendances dans l’évolution des situations et expériences qui ont amené des personnes à </w:t>
      </w:r>
      <w:r w:rsidR="00220477">
        <w:t xml:space="preserve">déposer une </w:t>
      </w:r>
      <w:r w:rsidRPr="00A839DD">
        <w:t xml:space="preserve">plainte au cours des </w:t>
      </w:r>
      <w:r w:rsidR="008B1F89">
        <w:t>trente</w:t>
      </w:r>
      <w:r w:rsidR="00937C69" w:rsidRPr="00A839DD">
        <w:t> </w:t>
      </w:r>
      <w:r w:rsidRPr="00A839DD">
        <w:t>dernières années.</w:t>
      </w:r>
    </w:p>
    <w:p w14:paraId="4E161B40" w14:textId="6429DC53" w:rsidR="00250167" w:rsidRPr="00A839DD" w:rsidRDefault="00250167" w:rsidP="0006339A">
      <w:pPr>
        <w:pStyle w:val="Paragraphe"/>
      </w:pPr>
      <w:r w:rsidRPr="00A839DD">
        <w:t>Comme l’expose le tableau</w:t>
      </w:r>
      <w:r w:rsidR="00F9183B" w:rsidRPr="00A839DD">
        <w:t> </w:t>
      </w:r>
      <w:r w:rsidRPr="00A839DD">
        <w:t>2 ci-dessus, 34</w:t>
      </w:r>
      <w:r w:rsidR="00A2068D" w:rsidRPr="00A839DD">
        <w:t> </w:t>
      </w:r>
      <w:r w:rsidRPr="00A839DD">
        <w:t>% des 594</w:t>
      </w:r>
      <w:r w:rsidR="00937C69" w:rsidRPr="00A839DD">
        <w:t> </w:t>
      </w:r>
      <w:r w:rsidRPr="00A839DD">
        <w:t xml:space="preserve">plaintes reçues par la Commission entre 1994 et 2020 ont fait l’objet d’une analyse qualitative détaillée. Le pourcentage de plaintes analysées est plus élevé pour les plaintes pour discrimination </w:t>
      </w:r>
      <w:r w:rsidR="00833CF6">
        <w:t>fondée sur</w:t>
      </w:r>
      <w:r w:rsidRPr="00A839DD">
        <w:t xml:space="preserve"> l’identité ou l’expression de genre, à 45</w:t>
      </w:r>
      <w:r w:rsidR="00A2068D" w:rsidRPr="00A839DD">
        <w:t> </w:t>
      </w:r>
      <w:r w:rsidRPr="00A839DD">
        <w:t>%, parce qu’elles ont en plus grande proportion été reçues après l’informatisation du système de plaintes. Cela s’explique par la reconnaissance plus tardive de cette forme de discrimination. Ces plaintes sont ainsi entièrement retraçables.</w:t>
      </w:r>
    </w:p>
    <w:p w14:paraId="41204436" w14:textId="1D8D9CA4" w:rsidR="00250167" w:rsidRPr="00A839DD" w:rsidRDefault="00250167" w:rsidP="0006339A">
      <w:pPr>
        <w:pStyle w:val="Paragraphe"/>
      </w:pPr>
      <w:r w:rsidRPr="00A839DD">
        <w:t>Le corpus analysé, bien qu’il n’ait pas été composé de façon aléatoire, reflète aussi à bien des égards le profil des personnes plaignantes qui se dégage du portrait quantitatif brossé à partir de l’ensemble des plaintes de discrimination en emploi reçues pour les deux motifs étudiés. Le ratio de plaintes analysées pour discrimination fondée sur l’orientation sexuelle (82</w:t>
      </w:r>
      <w:r w:rsidR="00A2068D" w:rsidRPr="00A839DD">
        <w:t> </w:t>
      </w:r>
      <w:r w:rsidRPr="00A839DD">
        <w:t>%) et l’identité ou l’expression de genre (18</w:t>
      </w:r>
      <w:r w:rsidR="00A2068D" w:rsidRPr="00A839DD">
        <w:t> </w:t>
      </w:r>
      <w:r w:rsidRPr="00A839DD">
        <w:t>%) est en effet similaire à celui observé dans l’ensemble des plaintes (83</w:t>
      </w:r>
      <w:r w:rsidR="00A2068D" w:rsidRPr="00A839DD">
        <w:t> </w:t>
      </w:r>
      <w:r w:rsidRPr="00A839DD">
        <w:t>% et 17</w:t>
      </w:r>
      <w:r w:rsidR="00A2068D" w:rsidRPr="00A839DD">
        <w:t> </w:t>
      </w:r>
      <w:r w:rsidRPr="00A839DD">
        <w:t xml:space="preserve">%). </w:t>
      </w:r>
    </w:p>
    <w:p w14:paraId="63F79BE9" w14:textId="7F013296" w:rsidR="005C2CEE" w:rsidRPr="00A839DD" w:rsidRDefault="00260382" w:rsidP="001D3E83">
      <w:pPr>
        <w:pStyle w:val="Titre3"/>
        <w:rPr>
          <w:noProof w:val="0"/>
        </w:rPr>
      </w:pPr>
      <w:bookmarkStart w:id="107" w:name="_Toc229131287"/>
      <w:r w:rsidRPr="00A839DD">
        <w:rPr>
          <w:noProof w:val="0"/>
        </w:rPr>
        <w:t>La codification des plaintes</w:t>
      </w:r>
      <w:bookmarkEnd w:id="107"/>
    </w:p>
    <w:p w14:paraId="50C89190" w14:textId="6B9E9E18" w:rsidR="00AF3D79" w:rsidRPr="00A839DD" w:rsidRDefault="002D607A" w:rsidP="0006339A">
      <w:pPr>
        <w:pStyle w:val="Paragraphe"/>
        <w:rPr>
          <w:lang w:bidi="fr-CA"/>
        </w:rPr>
      </w:pPr>
      <w:r w:rsidRPr="00A839DD">
        <w:rPr>
          <w:lang w:bidi="fr-CA"/>
        </w:rPr>
        <w:t xml:space="preserve">À partir d’une première sélection de dix plaintes </w:t>
      </w:r>
      <w:r w:rsidR="00021D14" w:rsidRPr="00A839DD">
        <w:rPr>
          <w:lang w:bidi="fr-CA"/>
        </w:rPr>
        <w:t>—</w:t>
      </w:r>
      <w:r w:rsidR="00B30485" w:rsidRPr="00A839DD">
        <w:rPr>
          <w:rFonts w:ascii="Arial" w:hAnsi="Arial" w:cs="Arial"/>
          <w:lang w:bidi="fr-CA"/>
        </w:rPr>
        <w:t> </w:t>
      </w:r>
      <w:r w:rsidRPr="00A839DD">
        <w:rPr>
          <w:lang w:bidi="fr-CA"/>
        </w:rPr>
        <w:t>cinq pour chaque motif</w:t>
      </w:r>
      <w:r w:rsidR="00B30485" w:rsidRPr="00A839DD">
        <w:rPr>
          <w:rFonts w:ascii="Arial" w:hAnsi="Arial" w:cs="Arial"/>
          <w:lang w:bidi="fr-CA"/>
        </w:rPr>
        <w:t> </w:t>
      </w:r>
      <w:r w:rsidR="00021D14" w:rsidRPr="00A839DD">
        <w:rPr>
          <w:lang w:bidi="fr-CA"/>
        </w:rPr>
        <w:t>—</w:t>
      </w:r>
      <w:r w:rsidRPr="00A839DD">
        <w:rPr>
          <w:lang w:bidi="fr-CA"/>
        </w:rPr>
        <w:t xml:space="preserve"> et de la littérature pertinente, un premier manuel de codification a été élaboré. Celui-ci énumère les différentes catégories utilisées pour codifier différents aspects des plaintes :</w:t>
      </w:r>
    </w:p>
    <w:p w14:paraId="71A61E1C" w14:textId="77777777" w:rsidR="00AF3D79" w:rsidRPr="00A839DD" w:rsidRDefault="002D607A" w:rsidP="00AF3D79">
      <w:pPr>
        <w:pStyle w:val="puces0"/>
        <w:rPr>
          <w:lang w:bidi="fr-CA"/>
        </w:rPr>
      </w:pPr>
      <w:proofErr w:type="gramStart"/>
      <w:r w:rsidRPr="00A839DD">
        <w:rPr>
          <w:lang w:bidi="fr-CA"/>
        </w:rPr>
        <w:t>les</w:t>
      </w:r>
      <w:proofErr w:type="gramEnd"/>
      <w:r w:rsidRPr="00A839DD">
        <w:rPr>
          <w:lang w:bidi="fr-CA"/>
        </w:rPr>
        <w:t xml:space="preserve"> caractéristiques de la personne plaignante,</w:t>
      </w:r>
    </w:p>
    <w:p w14:paraId="1F569EAF" w14:textId="77777777" w:rsidR="00AF3D79" w:rsidRPr="00A839DD" w:rsidRDefault="002D607A" w:rsidP="00AF3D79">
      <w:pPr>
        <w:pStyle w:val="puces0"/>
        <w:rPr>
          <w:lang w:bidi="fr-CA"/>
        </w:rPr>
      </w:pPr>
      <w:proofErr w:type="gramStart"/>
      <w:r w:rsidRPr="00A839DD">
        <w:rPr>
          <w:lang w:bidi="fr-CA"/>
        </w:rPr>
        <w:t>des</w:t>
      </w:r>
      <w:proofErr w:type="gramEnd"/>
      <w:r w:rsidRPr="00A839DD">
        <w:rPr>
          <w:lang w:bidi="fr-CA"/>
        </w:rPr>
        <w:t xml:space="preserve"> informations sur l’emploi occupé ou postulé,</w:t>
      </w:r>
    </w:p>
    <w:p w14:paraId="7ABAA342" w14:textId="77777777" w:rsidR="00AF3D79" w:rsidRPr="00A839DD" w:rsidRDefault="002D607A" w:rsidP="00AF3D79">
      <w:pPr>
        <w:pStyle w:val="puces0"/>
        <w:rPr>
          <w:lang w:bidi="fr-CA"/>
        </w:rPr>
      </w:pPr>
      <w:proofErr w:type="gramStart"/>
      <w:r w:rsidRPr="00A839DD">
        <w:rPr>
          <w:lang w:bidi="fr-CA"/>
        </w:rPr>
        <w:t>les</w:t>
      </w:r>
      <w:proofErr w:type="gramEnd"/>
      <w:r w:rsidRPr="00A839DD">
        <w:rPr>
          <w:lang w:bidi="fr-CA"/>
        </w:rPr>
        <w:t xml:space="preserve"> manifestations de l’homophobie et de la transphobie décrites,</w:t>
      </w:r>
    </w:p>
    <w:p w14:paraId="4691B0FD" w14:textId="77777777" w:rsidR="00AF3D79" w:rsidRPr="00A839DD" w:rsidRDefault="002D607A" w:rsidP="00AF3D79">
      <w:pPr>
        <w:pStyle w:val="puces0"/>
        <w:rPr>
          <w:lang w:bidi="fr-CA"/>
        </w:rPr>
      </w:pPr>
      <w:proofErr w:type="gramStart"/>
      <w:r w:rsidRPr="00A839DD">
        <w:rPr>
          <w:lang w:bidi="fr-CA"/>
        </w:rPr>
        <w:t>le</w:t>
      </w:r>
      <w:proofErr w:type="gramEnd"/>
      <w:r w:rsidRPr="00A839DD">
        <w:rPr>
          <w:lang w:bidi="fr-CA"/>
        </w:rPr>
        <w:t xml:space="preserve"> climat de travail dépeint</w:t>
      </w:r>
      <w:r w:rsidR="00AF3D79" w:rsidRPr="00A839DD">
        <w:rPr>
          <w:lang w:bidi="fr-CA"/>
        </w:rPr>
        <w:t xml:space="preserve"> et</w:t>
      </w:r>
    </w:p>
    <w:p w14:paraId="1B8D201B" w14:textId="514334F0" w:rsidR="00AF3D79" w:rsidRPr="00A839DD" w:rsidRDefault="002D607A" w:rsidP="00AF3D79">
      <w:pPr>
        <w:pStyle w:val="puces0"/>
        <w:rPr>
          <w:lang w:bidi="fr-CA"/>
        </w:rPr>
      </w:pPr>
      <w:proofErr w:type="gramStart"/>
      <w:r w:rsidRPr="00A839DD">
        <w:rPr>
          <w:lang w:bidi="fr-CA"/>
        </w:rPr>
        <w:t>les</w:t>
      </w:r>
      <w:proofErr w:type="gramEnd"/>
      <w:r w:rsidRPr="00A839DD">
        <w:rPr>
          <w:lang w:bidi="fr-CA"/>
        </w:rPr>
        <w:t xml:space="preserve"> effets sur la personne plaignante et le respect de ses droits.</w:t>
      </w:r>
    </w:p>
    <w:p w14:paraId="6B1C403D" w14:textId="46468C9C" w:rsidR="002D607A" w:rsidRPr="00A839DD" w:rsidRDefault="002D607A" w:rsidP="0006339A">
      <w:pPr>
        <w:pStyle w:val="Paragraphe"/>
        <w:rPr>
          <w:lang w:bidi="fr-CA"/>
        </w:rPr>
      </w:pPr>
      <w:r w:rsidRPr="00A839DD">
        <w:rPr>
          <w:lang w:bidi="fr-CA"/>
        </w:rPr>
        <w:t xml:space="preserve">Chaque plainte a ensuite été lue et analysée indépendamment par deux personnes à partir du même manuel. Ce dernier, de même que les définitions qu’il contient, </w:t>
      </w:r>
      <w:r w:rsidR="000E32E8" w:rsidRPr="00A839DD">
        <w:rPr>
          <w:lang w:bidi="fr-CA"/>
        </w:rPr>
        <w:t>a</w:t>
      </w:r>
      <w:r w:rsidRPr="00A839DD">
        <w:rPr>
          <w:lang w:bidi="fr-CA"/>
        </w:rPr>
        <w:t xml:space="preserve"> évolué au fil de l’analyse : des </w:t>
      </w:r>
      <w:r w:rsidRPr="00A839DD">
        <w:rPr>
          <w:lang w:bidi="fr-CA"/>
        </w:rPr>
        <w:lastRenderedPageBreak/>
        <w:t xml:space="preserve">catégories ont été ajoutées, fusionnées et précisées de façon à décrire le plus précisément possible le contenu des plaintes. </w:t>
      </w:r>
    </w:p>
    <w:p w14:paraId="35D96124" w14:textId="070D0AEB" w:rsidR="002D607A" w:rsidRPr="00A839DD" w:rsidRDefault="002D607A" w:rsidP="0006339A">
      <w:pPr>
        <w:pStyle w:val="Paragraphe"/>
        <w:rPr>
          <w:lang w:bidi="fr-CA"/>
        </w:rPr>
      </w:pPr>
      <w:r w:rsidRPr="00A839DD">
        <w:rPr>
          <w:lang w:bidi="fr-CA"/>
        </w:rPr>
        <w:t xml:space="preserve">Les dossiers analysés incluent toujours une plainte, qui peut aller d’une demi-page à plusieurs dizaines de pages. Ils peuvent aussi comprendre les notes évolutives </w:t>
      </w:r>
      <w:r w:rsidR="00750DCF" w:rsidRPr="00A839DD">
        <w:rPr>
          <w:lang w:bidi="fr-CA"/>
        </w:rPr>
        <w:t>dans lesquelles sont consignées</w:t>
      </w:r>
      <w:r w:rsidR="00817F52" w:rsidRPr="00A839DD">
        <w:rPr>
          <w:lang w:bidi="fr-CA"/>
        </w:rPr>
        <w:t xml:space="preserve"> les observations et décisions prises à chaque étape du</w:t>
      </w:r>
      <w:r w:rsidRPr="00A839DD">
        <w:rPr>
          <w:lang w:bidi="fr-CA"/>
        </w:rPr>
        <w:t xml:space="preserve"> traitement d</w:t>
      </w:r>
      <w:r w:rsidR="00817F52" w:rsidRPr="00A839DD">
        <w:rPr>
          <w:lang w:bidi="fr-CA"/>
        </w:rPr>
        <w:t xml:space="preserve">’une </w:t>
      </w:r>
      <w:r w:rsidRPr="00A839DD">
        <w:rPr>
          <w:lang w:bidi="fr-CA"/>
        </w:rPr>
        <w:t>plainte, un rapport factuel</w:t>
      </w:r>
      <w:r w:rsidR="00E44855" w:rsidRPr="00A839DD">
        <w:rPr>
          <w:lang w:bidi="fr-CA"/>
        </w:rPr>
        <w:t xml:space="preserve"> présentant les faits </w:t>
      </w:r>
      <w:r w:rsidR="00F2158C" w:rsidRPr="00A839DD">
        <w:rPr>
          <w:lang w:bidi="fr-CA"/>
        </w:rPr>
        <w:t>relevés par la Commission au cours de son enquête, le cas échéant</w:t>
      </w:r>
      <w:r w:rsidRPr="00A839DD">
        <w:rPr>
          <w:lang w:bidi="fr-CA"/>
        </w:rPr>
        <w:t>, la version de la personne ou de l’organisation mise en cause et la résolution de la Commission sur la fermeture du dossier. L’ensemble des dossiers ont été lus, mais seule la plainte en elle-même a été codifiée, sauf lorsque des informations indispensables pour comprendre la situation décrite se trouvai</w:t>
      </w:r>
      <w:r w:rsidR="009A6CB9" w:rsidRPr="00A839DD">
        <w:rPr>
          <w:lang w:bidi="fr-CA"/>
        </w:rPr>
        <w:t>en</w:t>
      </w:r>
      <w:r w:rsidRPr="00A839DD">
        <w:rPr>
          <w:lang w:bidi="fr-CA"/>
        </w:rPr>
        <w:t>t dans d’autres parties du dossier, auquel cas elles ont été ajoutées ou ont servi à nuancer certaines entrées dans la grille d’analyse.</w:t>
      </w:r>
    </w:p>
    <w:p w14:paraId="7638FFD9" w14:textId="0918C2DA" w:rsidR="00381D55" w:rsidRPr="00A839DD" w:rsidRDefault="00381D55" w:rsidP="001D3E83">
      <w:pPr>
        <w:pStyle w:val="Titre3"/>
        <w:rPr>
          <w:noProof w:val="0"/>
        </w:rPr>
      </w:pPr>
      <w:bookmarkStart w:id="108" w:name="_Toc229131288"/>
      <w:r w:rsidRPr="00A839DD">
        <w:rPr>
          <w:noProof w:val="0"/>
        </w:rPr>
        <w:t>La confidentialité des données</w:t>
      </w:r>
      <w:bookmarkEnd w:id="108"/>
      <w:r w:rsidRPr="00A839DD">
        <w:rPr>
          <w:noProof w:val="0"/>
        </w:rPr>
        <w:t xml:space="preserve"> </w:t>
      </w:r>
    </w:p>
    <w:p w14:paraId="323D69C0" w14:textId="79F0A3FF" w:rsidR="00C43706" w:rsidRPr="00A839DD" w:rsidRDefault="00247DBB" w:rsidP="0006339A">
      <w:pPr>
        <w:pStyle w:val="Paragraphe"/>
      </w:pPr>
      <w:r w:rsidRPr="00A839DD">
        <w:t xml:space="preserve">Afin de protéger les renseignements personnels des personnes desquelles proviennent les données </w:t>
      </w:r>
      <w:r w:rsidR="007B3D4E" w:rsidRPr="00A839DD">
        <w:t xml:space="preserve">utilisées </w:t>
      </w:r>
      <w:r w:rsidRPr="00A839DD">
        <w:t xml:space="preserve">dans ce rapport, les exemples présentés dans </w:t>
      </w:r>
      <w:r w:rsidR="00164730" w:rsidRPr="00A839DD">
        <w:t>de</w:t>
      </w:r>
      <w:r w:rsidRPr="00A839DD">
        <w:t>s encadrés s’inspirent de plaintes réelles, mais ont été en partie fictionnalisés. Les noms mentionnés sont fictifs</w:t>
      </w:r>
      <w:r w:rsidR="00676A0C" w:rsidRPr="00A839DD">
        <w:t>,</w:t>
      </w:r>
      <w:r w:rsidRPr="00A839DD">
        <w:t xml:space="preserve"> et tout renseignement personnel ou </w:t>
      </w:r>
      <w:r w:rsidR="00676A0C" w:rsidRPr="00A839DD">
        <w:t>relatif à une organisation</w:t>
      </w:r>
      <w:r w:rsidRPr="00A839DD">
        <w:t xml:space="preserve"> a été retiré. La décennie indiquée correspond quant à elle véritablement à la période visée par la plainte ayant inspiré l’encadré.</w:t>
      </w:r>
    </w:p>
    <w:p w14:paraId="20103343" w14:textId="6636D2E0" w:rsidR="00756415" w:rsidRPr="00A839DD" w:rsidRDefault="00756415" w:rsidP="00C56A88">
      <w:pPr>
        <w:pStyle w:val="Titre1"/>
        <w:rPr>
          <w:noProof w:val="0"/>
        </w:rPr>
      </w:pPr>
      <w:bookmarkStart w:id="109" w:name="_Toc229131289"/>
      <w:r w:rsidRPr="00A839DD">
        <w:rPr>
          <w:noProof w:val="0"/>
        </w:rPr>
        <w:t>L’évolution des plaintes depuis 30</w:t>
      </w:r>
      <w:r w:rsidR="005516C0" w:rsidRPr="00A839DD">
        <w:rPr>
          <w:noProof w:val="0"/>
        </w:rPr>
        <w:t> </w:t>
      </w:r>
      <w:r w:rsidRPr="00A839DD">
        <w:rPr>
          <w:noProof w:val="0"/>
        </w:rPr>
        <w:t>ans</w:t>
      </w:r>
      <w:bookmarkEnd w:id="109"/>
    </w:p>
    <w:p w14:paraId="560320F6" w14:textId="300ECFD3" w:rsidR="00452FA3" w:rsidRPr="00A839DD" w:rsidRDefault="00452FA3" w:rsidP="001D3E83">
      <w:pPr>
        <w:pStyle w:val="Titre2"/>
        <w:rPr>
          <w:noProof w:val="0"/>
        </w:rPr>
      </w:pPr>
      <w:bookmarkStart w:id="110" w:name="_Toc229131290"/>
      <w:r w:rsidRPr="00A839DD">
        <w:rPr>
          <w:noProof w:val="0"/>
        </w:rPr>
        <w:t xml:space="preserve">Un nombre de plaintes qui </w:t>
      </w:r>
      <w:r w:rsidR="00C029B2" w:rsidRPr="00A839DD">
        <w:rPr>
          <w:noProof w:val="0"/>
        </w:rPr>
        <w:t>fluctue</w:t>
      </w:r>
      <w:r w:rsidRPr="00A839DD">
        <w:rPr>
          <w:noProof w:val="0"/>
        </w:rPr>
        <w:t xml:space="preserve"> en fonction </w:t>
      </w:r>
      <w:r w:rsidR="00C029B2" w:rsidRPr="00A839DD">
        <w:rPr>
          <w:noProof w:val="0"/>
        </w:rPr>
        <w:t>de plusieurs facteurs</w:t>
      </w:r>
      <w:bookmarkEnd w:id="110"/>
    </w:p>
    <w:p w14:paraId="575A29E7" w14:textId="35C24668" w:rsidR="00906188" w:rsidRPr="00A839DD" w:rsidRDefault="00906188" w:rsidP="0006339A">
      <w:pPr>
        <w:pStyle w:val="Paragraphe"/>
      </w:pPr>
      <w:r w:rsidRPr="00A839DD">
        <w:t xml:space="preserve">Les graphiques suivants illustrent l’évolution du nombre de plaintes reçues par la Commission pour discrimination en emploi </w:t>
      </w:r>
      <w:r w:rsidR="00BF32D0">
        <w:t xml:space="preserve">fondée sur </w:t>
      </w:r>
      <w:r w:rsidRPr="00A839DD">
        <w:t>l’orientation sexuelle et l’identité ou l’expression de genre depuis 1994.</w:t>
      </w:r>
      <w:r w:rsidR="00EC4E6D" w:rsidRPr="00A839DD">
        <w:t xml:space="preserve"> Ils montrent </w:t>
      </w:r>
      <w:r w:rsidR="009B588F" w:rsidRPr="00A839DD">
        <w:t>que les débats publics semblent avoir joué un grand rôle dans l’évolution du no</w:t>
      </w:r>
      <w:r w:rsidR="009409A4" w:rsidRPr="00A839DD">
        <w:t>mbre</w:t>
      </w:r>
      <w:r w:rsidR="000A1F40" w:rsidRPr="00A839DD">
        <w:t xml:space="preserve"> de plaintes</w:t>
      </w:r>
      <w:r w:rsidR="00CE5AFE" w:rsidRPr="00A839DD">
        <w:t>, bien que d’autres facteurs p</w:t>
      </w:r>
      <w:r w:rsidR="000A1F40" w:rsidRPr="00A839DD">
        <w:t xml:space="preserve">uissent </w:t>
      </w:r>
      <w:r w:rsidR="00CE5AFE" w:rsidRPr="00A839DD">
        <w:t>aussi expliquer certaines variations au fil du temps.</w:t>
      </w:r>
    </w:p>
    <w:p w14:paraId="390669CC" w14:textId="36A43359" w:rsidR="00906188" w:rsidRPr="00A839DD" w:rsidRDefault="00906188" w:rsidP="0006339A">
      <w:pPr>
        <w:pStyle w:val="Paragraphe"/>
      </w:pPr>
      <w:r w:rsidRPr="00A839DD">
        <w:t xml:space="preserve">Le début de </w:t>
      </w:r>
      <w:r w:rsidR="000A1F40" w:rsidRPr="00A839DD">
        <w:t>la</w:t>
      </w:r>
      <w:r w:rsidRPr="00A839DD">
        <w:t xml:space="preserve"> période</w:t>
      </w:r>
      <w:r w:rsidR="000A1F40" w:rsidRPr="00A839DD">
        <w:t xml:space="preserve"> étudiée</w:t>
      </w:r>
      <w:r w:rsidRPr="00A839DD">
        <w:t xml:space="preserve"> coïncide avec la publication du premier rapport de consultation de la Commission sur la discrimination et la violence envers les gais et lesbiennes, </w:t>
      </w:r>
      <w:r w:rsidRPr="00A839DD">
        <w:rPr>
          <w:i/>
          <w:iCs/>
        </w:rPr>
        <w:t>De l’illégalité à l’égalité</w:t>
      </w:r>
      <w:r w:rsidRPr="00A839DD">
        <w:rPr>
          <w:rStyle w:val="Appelnotedebasdep"/>
        </w:rPr>
        <w:footnoteReference w:id="204"/>
      </w:r>
      <w:r w:rsidRPr="00A839DD">
        <w:t>, qui recommandait notamment de mettre fin à l’exclusion des conjoints de même sexe des régimes d’avantages sociaux. Les années</w:t>
      </w:r>
      <w:r w:rsidR="00F9183B" w:rsidRPr="00A839DD">
        <w:t> </w:t>
      </w:r>
      <w:r w:rsidRPr="00A839DD">
        <w:t>1990 ont par ailleurs été marquées par la fin de la Purge LGBT dans les institutions fédérales</w:t>
      </w:r>
      <w:r w:rsidRPr="00A839DD">
        <w:rPr>
          <w:rStyle w:val="Appelnotedebasdep"/>
        </w:rPr>
        <w:footnoteReference w:id="205"/>
      </w:r>
      <w:r w:rsidRPr="00A839DD">
        <w:t xml:space="preserve">. Progressivement, l’orientation sexuelle et, plus tardivement, la transidentité ont obtenu droit de cité dans les milieux de travail. La période couverte s’ouvre ainsi au moment où s’installe une plus grande acceptation de la diversité sexuelle et de genre, mais qui, </w:t>
      </w:r>
      <w:r w:rsidRPr="00A839DD">
        <w:lastRenderedPageBreak/>
        <w:t>comme on l’a vu, continuera d’évoluer au fil des ans, y compris de façon négative dans les dernières années. Le nombre de plaintes reçues par la Commission semble sensible à ces évolutions.</w:t>
      </w:r>
    </w:p>
    <w:p w14:paraId="7B3A8373" w14:textId="677BB49D" w:rsidR="00452FA3" w:rsidRPr="00A839DD" w:rsidRDefault="007D4C2A" w:rsidP="002F0F4B">
      <w:pPr>
        <w:pStyle w:val="Titregraphique"/>
        <w:jc w:val="left"/>
        <w:rPr>
          <w:noProof w:val="0"/>
        </w:rPr>
      </w:pPr>
      <w:r w:rsidRPr="00A839DD">
        <w:drawing>
          <wp:inline distT="0" distB="0" distL="0" distR="0" wp14:anchorId="0FCCD2AA" wp14:editId="5DA34F8A">
            <wp:extent cx="6045200" cy="2952750"/>
            <wp:effectExtent l="0" t="0" r="12700" b="0"/>
            <wp:docPr id="1770185032" name="Graphique 1" descr="Graphique 1&#10;Ce graphique montre l'évolution du nombre de plaintes pour discrimination en emploi reçues annuellement selon le motif (1994 – 2024) selon quatre critères: orientation sexuelle, identité ou expression de genre, le total pour les deux motifs et le nombre total de plaintes en emploi. Le graphique est analysé dans le paragraphe suivant celui-ci.">
              <a:extLst xmlns:a="http://schemas.openxmlformats.org/drawingml/2006/main">
                <a:ext uri="{FF2B5EF4-FFF2-40B4-BE49-F238E27FC236}">
                  <a16:creationId xmlns:a16="http://schemas.microsoft.com/office/drawing/2014/main" id="{760CB875-A13D-4C9E-88C2-BC4F25ED7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F56D6A" w14:textId="5200D17E" w:rsidR="00FD1179" w:rsidRPr="00A839DD" w:rsidRDefault="00074926" w:rsidP="00277C0E">
      <w:pPr>
        <w:rPr>
          <w:i/>
          <w:iCs/>
          <w:sz w:val="18"/>
          <w:szCs w:val="18"/>
        </w:rPr>
      </w:pPr>
      <w:r w:rsidRPr="00A839DD">
        <w:rPr>
          <w:i/>
          <w:iCs/>
          <w:sz w:val="18"/>
          <w:szCs w:val="18"/>
        </w:rPr>
        <w:t xml:space="preserve">Le nombre total de plaintes reçues </w:t>
      </w:r>
      <w:r w:rsidR="002B4BCB" w:rsidRPr="00A839DD">
        <w:rPr>
          <w:i/>
          <w:iCs/>
          <w:sz w:val="18"/>
          <w:szCs w:val="18"/>
        </w:rPr>
        <w:t>pour discrimination</w:t>
      </w:r>
      <w:r w:rsidR="00277C0E" w:rsidRPr="00A839DD">
        <w:rPr>
          <w:i/>
          <w:iCs/>
          <w:sz w:val="18"/>
          <w:szCs w:val="18"/>
        </w:rPr>
        <w:t xml:space="preserve"> </w:t>
      </w:r>
      <w:r w:rsidR="002B4BCB" w:rsidRPr="00A839DD">
        <w:rPr>
          <w:i/>
          <w:iCs/>
          <w:sz w:val="18"/>
          <w:szCs w:val="18"/>
        </w:rPr>
        <w:t>en emploi doit être lu à partir de l’axe vertical</w:t>
      </w:r>
      <w:r w:rsidR="00277C0E" w:rsidRPr="00A839DD">
        <w:rPr>
          <w:i/>
          <w:iCs/>
          <w:sz w:val="18"/>
          <w:szCs w:val="18"/>
        </w:rPr>
        <w:t xml:space="preserve"> situé à la droite du graphique</w:t>
      </w:r>
      <w:r w:rsidR="002E72E8" w:rsidRPr="00A839DD">
        <w:rPr>
          <w:i/>
          <w:iCs/>
          <w:sz w:val="18"/>
          <w:szCs w:val="18"/>
        </w:rPr>
        <w:t>.</w:t>
      </w:r>
    </w:p>
    <w:p w14:paraId="0ADF5916" w14:textId="28759ACF" w:rsidR="00D23771" w:rsidRPr="00A839DD" w:rsidRDefault="00D23771" w:rsidP="0006339A">
      <w:pPr>
        <w:pStyle w:val="Paragraphe"/>
      </w:pPr>
      <w:r w:rsidRPr="00A839DD">
        <w:t>À première vue, la baisse marquée du nombre de plaintes observable au début des années</w:t>
      </w:r>
      <w:r w:rsidR="00F9183B" w:rsidRPr="00A839DD">
        <w:t> </w:t>
      </w:r>
      <w:r w:rsidRPr="00A839DD">
        <w:t xml:space="preserve">2000 pourrait laisser penser que la discrimination en emploi sur la base des deux motifs étudiés serait désormais moins fréquente. Or, l’évolution du nombre de plaintes n’est pas que tributaire de l’état de la discrimination dans la société, mais aussi entre autres de celle des processus de la Commission. </w:t>
      </w:r>
      <w:r w:rsidR="004F6F66" w:rsidRPr="00A839DD">
        <w:t>Trois</w:t>
      </w:r>
      <w:r w:rsidRPr="00A839DD">
        <w:t xml:space="preserve"> pistes peuvent être avancées pour expliquer cette diminution.</w:t>
      </w:r>
    </w:p>
    <w:p w14:paraId="6EA6695C" w14:textId="086EDB8A" w:rsidR="008C6CE2" w:rsidRPr="00A839DD" w:rsidRDefault="008C6CE2" w:rsidP="0006339A">
      <w:pPr>
        <w:pStyle w:val="Paragraphe"/>
      </w:pPr>
      <w:r w:rsidRPr="00A839DD">
        <w:t>Premièrement, au tournant des années</w:t>
      </w:r>
      <w:r w:rsidR="00F9183B" w:rsidRPr="00A839DD">
        <w:t> </w:t>
      </w:r>
      <w:r w:rsidRPr="00A839DD">
        <w:t>2000, la Commission notait dans ses rapports annuels qu’un grand nombre de personnes portant plainte le faisaient pour des raisons en dehors de sa compétence. Elle se retrouvait ainsi «</w:t>
      </w:r>
      <w:r w:rsidR="00DE533D" w:rsidRPr="00A839DD">
        <w:rPr>
          <w:rFonts w:ascii="Arial" w:hAnsi="Arial" w:cs="Arial"/>
        </w:rPr>
        <w:t> </w:t>
      </w:r>
      <w:r w:rsidRPr="00A839DD">
        <w:t>à assumer, en plus de la fonction de réception des demandes qui relèvent de sa compétence, une fonction d’information, d’analyse et d’orientation plus générale sur l’ensemble des droits et des recours qui existent au Québec, dans toutes sortes de domaines</w:t>
      </w:r>
      <w:r w:rsidRPr="00A839DD">
        <w:rPr>
          <w:rStyle w:val="Appelnotedebasdep"/>
        </w:rPr>
        <w:footnoteReference w:id="206"/>
      </w:r>
      <w:r w:rsidRPr="00A839DD">
        <w:t>.</w:t>
      </w:r>
      <w:r w:rsidR="00DE533D" w:rsidRPr="00A839DD">
        <w:rPr>
          <w:rFonts w:ascii="Arial" w:hAnsi="Arial" w:cs="Arial"/>
        </w:rPr>
        <w:t> </w:t>
      </w:r>
      <w:r w:rsidRPr="00A839DD">
        <w:t>» Quelques années plus tard, dans son rapport annuel de 2006-2007, la Commission présentait l’adoption d’un nouveau processus de traitement des plaintes visant à mieux les orienter</w:t>
      </w:r>
      <w:r w:rsidRPr="00A839DD">
        <w:rPr>
          <w:rStyle w:val="Appelnotedebasdep"/>
        </w:rPr>
        <w:footnoteReference w:id="207"/>
      </w:r>
      <w:r w:rsidRPr="00A839DD">
        <w:t>. L’année suivante, elle rapportait une diminution de 34</w:t>
      </w:r>
      <w:r w:rsidR="00A2068D" w:rsidRPr="00A839DD">
        <w:t> </w:t>
      </w:r>
      <w:r w:rsidRPr="00A839DD">
        <w:t xml:space="preserve">% des demandes reçues, la plupart ne relevant pas de ses mandats. </w:t>
      </w:r>
      <w:r w:rsidRPr="00A839DD">
        <w:lastRenderedPageBreak/>
        <w:t>Elle expliquait ce changement «</w:t>
      </w:r>
      <w:r w:rsidR="00DE533D" w:rsidRPr="00A839DD">
        <w:rPr>
          <w:rFonts w:ascii="Arial" w:hAnsi="Arial" w:cs="Arial"/>
        </w:rPr>
        <w:t> </w:t>
      </w:r>
      <w:r w:rsidRPr="00A839DD">
        <w:t>par une meilleure connaissance des mandats de la Commission par la population et l’existence des services de référence gouvernementaux</w:t>
      </w:r>
      <w:r w:rsidRPr="00A839DD">
        <w:rPr>
          <w:rStyle w:val="Appelnotedebasdep"/>
        </w:rPr>
        <w:footnoteReference w:id="208"/>
      </w:r>
      <w:r w:rsidRPr="00A839DD">
        <w:t>.</w:t>
      </w:r>
      <w:r w:rsidR="00DE533D" w:rsidRPr="00A839DD">
        <w:rPr>
          <w:rFonts w:ascii="Arial" w:hAnsi="Arial" w:cs="Arial"/>
        </w:rPr>
        <w:t> </w:t>
      </w:r>
      <w:r w:rsidRPr="00A839DD">
        <w:t>»</w:t>
      </w:r>
    </w:p>
    <w:p w14:paraId="0124DF58" w14:textId="05E43769" w:rsidR="008C6CE2" w:rsidRPr="00A839DD" w:rsidRDefault="008C6CE2" w:rsidP="0006339A">
      <w:pPr>
        <w:pStyle w:val="Paragraphe"/>
      </w:pPr>
      <w:r w:rsidRPr="00A839DD">
        <w:t>Deuxièmement, la baisse du nombre de plaintes observée au début des années</w:t>
      </w:r>
      <w:r w:rsidR="00F9183B" w:rsidRPr="00A839DD">
        <w:t> </w:t>
      </w:r>
      <w:r w:rsidRPr="00A839DD">
        <w:t>2000 peut aussi s’expliquer par le fait que</w:t>
      </w:r>
      <w:r w:rsidR="00DF4777" w:rsidRPr="00A839DD">
        <w:t>, comme expliqué</w:t>
      </w:r>
      <w:r w:rsidR="00BC4DB1" w:rsidRPr="00A839DD">
        <w:t>e</w:t>
      </w:r>
      <w:r w:rsidR="00DF4777" w:rsidRPr="00A839DD">
        <w:t xml:space="preserve"> précédemment,</w:t>
      </w:r>
      <w:r w:rsidRPr="00A839DD">
        <w:t xml:space="preserve"> la Commission a perdu la compétence de recevoir des plaintes provenant de milieux syndiqués. En 2004, la Cour suprême a en effet confirmé que ces plaintes relevaient de la compétence exclusive de l’arbitre de grief, sauf exception</w:t>
      </w:r>
      <w:r w:rsidRPr="00A839DD">
        <w:rPr>
          <w:rStyle w:val="Appelnotedebasdep"/>
        </w:rPr>
        <w:footnoteReference w:id="209"/>
      </w:r>
      <w:r w:rsidRPr="00A839DD">
        <w:t>.</w:t>
      </w:r>
    </w:p>
    <w:p w14:paraId="5854F322" w14:textId="6E3599DD" w:rsidR="004F6F66" w:rsidRPr="00A839DD" w:rsidRDefault="004F6F66" w:rsidP="0006339A">
      <w:pPr>
        <w:pStyle w:val="Paragraphe"/>
      </w:pPr>
      <w:r w:rsidRPr="00A839DD">
        <w:t xml:space="preserve">Troisièmement, </w:t>
      </w:r>
      <w:r w:rsidR="00F30FC6" w:rsidRPr="00A839DD">
        <w:t xml:space="preserve">l’entrée en vigueur de dispositions </w:t>
      </w:r>
      <w:r w:rsidR="007D4962" w:rsidRPr="00A839DD">
        <w:t xml:space="preserve">prévoyant </w:t>
      </w:r>
      <w:r w:rsidR="001A0B2D" w:rsidRPr="00A839DD">
        <w:t xml:space="preserve">un recours </w:t>
      </w:r>
      <w:r w:rsidR="00473228" w:rsidRPr="00A839DD">
        <w:t xml:space="preserve">en cas de </w:t>
      </w:r>
      <w:r w:rsidR="00F35C2B" w:rsidRPr="00A839DD">
        <w:t xml:space="preserve">harcèlement psychologique dans la </w:t>
      </w:r>
      <w:r w:rsidR="00F35C2B" w:rsidRPr="00A839DD">
        <w:rPr>
          <w:i/>
          <w:iCs/>
        </w:rPr>
        <w:t>Loi sur les normes du travail</w:t>
      </w:r>
      <w:r w:rsidR="001F18A9" w:rsidRPr="00A839DD">
        <w:rPr>
          <w:rStyle w:val="Appelnotedebasdep"/>
        </w:rPr>
        <w:footnoteReference w:id="210"/>
      </w:r>
      <w:r w:rsidR="000F00A6" w:rsidRPr="00A839DD">
        <w:t xml:space="preserve"> a pu contribuer à la diminution importante du nombre de plaintes reçues</w:t>
      </w:r>
      <w:r w:rsidR="00473228" w:rsidRPr="00A839DD">
        <w:t>. La</w:t>
      </w:r>
      <w:r w:rsidR="000F00A6" w:rsidRPr="00A839DD">
        <w:t xml:space="preserve"> Commission </w:t>
      </w:r>
      <w:r w:rsidR="001A0B2D" w:rsidRPr="00A839DD">
        <w:t xml:space="preserve">des droits </w:t>
      </w:r>
      <w:r w:rsidR="00473228" w:rsidRPr="00A839DD">
        <w:t xml:space="preserve">a déjà formulé une telle </w:t>
      </w:r>
      <w:r w:rsidR="000F00A6" w:rsidRPr="00A839DD">
        <w:t xml:space="preserve">hypothèse </w:t>
      </w:r>
      <w:r w:rsidR="00E63CE6" w:rsidRPr="00A839DD">
        <w:t>pour expliquer la baisse du nombre de</w:t>
      </w:r>
      <w:r w:rsidR="00EF6F61" w:rsidRPr="00A839DD">
        <w:t xml:space="preserve"> </w:t>
      </w:r>
      <w:r w:rsidR="000F00A6" w:rsidRPr="00A839DD">
        <w:t xml:space="preserve">plaintes </w:t>
      </w:r>
      <w:r w:rsidR="00E63CE6" w:rsidRPr="00A839DD">
        <w:t xml:space="preserve">qu’elle recevait </w:t>
      </w:r>
      <w:r w:rsidR="000F00A6" w:rsidRPr="00A839DD">
        <w:t>pour harcèlement</w:t>
      </w:r>
      <w:r w:rsidR="0005545C" w:rsidRPr="00A839DD">
        <w:t xml:space="preserve"> discriminatoire</w:t>
      </w:r>
      <w:r w:rsidR="000F00A6" w:rsidRPr="00A839DD">
        <w:t xml:space="preserve"> </w:t>
      </w:r>
      <w:r w:rsidR="0005545C" w:rsidRPr="00A839DD">
        <w:t>fondé sur le sexe</w:t>
      </w:r>
      <w:r w:rsidR="001E1FF9" w:rsidRPr="00A839DD">
        <w:rPr>
          <w:rStyle w:val="Appelnotedebasdep"/>
        </w:rPr>
        <w:footnoteReference w:id="211"/>
      </w:r>
      <w:r w:rsidR="0005545C" w:rsidRPr="00A839DD">
        <w:t xml:space="preserve">. Ce nouveau recours auprès de la </w:t>
      </w:r>
      <w:r w:rsidR="00B737C5" w:rsidRPr="00A839DD">
        <w:t xml:space="preserve">Commission des normes du travail, aujourd’hui </w:t>
      </w:r>
      <w:r w:rsidR="00C221FA" w:rsidRPr="00A839DD">
        <w:t xml:space="preserve">Commission </w:t>
      </w:r>
      <w:r w:rsidR="00181B96" w:rsidRPr="00A839DD">
        <w:t>des normes, de l’équité, de la santé et de la sécurité du travail (CNESST)</w:t>
      </w:r>
      <w:r w:rsidR="00B737C5" w:rsidRPr="00A839DD">
        <w:t xml:space="preserve">, </w:t>
      </w:r>
      <w:r w:rsidR="00E54DBF" w:rsidRPr="00A839DD">
        <w:t xml:space="preserve">a offert une alternative à celui de la Commission. La qualification du harcèlement </w:t>
      </w:r>
      <w:r w:rsidR="00EF6F61" w:rsidRPr="00A839DD">
        <w:t>discriminatoire</w:t>
      </w:r>
      <w:r w:rsidR="00E54DBF" w:rsidRPr="00A839DD">
        <w:t xml:space="preserve"> comme harcèlement psychologique emporte cependant le risque d</w:t>
      </w:r>
      <w:r w:rsidR="00C221FA" w:rsidRPr="00A839DD">
        <w:t xml:space="preserve">’individualiser la problématique et de faire perdre de vue son aspect discriminatoire, y compris dans </w:t>
      </w:r>
      <w:r w:rsidR="000E2C8A" w:rsidRPr="00A839DD">
        <w:t xml:space="preserve">sa </w:t>
      </w:r>
      <w:r w:rsidR="00C221FA" w:rsidRPr="00A839DD">
        <w:t>dimension systémique.</w:t>
      </w:r>
    </w:p>
    <w:p w14:paraId="7E98DC40" w14:textId="114CC7F2" w:rsidR="008C6CE2" w:rsidRPr="00A839DD" w:rsidRDefault="008C6CE2" w:rsidP="0006339A">
      <w:pPr>
        <w:pStyle w:val="Paragraphe"/>
      </w:pPr>
      <w:r w:rsidRPr="00A839DD">
        <w:t>Par ailleurs, le nombre total de plaintes en emploi a connu un creux au début des années</w:t>
      </w:r>
      <w:r w:rsidR="00F9183B" w:rsidRPr="00A839DD">
        <w:t> </w:t>
      </w:r>
      <w:r w:rsidRPr="00A839DD">
        <w:t xml:space="preserve">2020 qui correspond à la pandémie de COVID-19 lors de laquelle le télétravail et les confinements ont limité les interactions </w:t>
      </w:r>
      <w:r w:rsidR="0031322F" w:rsidRPr="00A839DD">
        <w:t>en milieu de travail</w:t>
      </w:r>
      <w:r w:rsidRPr="00A839DD">
        <w:t>, du moins en personne. Depuis 2021, le nombre de plaintes est cependant en croissance, y compris pour les deux motifs étudiés, ce qui fait possiblement écho au recul de l’accept</w:t>
      </w:r>
      <w:r w:rsidR="00B17718" w:rsidRPr="00A839DD">
        <w:t>at</w:t>
      </w:r>
      <w:r w:rsidRPr="00A839DD">
        <w:t>ion des personnes LGBTQ+ de plus en plus documenté au Québec</w:t>
      </w:r>
      <w:r w:rsidRPr="00A839DD">
        <w:rPr>
          <w:rStyle w:val="Appelnotedebasdep"/>
        </w:rPr>
        <w:footnoteReference w:id="212"/>
      </w:r>
      <w:r w:rsidRPr="00A839DD">
        <w:t>.</w:t>
      </w:r>
    </w:p>
    <w:p w14:paraId="33B3CD62" w14:textId="77777777" w:rsidR="00060602" w:rsidRPr="00A839DD" w:rsidRDefault="00060602" w:rsidP="0006339A">
      <w:pPr>
        <w:pStyle w:val="Paragraphe"/>
      </w:pPr>
      <w:r w:rsidRPr="00A839DD">
        <w:t>Ainsi, plusieurs éléments, externes ou internes à la Commission, peuvent expliquer l’évolution du nombre de plaintes au fil des ans. Malgré la difficulté d’isoler des facteurs explicatifs, il est néanmoins possible de faire quelques constats :</w:t>
      </w:r>
    </w:p>
    <w:p w14:paraId="10DD7520" w14:textId="7167FD2A" w:rsidR="00516DC3" w:rsidRPr="00A839DD" w:rsidRDefault="00516DC3" w:rsidP="00516DC3">
      <w:pPr>
        <w:pStyle w:val="puces0"/>
      </w:pPr>
      <w:r w:rsidRPr="00A839DD">
        <w:t xml:space="preserve">Le nombre de plaintes pour discrimination en emploi </w:t>
      </w:r>
      <w:r w:rsidR="00081A84">
        <w:t>fondée sur</w:t>
      </w:r>
      <w:r w:rsidRPr="00A839DD">
        <w:t xml:space="preserve"> l’identité ou l’expression de genre a dépassé l’orientation sexuelle quatre fois au cours des huit dernières années, ce qui n’était jamais arrivé auparavant</w:t>
      </w:r>
      <w:r w:rsidR="00FC75D3" w:rsidRPr="00A839DD">
        <w:t xml:space="preserve">, probablement </w:t>
      </w:r>
      <w:r w:rsidR="00A3448F" w:rsidRPr="00A839DD">
        <w:t xml:space="preserve">en </w:t>
      </w:r>
      <w:r w:rsidR="00FC75D3" w:rsidRPr="00A839DD">
        <w:t xml:space="preserve">raison de </w:t>
      </w:r>
      <w:r w:rsidR="00C7166F" w:rsidRPr="00A839DD">
        <w:t>l’ajout d</w:t>
      </w:r>
      <w:r w:rsidR="00BC7504" w:rsidRPr="00A839DD">
        <w:t>e ce motif à la Charte en 2016</w:t>
      </w:r>
      <w:r w:rsidRPr="00A839DD">
        <w:t>.</w:t>
      </w:r>
    </w:p>
    <w:p w14:paraId="1AE301E7" w14:textId="1FBFCC7E" w:rsidR="00516DC3" w:rsidRPr="00A839DD" w:rsidRDefault="00516DC3" w:rsidP="00516DC3">
      <w:pPr>
        <w:pStyle w:val="puces0"/>
      </w:pPr>
      <w:r w:rsidRPr="00A839DD">
        <w:lastRenderedPageBreak/>
        <w:t xml:space="preserve">Le nombre de plaintes pour discrimination en emploi </w:t>
      </w:r>
      <w:r w:rsidR="00763798">
        <w:t>fondée sur</w:t>
      </w:r>
      <w:r w:rsidRPr="00A839DD">
        <w:t xml:space="preserve"> l’identité ou l’expression de genre a atteint un sommet annuel en 2024 avec 17</w:t>
      </w:r>
      <w:r w:rsidR="005516C0" w:rsidRPr="00A839DD">
        <w:t> </w:t>
      </w:r>
      <w:r w:rsidRPr="00A839DD">
        <w:t>plaintes.</w:t>
      </w:r>
    </w:p>
    <w:p w14:paraId="11CCB404" w14:textId="4F0AA267" w:rsidR="00516DC3" w:rsidRPr="00A839DD" w:rsidRDefault="00516DC3" w:rsidP="00516DC3">
      <w:pPr>
        <w:pStyle w:val="puces0"/>
      </w:pPr>
      <w:r w:rsidRPr="00A839DD">
        <w:t>La hausse depuis 2020 pour les deux motifs étudiés (123</w:t>
      </w:r>
      <w:r w:rsidR="00A2068D" w:rsidRPr="00A839DD">
        <w:t> </w:t>
      </w:r>
      <w:r w:rsidRPr="00A839DD">
        <w:t>%) est plus prononcée que pour les plaintes tous motifs confondus</w:t>
      </w:r>
      <w:r w:rsidR="003E502C" w:rsidRPr="00A839DD">
        <w:t xml:space="preserve">, soit les </w:t>
      </w:r>
      <w:r w:rsidR="00A11085" w:rsidRPr="00A839DD">
        <w:t>quatorze</w:t>
      </w:r>
      <w:r w:rsidR="003E502C" w:rsidRPr="00A839DD">
        <w:t xml:space="preserve"> interdits par la Charte</w:t>
      </w:r>
      <w:r w:rsidRPr="00A839DD">
        <w:t xml:space="preserve"> (35</w:t>
      </w:r>
      <w:r w:rsidR="00A2068D" w:rsidRPr="00A839DD">
        <w:t> </w:t>
      </w:r>
      <w:r w:rsidRPr="00A839DD">
        <w:t xml:space="preserve">%). </w:t>
      </w:r>
      <w:r w:rsidR="00501787" w:rsidRPr="00A839DD">
        <w:t xml:space="preserve">L’évolution du nombre </w:t>
      </w:r>
      <w:r w:rsidRPr="00A839DD">
        <w:t xml:space="preserve">de plaintes pour discrimination fondée sur l’identité ou l’expression de genre </w:t>
      </w:r>
      <w:r w:rsidR="00501787" w:rsidRPr="00A839DD">
        <w:t>a</w:t>
      </w:r>
      <w:r w:rsidRPr="00A839DD">
        <w:t xml:space="preserve"> augmenté de 325</w:t>
      </w:r>
      <w:r w:rsidR="00A2068D" w:rsidRPr="00A839DD">
        <w:t> </w:t>
      </w:r>
      <w:r w:rsidRPr="00A839DD">
        <w:t>%, passant de 4 à 17, comparativement à 33</w:t>
      </w:r>
      <w:r w:rsidR="00A2068D" w:rsidRPr="00A839DD">
        <w:t> </w:t>
      </w:r>
      <w:r w:rsidRPr="00A839DD">
        <w:t>% pour l’orientation sexuelle, de 9 à 12</w:t>
      </w:r>
      <w:r w:rsidR="00D30686" w:rsidRPr="00A839DD">
        <w:t>, soit légèrement moins</w:t>
      </w:r>
      <w:r w:rsidR="00E87A4D" w:rsidRPr="00A839DD">
        <w:t xml:space="preserve"> que la hausse tous motifs confondus.</w:t>
      </w:r>
      <w:r w:rsidR="00E025AB" w:rsidRPr="00A839DD">
        <w:t xml:space="preserve"> </w:t>
      </w:r>
      <w:r w:rsidR="00B72887" w:rsidRPr="00A839DD">
        <w:t>Ces données fournissent une tendance générale</w:t>
      </w:r>
      <w:r w:rsidR="0056172C" w:rsidRPr="00A839DD">
        <w:t xml:space="preserve">, qui n’exclut pas des variations annuelles à la hausse ou à la baisse. </w:t>
      </w:r>
    </w:p>
    <w:p w14:paraId="18464429" w14:textId="344D3A28" w:rsidR="00115C8C" w:rsidRPr="00A839DD" w:rsidRDefault="00115C8C" w:rsidP="0006339A">
      <w:pPr>
        <w:pStyle w:val="Paragraphe"/>
      </w:pPr>
      <w:r w:rsidRPr="00A839DD">
        <w:t xml:space="preserve">Globalement, les deux courbes </w:t>
      </w:r>
      <w:r w:rsidR="00021D14" w:rsidRPr="00A839DD">
        <w:t>—</w:t>
      </w:r>
      <w:r w:rsidR="00B30485" w:rsidRPr="00A839DD">
        <w:rPr>
          <w:rFonts w:ascii="Arial" w:hAnsi="Arial" w:cs="Arial"/>
        </w:rPr>
        <w:t> </w:t>
      </w:r>
      <w:r w:rsidRPr="00A839DD">
        <w:t>pleine et pointillée</w:t>
      </w:r>
      <w:r w:rsidR="00B30485" w:rsidRPr="00A839DD">
        <w:rPr>
          <w:rFonts w:ascii="Arial" w:hAnsi="Arial" w:cs="Arial"/>
        </w:rPr>
        <w:t> </w:t>
      </w:r>
      <w:r w:rsidR="00021D14" w:rsidRPr="00A839DD">
        <w:t>—</w:t>
      </w:r>
      <w:r w:rsidRPr="00A839DD">
        <w:t xml:space="preserve"> exposent que le nombre de plaintes pour discrimination en emploi sur la base des deux motifs étudiés semble suivre l’évolution du nombre total de plaintes pour discrimination concernant le travail, tous motifs confondus. Au-delà des quatre constats ci-dessus, il est donc ardu de déterminer si les variations de la courbe pour les deux motifs étudiés s’expliquent par des facteurs propres à ceux-ci ou par des facteurs plus généraux communs à l’ensemble des motifs interdits de discrimination. Le prochain graphique permet d’y voir un peu plus clair.</w:t>
      </w:r>
    </w:p>
    <w:p w14:paraId="2008566B" w14:textId="7BD7BB18" w:rsidR="00452FA3" w:rsidRPr="00A839DD" w:rsidRDefault="0091265D" w:rsidP="0006339A">
      <w:pPr>
        <w:pStyle w:val="Paragraphe"/>
      </w:pPr>
      <w:r w:rsidRPr="00A839DD">
        <w:drawing>
          <wp:inline distT="0" distB="0" distL="0" distR="0" wp14:anchorId="1E31751E" wp14:editId="5DCE4080">
            <wp:extent cx="6128385" cy="3022059"/>
            <wp:effectExtent l="0" t="0" r="5715" b="6985"/>
            <wp:docPr id="751671885" name="Graphique 1" descr="Graphique 2&#10;Ce graphique démontre l'évolution du pourcentage de plaintes pour discrimination en emploi et reçues annuellement selon le motif (1994-2024) selon ces deux critères: orientation sexuelle et identité ou expression de genre. L'interprétation de ce graphique suit dans les paragraphes suivant le graphique.">
              <a:extLst xmlns:a="http://schemas.openxmlformats.org/drawingml/2006/main">
                <a:ext uri="{FF2B5EF4-FFF2-40B4-BE49-F238E27FC236}">
                  <a16:creationId xmlns:a16="http://schemas.microsoft.com/office/drawing/2014/main" id="{C8A80F11-2DCD-4FBE-841F-E57C7214B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518768" w14:textId="5F782ACE" w:rsidR="002D131C" w:rsidRPr="00A839DD" w:rsidRDefault="002D131C" w:rsidP="0006339A">
      <w:pPr>
        <w:pStyle w:val="Paragraphe"/>
      </w:pPr>
      <w:r w:rsidRPr="00A839DD">
        <w:t xml:space="preserve">Ce graphique révèle certaines années lors desquelles les plaintes pour discrimination </w:t>
      </w:r>
      <w:r w:rsidR="00D446D4">
        <w:t>fondée sur</w:t>
      </w:r>
      <w:r w:rsidRPr="00A839DD">
        <w:t xml:space="preserve"> l’orientation sexuelle ont dépassé 3,5</w:t>
      </w:r>
      <w:r w:rsidR="00A2068D" w:rsidRPr="00A839DD">
        <w:t> </w:t>
      </w:r>
      <w:r w:rsidRPr="00A839DD">
        <w:t>% du volume total de plaintes en emploi pour une année donnée :</w:t>
      </w:r>
    </w:p>
    <w:p w14:paraId="7864C7E7" w14:textId="5E9BD965" w:rsidR="004A534D" w:rsidRPr="00A839DD" w:rsidRDefault="001F0127" w:rsidP="004A534D">
      <w:pPr>
        <w:pStyle w:val="puces0"/>
      </w:pPr>
      <w:proofErr w:type="gramStart"/>
      <w:r w:rsidRPr="00A839DD">
        <w:t>e</w:t>
      </w:r>
      <w:r w:rsidR="004A534D" w:rsidRPr="00A839DD">
        <w:t>n</w:t>
      </w:r>
      <w:proofErr w:type="gramEnd"/>
      <w:r w:rsidR="004A534D" w:rsidRPr="00A839DD">
        <w:t xml:space="preserve"> 1995, soit l’année qui a suivi la publication du rapport de la Commission sur la violence envers les gais et lesbiennes</w:t>
      </w:r>
      <w:r w:rsidR="00F01F5E" w:rsidRPr="00A839DD">
        <w:rPr>
          <w:rFonts w:ascii="Arial" w:hAnsi="Arial" w:cs="Arial"/>
        </w:rPr>
        <w:t> </w:t>
      </w:r>
      <w:r w:rsidR="004A534D" w:rsidRPr="00A839DD">
        <w:t>;</w:t>
      </w:r>
    </w:p>
    <w:p w14:paraId="4D55E90B" w14:textId="5D6DDBBC" w:rsidR="004A534D" w:rsidRPr="00A839DD" w:rsidRDefault="001F0127" w:rsidP="004A534D">
      <w:pPr>
        <w:pStyle w:val="puces0"/>
      </w:pPr>
      <w:proofErr w:type="gramStart"/>
      <w:r w:rsidRPr="00A839DD">
        <w:lastRenderedPageBreak/>
        <w:t>e</w:t>
      </w:r>
      <w:r w:rsidR="004A534D" w:rsidRPr="00A839DD">
        <w:t>n</w:t>
      </w:r>
      <w:proofErr w:type="gramEnd"/>
      <w:r w:rsidR="004A534D" w:rsidRPr="00A839DD">
        <w:t xml:space="preserve"> 2001, soit au cœur de la période ayant mené à la reconnaissance juridique des conjoints de même sexe dans la législation</w:t>
      </w:r>
      <w:r w:rsidR="00F01F5E" w:rsidRPr="00A839DD">
        <w:rPr>
          <w:rFonts w:ascii="Arial" w:hAnsi="Arial" w:cs="Arial"/>
        </w:rPr>
        <w:t> </w:t>
      </w:r>
      <w:r w:rsidR="004A534D" w:rsidRPr="00A839DD">
        <w:t>;</w:t>
      </w:r>
    </w:p>
    <w:p w14:paraId="6C21FC82" w14:textId="6F6A9C3B" w:rsidR="002A3B29" w:rsidRPr="00A839DD" w:rsidRDefault="001F0127" w:rsidP="009C5390">
      <w:pPr>
        <w:pStyle w:val="puces0"/>
      </w:pPr>
      <w:proofErr w:type="gramStart"/>
      <w:r w:rsidRPr="00A839DD">
        <w:t>e</w:t>
      </w:r>
      <w:r w:rsidR="004A534D" w:rsidRPr="00A839DD">
        <w:t>t</w:t>
      </w:r>
      <w:proofErr w:type="gramEnd"/>
      <w:r w:rsidR="004A534D" w:rsidRPr="00A839DD">
        <w:t xml:space="preserve"> finalement en 2010, soit l’année qui a suivi l’adoption de la Politique québécoise de lutte contre l’homophobie.</w:t>
      </w:r>
    </w:p>
    <w:p w14:paraId="6C3459D4" w14:textId="0203BAC1" w:rsidR="005751CF" w:rsidRPr="00A839DD" w:rsidRDefault="005751CF" w:rsidP="0006339A">
      <w:pPr>
        <w:pStyle w:val="Paragraphe"/>
      </w:pPr>
      <w:r w:rsidRPr="00A839DD">
        <w:t>Pour ce qui est de l’identité ou l’expression de genre, les plaintes ont commencé à représenter un plus grand pourcentage du nombre total à partir des années</w:t>
      </w:r>
      <w:r w:rsidR="00F9183B" w:rsidRPr="00A839DD">
        <w:t> </w:t>
      </w:r>
      <w:r w:rsidRPr="00A839DD">
        <w:t>2010, et encore plus à partir de 2016, soit l’année de l’ajout du motif à la Charte.</w:t>
      </w:r>
    </w:p>
    <w:p w14:paraId="4220FF45" w14:textId="7E73DAD5" w:rsidR="00087507" w:rsidRPr="00A839DD" w:rsidRDefault="004426CE" w:rsidP="0006339A">
      <w:pPr>
        <w:pStyle w:val="Paragraphe"/>
      </w:pPr>
      <w:r w:rsidRPr="00A839DD">
        <w:t xml:space="preserve">Bien que les fluctuations </w:t>
      </w:r>
      <w:r w:rsidR="00435FA9" w:rsidRPr="00A839DD">
        <w:t xml:space="preserve">annuelles </w:t>
      </w:r>
      <w:r w:rsidRPr="00A839DD">
        <w:t xml:space="preserve">du </w:t>
      </w:r>
      <w:r w:rsidR="004E442E" w:rsidRPr="00A839DD">
        <w:t xml:space="preserve">pourcentage </w:t>
      </w:r>
      <w:r w:rsidRPr="00A839DD">
        <w:t>de plaintes soient aussi tributaire</w:t>
      </w:r>
      <w:r w:rsidR="00435FA9" w:rsidRPr="00A839DD">
        <w:t xml:space="preserve">s du nombre de plaintes reçues pour d’autres motifs, </w:t>
      </w:r>
      <w:r w:rsidR="00A24297" w:rsidRPr="00A839DD">
        <w:t>les observations tiré</w:t>
      </w:r>
      <w:r w:rsidR="001F0127" w:rsidRPr="00A839DD">
        <w:t>es</w:t>
      </w:r>
      <w:r w:rsidR="00A24297" w:rsidRPr="00A839DD">
        <w:t xml:space="preserve"> du graphique</w:t>
      </w:r>
      <w:r w:rsidR="00291541">
        <w:t> </w:t>
      </w:r>
      <w:r w:rsidR="00A24297" w:rsidRPr="00A839DD">
        <w:t>2</w:t>
      </w:r>
      <w:r w:rsidR="001F0127" w:rsidRPr="00A839DD">
        <w:t xml:space="preserve"> fondées sur les pourcentages</w:t>
      </w:r>
      <w:r w:rsidR="00A24297" w:rsidRPr="00A839DD">
        <w:t xml:space="preserve"> tendent</w:t>
      </w:r>
      <w:r w:rsidR="00092C98" w:rsidRPr="00A839DD">
        <w:t xml:space="preserve"> à renforcer dans ce cas </w:t>
      </w:r>
      <w:r w:rsidR="00CF388C" w:rsidRPr="00A839DD">
        <w:t>les constats tirés du graphique</w:t>
      </w:r>
      <w:r w:rsidR="00291541">
        <w:t> </w:t>
      </w:r>
      <w:r w:rsidR="00CF388C" w:rsidRPr="00A839DD">
        <w:t xml:space="preserve">1 </w:t>
      </w:r>
      <w:r w:rsidR="001F0127" w:rsidRPr="00A839DD">
        <w:t xml:space="preserve">fondés </w:t>
      </w:r>
      <w:r w:rsidR="00CF388C" w:rsidRPr="00A839DD">
        <w:t>sur le nombre de plaintes.</w:t>
      </w:r>
    </w:p>
    <w:p w14:paraId="2F66FAF9" w14:textId="77777777" w:rsidR="005751CF" w:rsidRPr="00A839DD" w:rsidRDefault="005751CF" w:rsidP="0006339A">
      <w:pPr>
        <w:pStyle w:val="Paragraphe"/>
      </w:pPr>
      <w:r w:rsidRPr="00A839DD">
        <w:t>Depuis les dix dernières années, les plaintes pour discrimination sur la base de l’orientation sexuelle représentent un pourcentage moins élevé qu’auparavant. Durant la même période, l’identité ou l’expression de genre a rattrapé l’orientation sexuelle en termes de proportions par rapport au volume total de plaintes. Considérant que le nombre de personnes s’identifiant aux minorités de genre est inférieur à celui s’identifiant aux minorités sexuelles, il y a lieu de se préoccuper d’un tel rattrapage.</w:t>
      </w:r>
    </w:p>
    <w:p w14:paraId="1CB6FE19" w14:textId="22AA4E35" w:rsidR="005751CF" w:rsidRPr="00A839DD" w:rsidRDefault="005751CF" w:rsidP="0006339A">
      <w:pPr>
        <w:pStyle w:val="Paragraphe"/>
      </w:pPr>
      <w:r w:rsidRPr="00A839DD">
        <w:t>On peut aussi se demander si l’augmentation des pourcentages et des nombres absolus dans les dernières années se prolongera. Ce sont d’ailleurs des années qui ont été marquées par des débats publics sur les enjeux LGBTQ+, et particulièrement l’identité de genre, dont l’interdiction des thérapies de conversion au Québec en 2020</w:t>
      </w:r>
      <w:r w:rsidRPr="00A839DD">
        <w:rPr>
          <w:rStyle w:val="Appelnotedebasdep"/>
        </w:rPr>
        <w:footnoteReference w:id="213"/>
      </w:r>
      <w:r w:rsidRPr="00A839DD">
        <w:t xml:space="preserve">, le jugement </w:t>
      </w:r>
      <w:r w:rsidRPr="00A839DD">
        <w:rPr>
          <w:i/>
          <w:iCs/>
        </w:rPr>
        <w:t>Centre de lutte contre l’oppression des genres</w:t>
      </w:r>
      <w:r w:rsidRPr="00A839DD">
        <w:rPr>
          <w:rStyle w:val="Appelnotedebasdep"/>
          <w:i/>
          <w:iCs/>
        </w:rPr>
        <w:footnoteReference w:id="214"/>
      </w:r>
      <w:r w:rsidRPr="00A839DD">
        <w:t>, rendu en 2021, qui a ouvert la voie à la possibilité d’une mention du sexe non binaire à l’état civil, l’adoption en 2022 du projet de loi n</w:t>
      </w:r>
      <w:r w:rsidRPr="00A839DD">
        <w:rPr>
          <w:vertAlign w:val="superscript"/>
        </w:rPr>
        <w:t>o</w:t>
      </w:r>
      <w:r w:rsidR="00F9183B" w:rsidRPr="00A839DD">
        <w:t> </w:t>
      </w:r>
      <w:r w:rsidRPr="00A839DD">
        <w:t>2</w:t>
      </w:r>
      <w:r w:rsidRPr="00A839DD">
        <w:rPr>
          <w:rStyle w:val="Appelnotedebasdep"/>
        </w:rPr>
        <w:footnoteReference w:id="215"/>
      </w:r>
      <w:r w:rsidRPr="00A839DD">
        <w:t xml:space="preserve"> qui a donné suite à cette décision, et la création du Comité de sages sur l’identité de genre par le gouvernement en 2023</w:t>
      </w:r>
      <w:r w:rsidRPr="00A839DD">
        <w:rPr>
          <w:rStyle w:val="Appelnotedebasdep"/>
        </w:rPr>
        <w:footnoteReference w:id="216"/>
      </w:r>
      <w:r w:rsidRPr="00A839DD">
        <w:t xml:space="preserve"> en réaction à différentes controverses.</w:t>
      </w:r>
    </w:p>
    <w:p w14:paraId="333EBE2E" w14:textId="3A7B5743" w:rsidR="005751CF" w:rsidRPr="00A839DD" w:rsidRDefault="005751CF" w:rsidP="0006339A">
      <w:pPr>
        <w:pStyle w:val="Paragraphe"/>
      </w:pPr>
      <w:r w:rsidRPr="00A839DD">
        <w:t xml:space="preserve">Ces graphiques tendent à montrer que le nombre de plaintes reçues par la Commission pour discrimination en emploi pour les deux motifs étudiés augmente lorsqu’il est question de diversité sexuelle et de genre dans l’espace public. Les personnes concernées sont alors probablement davantage sensibilisées aux recours existants, se sentent davantage autorisées à dénoncer certaines </w:t>
      </w:r>
      <w:r w:rsidRPr="00A839DD">
        <w:lastRenderedPageBreak/>
        <w:t>situations ou encore sont possiblement davantage discriminées en raison du climat social. Le secteur d</w:t>
      </w:r>
      <w:r w:rsidR="00F24CAC" w:rsidRPr="00A839DD">
        <w:t>e l’emploi</w:t>
      </w:r>
      <w:r w:rsidRPr="00A839DD">
        <w:t xml:space="preserve"> semble ainsi influencé par ce qu’il se passe plus largement dans la société.</w:t>
      </w:r>
    </w:p>
    <w:p w14:paraId="01EA1DB4" w14:textId="77777777" w:rsidR="008F21B4" w:rsidRPr="00A839DD" w:rsidRDefault="008F21B4" w:rsidP="001D3E83">
      <w:pPr>
        <w:pStyle w:val="Titre2"/>
        <w:rPr>
          <w:noProof w:val="0"/>
        </w:rPr>
      </w:pPr>
      <w:bookmarkStart w:id="111" w:name="_Toc229131291"/>
      <w:r w:rsidRPr="00A839DD">
        <w:rPr>
          <w:noProof w:val="0"/>
        </w:rPr>
        <w:t>Quelques évolutions dans les situations dénoncées</w:t>
      </w:r>
      <w:bookmarkEnd w:id="111"/>
    </w:p>
    <w:p w14:paraId="114DD41B" w14:textId="77777777" w:rsidR="00B72165" w:rsidRPr="00A839DD" w:rsidRDefault="00B72165" w:rsidP="0006339A">
      <w:pPr>
        <w:pStyle w:val="Paragraphe"/>
      </w:pPr>
      <w:r w:rsidRPr="00A839DD">
        <w:t>L’un des objectifs du projet était de documenter l’évolution des plaintes au cours des trois dernières décennies. Compte tenu des avancées réalisées dans la reconnaissance des droits des personnes LGBTQ+ durant la période couverte, il pouvait être attendu que les formes prises par l’homophobie et la transphobie dans les plaintes deviennent peu à peu plus subtiles, moins frontales, davantage diffuses.</w:t>
      </w:r>
    </w:p>
    <w:p w14:paraId="71CECA06" w14:textId="77777777" w:rsidR="00B72165" w:rsidRPr="00A839DD" w:rsidRDefault="00B72165" w:rsidP="0006339A">
      <w:pPr>
        <w:pStyle w:val="Paragraphe"/>
      </w:pPr>
      <w:r w:rsidRPr="00A839DD">
        <w:t>Or, l’analyse des plaintes ne traduit pas une telle évolution, ce qui ne signifie pas qu’elle soit absente à l’échelle de la société. Les plaintes sont en effet possiblement le reflet des manifestations les plus évidentes de la discrimination ou du moins de celles pour lesquelles les personnes plaignantes estiment avoir le plus de chances de les voir reconnues. Les progrès au point de vue de l’égalité juridique peuvent aussi avoir pour effet de détourner l’attention des défis qui subsistent au niveau de l’égalité réelle. Deux aspects ont cependant évolué au fil des années.</w:t>
      </w:r>
    </w:p>
    <w:p w14:paraId="75D49240" w14:textId="77777777" w:rsidR="00B33E66" w:rsidRPr="00A839DD" w:rsidRDefault="00B33E66" w:rsidP="001D3E83">
      <w:pPr>
        <w:pStyle w:val="Titre3"/>
        <w:rPr>
          <w:noProof w:val="0"/>
        </w:rPr>
      </w:pPr>
      <w:bookmarkStart w:id="112" w:name="_Toc229131292"/>
      <w:r w:rsidRPr="00A839DD">
        <w:rPr>
          <w:noProof w:val="0"/>
        </w:rPr>
        <w:t>La fin des plaintes pour discrimination dans les politiques de travail et d’avantages sociaux</w:t>
      </w:r>
      <w:bookmarkEnd w:id="112"/>
    </w:p>
    <w:p w14:paraId="77A922B8" w14:textId="1BBA74D4" w:rsidR="00C8347C" w:rsidRPr="00A839DD" w:rsidRDefault="00C8347C" w:rsidP="0006339A">
      <w:pPr>
        <w:pStyle w:val="Paragraphe"/>
      </w:pPr>
      <w:r w:rsidRPr="00A839DD">
        <w:t xml:space="preserve">La Commission ne reçoit plus de plaintes pour discrimination </w:t>
      </w:r>
      <w:r w:rsidR="0049463B" w:rsidRPr="00A839DD">
        <w:t>directe</w:t>
      </w:r>
      <w:r w:rsidRPr="00A839DD">
        <w:t xml:space="preserve"> dans les politiques de travail et d’avantages sociaux, c’est-à-dire des situations où il est écrit noir sur blanc que certains avantages sont réservés à une catégorie de personnes. Historiquement, les politiques d’avantages sociaux qui excluaient les conjoints de même sexe en étaient l’exemple le plus clair. </w:t>
      </w:r>
      <w:r w:rsidR="0023390A" w:rsidRPr="00A839DD">
        <w:t>Comme rappelé dans la section</w:t>
      </w:r>
      <w:r w:rsidR="00291541">
        <w:t> </w:t>
      </w:r>
      <w:r w:rsidR="0023390A" w:rsidRPr="00A839DD">
        <w:t xml:space="preserve">1.3 de ce rapport, des changements législatifs et des décisions judiciaires ont mené à l’abandon progressif de cette forme de discrimination. </w:t>
      </w:r>
      <w:r w:rsidRPr="00A839DD">
        <w:t>Cela ne signifie pas que de tels documents n’existent plus, mais la Commission ne reçoit plus de plaintes de discrimination en emploi à ce sujet depuis le début des années</w:t>
      </w:r>
      <w:r w:rsidR="00F9183B" w:rsidRPr="00A839DD">
        <w:t> </w:t>
      </w:r>
      <w:r w:rsidRPr="00A839DD">
        <w:t>2000.</w:t>
      </w:r>
    </w:p>
    <w:tbl>
      <w:tblPr>
        <w:tblStyle w:val="Grilledutableau"/>
        <w:tblW w:w="498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3ECF9"/>
        <w:tblLook w:val="04A0" w:firstRow="1" w:lastRow="0" w:firstColumn="1" w:lastColumn="0" w:noHBand="0" w:noVBand="1"/>
      </w:tblPr>
      <w:tblGrid>
        <w:gridCol w:w="9641"/>
      </w:tblGrid>
      <w:tr w:rsidR="00C8347C" w:rsidRPr="00580F2C" w14:paraId="220F50A9" w14:textId="77777777" w:rsidTr="00A04CB7">
        <w:trPr>
          <w:trHeight w:val="1907"/>
        </w:trPr>
        <w:tc>
          <w:tcPr>
            <w:tcW w:w="5000" w:type="pct"/>
            <w:shd w:val="clear" w:color="auto" w:fill="E3ECF9"/>
          </w:tcPr>
          <w:p w14:paraId="0332C847" w14:textId="7FE633A1" w:rsidR="00C8347C" w:rsidRPr="00EB12FD" w:rsidRDefault="00270AE2" w:rsidP="00F9560E">
            <w:pPr>
              <w:spacing w:before="120" w:after="120"/>
              <w:ind w:left="174"/>
              <w:rPr>
                <w:b/>
              </w:rPr>
            </w:pPr>
            <w:r w:rsidRPr="00EB12FD">
              <w:rPr>
                <w:b/>
              </w:rPr>
              <w:t xml:space="preserve">Plainte </w:t>
            </w:r>
            <w:r w:rsidR="00954135" w:rsidRPr="00EB12FD">
              <w:rPr>
                <w:b/>
              </w:rPr>
              <w:t>d’un homme gai</w:t>
            </w:r>
            <w:r w:rsidRPr="00EB12FD">
              <w:rPr>
                <w:b/>
              </w:rPr>
              <w:t>, années</w:t>
            </w:r>
            <w:r w:rsidR="00F9183B" w:rsidRPr="00EB12FD">
              <w:rPr>
                <w:b/>
              </w:rPr>
              <w:t> </w:t>
            </w:r>
            <w:r w:rsidRPr="00EB12FD">
              <w:rPr>
                <w:b/>
              </w:rPr>
              <w:t>1990</w:t>
            </w:r>
          </w:p>
          <w:p w14:paraId="4368AF06" w14:textId="7368380E" w:rsidR="00270AE2" w:rsidRPr="00580F2C" w:rsidRDefault="00986E7D" w:rsidP="00F9560E">
            <w:pPr>
              <w:tabs>
                <w:tab w:val="left" w:pos="0"/>
              </w:tabs>
              <w:spacing w:before="120" w:after="120"/>
              <w:ind w:left="174"/>
            </w:pPr>
            <w:r w:rsidRPr="00EB12FD">
              <w:t xml:space="preserve">J’appelle les ressources humaines et on me dit que les conjoints de même sexe ne sont pas assurés. Ils vont me rembourser les primes que j’ai déjà payées pour le plan familial. On m’explique que c’est la politique de la compagnie d’assurance de ne pas assurer ces conjoints. Donc je pense ici que je suis victime de discrimination selon la </w:t>
            </w:r>
            <w:r w:rsidRPr="00EB12FD">
              <w:rPr>
                <w:i/>
              </w:rPr>
              <w:t>Charte des droits et libertés de la personne</w:t>
            </w:r>
            <w:r w:rsidRPr="00EB12FD">
              <w:t>.</w:t>
            </w:r>
          </w:p>
        </w:tc>
      </w:tr>
    </w:tbl>
    <w:p w14:paraId="067CD7BF" w14:textId="77777777" w:rsidR="008C2632" w:rsidRPr="00A839DD" w:rsidRDefault="008C2632" w:rsidP="001D3E83">
      <w:pPr>
        <w:pStyle w:val="Titre3"/>
        <w:rPr>
          <w:noProof w:val="0"/>
        </w:rPr>
      </w:pPr>
      <w:bookmarkStart w:id="113" w:name="_Toc229131293"/>
      <w:r w:rsidRPr="00A839DD">
        <w:rPr>
          <w:noProof w:val="0"/>
        </w:rPr>
        <w:t>L’émergence des réseaux sociaux numériques</w:t>
      </w:r>
      <w:bookmarkEnd w:id="113"/>
    </w:p>
    <w:p w14:paraId="4F29DA14" w14:textId="77777777" w:rsidR="007617C1" w:rsidRPr="00A839DD" w:rsidRDefault="007617C1" w:rsidP="0006339A">
      <w:pPr>
        <w:pStyle w:val="Paragraphe"/>
      </w:pPr>
      <w:r w:rsidRPr="00A839DD">
        <w:t xml:space="preserve">À partir de 2001, des situations rapportées dans les plaintes commencent à impliquer les réseaux sociaux numériques, internes à l’entreprise ou personnels. Ceux-ci jouent un rôle soit dans le </w:t>
      </w:r>
      <w:r w:rsidRPr="00A839DD">
        <w:lastRenderedPageBreak/>
        <w:t xml:space="preserve">dévoilement non volontaire de l’orientation sexuelle ou de la transidentité, soit dans le harcèlement discriminatoire. </w:t>
      </w:r>
    </w:p>
    <w:p w14:paraId="13A02016" w14:textId="77777777" w:rsidR="007617C1" w:rsidRPr="00A839DD" w:rsidRDefault="007617C1" w:rsidP="0006339A">
      <w:pPr>
        <w:pStyle w:val="Paragraphe"/>
      </w:pPr>
      <w:r w:rsidRPr="00A839DD">
        <w:t>Par exemple, dans une plainte, une personne raconte comment l’attitude de ses collègues a changé lorsqu’ils ont découvert qu’elle avait des amis trans et drag et pu voir les vidéos et pages qu’elle aimait qui concernaient la diversité sexuelle et de genre.</w:t>
      </w:r>
    </w:p>
    <w:p w14:paraId="00FBB846" w14:textId="68BDE468" w:rsidR="007617C1" w:rsidRPr="00A839DD" w:rsidRDefault="007617C1" w:rsidP="0006339A">
      <w:pPr>
        <w:pStyle w:val="Paragraphe"/>
      </w:pPr>
      <w:r w:rsidRPr="00A839DD">
        <w:t>L’arrivée des réseaux sociaux a cependant exacerbé et non révolutionné le brouillage de la frontière entre le milieu de travail et la vie personnelle. À la lecture de certaines plaintes plus anciennes, on réalise que les réseaux sociaux ont remplacé ou se sont ajoutées à d’autres pratiques empiétant sur la vie personnelle, comme les visites à domicile de collègues pour laisser un numéro de téléphone, des appels au domicile ou la lecture du courrier d’un employé par un supérieur. Bref, le harcèlement s’est adapté aux moyens de communication, bien qu’il soit vrai que les réseaux sociaux lui confèrent une nouvelle portée, notamment du fait qu’ils permettent des interactions en tout temps</w:t>
      </w:r>
      <w:r w:rsidR="004E1280" w:rsidRPr="00A839DD">
        <w:t>,</w:t>
      </w:r>
      <w:r w:rsidRPr="00A839DD">
        <w:t xml:space="preserve"> que les personnes concernées exposent elles-mêmes certaines informations sur le web</w:t>
      </w:r>
      <w:r w:rsidR="005444D6" w:rsidRPr="00A839DD">
        <w:t xml:space="preserve"> et qu’un grand nombre de personnes peuvent potentiellement les consulter</w:t>
      </w:r>
      <w:r w:rsidRPr="00A839DD">
        <w:t>.</w:t>
      </w:r>
    </w:p>
    <w:tbl>
      <w:tblPr>
        <w:tblStyle w:val="Grilledutableau"/>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3ECF9"/>
        <w:tblLook w:val="04A0" w:firstRow="1" w:lastRow="0" w:firstColumn="1" w:lastColumn="0" w:noHBand="0" w:noVBand="1"/>
      </w:tblPr>
      <w:tblGrid>
        <w:gridCol w:w="9678"/>
      </w:tblGrid>
      <w:tr w:rsidR="007617C1" w:rsidRPr="00A839DD" w14:paraId="5120C3B2" w14:textId="77777777" w:rsidTr="00164333">
        <w:trPr>
          <w:trHeight w:val="1750"/>
          <w:jc w:val="center"/>
        </w:trPr>
        <w:tc>
          <w:tcPr>
            <w:tcW w:w="5000" w:type="pct"/>
            <w:shd w:val="clear" w:color="auto" w:fill="E3ECF9"/>
          </w:tcPr>
          <w:p w14:paraId="448B4157" w14:textId="01441DE4" w:rsidR="007617C1" w:rsidRPr="00A839DD" w:rsidRDefault="007617C1" w:rsidP="00F9560E">
            <w:pPr>
              <w:spacing w:before="120" w:after="120"/>
              <w:ind w:left="174"/>
              <w:rPr>
                <w:b/>
                <w:bCs/>
              </w:rPr>
            </w:pPr>
            <w:r w:rsidRPr="00A839DD">
              <w:rPr>
                <w:b/>
                <w:bCs/>
              </w:rPr>
              <w:t>Plainte d</w:t>
            </w:r>
            <w:r w:rsidR="000A60BE" w:rsidRPr="00A839DD">
              <w:rPr>
                <w:b/>
                <w:bCs/>
              </w:rPr>
              <w:t xml:space="preserve">’une femme </w:t>
            </w:r>
            <w:r w:rsidR="0011455F" w:rsidRPr="00A839DD">
              <w:rPr>
                <w:b/>
                <w:bCs/>
              </w:rPr>
              <w:t>lesbienne</w:t>
            </w:r>
            <w:r w:rsidRPr="00A839DD">
              <w:rPr>
                <w:b/>
                <w:bCs/>
              </w:rPr>
              <w:t>, années</w:t>
            </w:r>
            <w:r w:rsidR="00F9183B" w:rsidRPr="00A839DD">
              <w:rPr>
                <w:b/>
                <w:bCs/>
              </w:rPr>
              <w:t> </w:t>
            </w:r>
            <w:r w:rsidRPr="00A839DD">
              <w:rPr>
                <w:b/>
                <w:bCs/>
              </w:rPr>
              <w:t>1990</w:t>
            </w:r>
          </w:p>
          <w:p w14:paraId="04768032" w14:textId="0F369854" w:rsidR="007617C1" w:rsidRPr="00A839DD" w:rsidRDefault="007617C1" w:rsidP="00F9560E">
            <w:pPr>
              <w:spacing w:before="120" w:after="120"/>
              <w:ind w:left="174"/>
            </w:pPr>
            <w:r w:rsidRPr="00A839DD">
              <w:t>Mon directeur a souvent dit à mon collègue de me laisser tranquille. Mais il n’a jamais arrêté. Le 8</w:t>
            </w:r>
            <w:r w:rsidR="00937C69" w:rsidRPr="00A839DD">
              <w:t> </w:t>
            </w:r>
            <w:r w:rsidRPr="00A839DD">
              <w:t>mai, il est passé chez moi et je n’y étais pas. Il m’a laissé sa carte avec son numéro de téléphone personnel. Il y invitait à l’appeler. Il est revenu chez moi vers le 20</w:t>
            </w:r>
            <w:r w:rsidR="00937C69" w:rsidRPr="00A839DD">
              <w:t> </w:t>
            </w:r>
            <w:r w:rsidRPr="00A839DD">
              <w:t>mai et je n’y étais pas. Il a laissé sa carte une autre fois.</w:t>
            </w:r>
          </w:p>
        </w:tc>
      </w:tr>
      <w:tr w:rsidR="00D124FB" w:rsidRPr="00A839DD" w14:paraId="3D8D2DE0" w14:textId="77777777" w:rsidTr="00164333">
        <w:trPr>
          <w:trHeight w:val="1750"/>
          <w:jc w:val="center"/>
        </w:trPr>
        <w:tc>
          <w:tcPr>
            <w:tcW w:w="5000" w:type="pct"/>
            <w:shd w:val="clear" w:color="auto" w:fill="E3ECF9"/>
          </w:tcPr>
          <w:p w14:paraId="1D2E4D21" w14:textId="77777777" w:rsidR="00D124FB" w:rsidRPr="00A839DD" w:rsidRDefault="00D124FB" w:rsidP="00F9560E">
            <w:pPr>
              <w:spacing w:before="120" w:after="120"/>
              <w:ind w:left="174"/>
              <w:rPr>
                <w:b/>
                <w:bCs/>
              </w:rPr>
            </w:pPr>
            <w:r w:rsidRPr="00A839DD">
              <w:rPr>
                <w:b/>
                <w:bCs/>
              </w:rPr>
              <w:t>Plainte d’une femme lesbienne, années 2010</w:t>
            </w:r>
          </w:p>
          <w:p w14:paraId="4E2005D9" w14:textId="1A7B29EE" w:rsidR="00D124FB" w:rsidRPr="00A839DD" w:rsidRDefault="00D124FB" w:rsidP="00F9560E">
            <w:pPr>
              <w:spacing w:before="120" w:after="120"/>
              <w:ind w:left="174"/>
              <w:rPr>
                <w:b/>
                <w:bCs/>
              </w:rPr>
            </w:pPr>
            <w:r w:rsidRPr="00A839DD">
              <w:t>Pendant mon entrevue d’embauche, la gérante m’a indiqué qu’elle avait regardé ma page Facebook. Les paramètres de mon compte sont pourtant réglés de façon très confidentielle. Elle m’a demandé si j’étais bien en relation avec une femme. Je lui ai dit que je sortais bien avec une fille. Elle a continué à me poser des questions sur le sujet. Elle m’informe alors que l’employé qui m’a précédé était aussi gai et qu’elle l’avait congédié parce que des clients le harcelaient au sujet de son homosexualité.</w:t>
            </w:r>
          </w:p>
        </w:tc>
      </w:tr>
    </w:tbl>
    <w:p w14:paraId="6531C0B4" w14:textId="285A2DEF" w:rsidR="00B01ACA" w:rsidRPr="00A839DD" w:rsidRDefault="00B01ACA" w:rsidP="0006339A">
      <w:pPr>
        <w:pStyle w:val="Paragraphe"/>
      </w:pPr>
      <w:r w:rsidRPr="00A839DD">
        <w:t xml:space="preserve">Autrement, les situations dénoncées </w:t>
      </w:r>
      <w:r w:rsidRPr="006D7EA9">
        <w:t>ont changé</w:t>
      </w:r>
      <w:r w:rsidRPr="00A839DD">
        <w:t xml:space="preserve"> que de façon marginale, ce qui, encore une fois, ne veut pas dire que la situation n’a pas évolué dans la société.</w:t>
      </w:r>
    </w:p>
    <w:p w14:paraId="40BA958D" w14:textId="31AB34C6" w:rsidR="00B01ACA" w:rsidRPr="00A839DD" w:rsidRDefault="00B01ACA" w:rsidP="0006339A">
      <w:pPr>
        <w:pStyle w:val="Paragraphe"/>
      </w:pPr>
      <w:r w:rsidRPr="00A839DD">
        <w:t>Une hypothèse qui pourrait être avancée pour expliquer le peu de changement constaté dans le contenu des plaintes est que les secteurs d’activité concernés sont plus éloignés des politiques publiques ou que celles-ci y trouvent moins de relais. Il s’agit notamment de milieux non syndiqués. Comme exposé plus loin, les plaintes visent aussi souvent des entreprises relativement petites (restaurants, organismes communautaires, dépanneurs, commerces de détail, sous-traitants, etc.). Dans plusieurs de ces entreprises, il n’y a possiblement pas de politique ou d</w:t>
      </w:r>
      <w:r w:rsidR="00231143" w:rsidRPr="00A839DD">
        <w:t>’</w:t>
      </w:r>
      <w:r w:rsidRPr="00A839DD">
        <w:t xml:space="preserve">encadrement des ressources humaines ou encore de ressources consacrées spécifiquement à la gestion du personnel, </w:t>
      </w:r>
      <w:r w:rsidRPr="00A839DD">
        <w:lastRenderedPageBreak/>
        <w:t>à sa formation et à l’inclusion. La petite taille des équipes pourrait aussi représenter un défi dans certaines circonstances. Que cette hypothèse se vérifie ou non, le contenu des plaintes invite à s’interroger sur la persistance des discriminations au travail envers les personnes LGBTQ+.</w:t>
      </w:r>
    </w:p>
    <w:p w14:paraId="10296C5C" w14:textId="77777777" w:rsidR="008C2632" w:rsidRPr="00A839DD" w:rsidRDefault="008C2632" w:rsidP="0006339A">
      <w:pPr>
        <w:pStyle w:val="Paragraphe"/>
      </w:pPr>
    </w:p>
    <w:p w14:paraId="2DC3FD95" w14:textId="1ABC43F1" w:rsidR="00674667" w:rsidRPr="00A839DD" w:rsidRDefault="00674667" w:rsidP="00C56A88">
      <w:pPr>
        <w:pStyle w:val="Titre1"/>
        <w:rPr>
          <w:noProof w:val="0"/>
        </w:rPr>
      </w:pPr>
      <w:bookmarkStart w:id="114" w:name="_Toc229131294"/>
      <w:r w:rsidRPr="00A839DD">
        <w:rPr>
          <w:noProof w:val="0"/>
        </w:rPr>
        <w:t>Les caractéristiques des personnes plaignantes</w:t>
      </w:r>
      <w:bookmarkEnd w:id="114"/>
    </w:p>
    <w:p w14:paraId="2B0326F9" w14:textId="77777777" w:rsidR="00D076F2" w:rsidRPr="00A839DD" w:rsidRDefault="00D076F2" w:rsidP="001D3E83">
      <w:pPr>
        <w:pStyle w:val="Titre2"/>
        <w:rPr>
          <w:noProof w:val="0"/>
        </w:rPr>
      </w:pPr>
      <w:bookmarkStart w:id="115" w:name="_Toc229131295"/>
      <w:r w:rsidRPr="00A839DD">
        <w:rPr>
          <w:noProof w:val="0"/>
        </w:rPr>
        <w:t>Le genre des personnes plaignantes</w:t>
      </w:r>
      <w:bookmarkEnd w:id="115"/>
    </w:p>
    <w:p w14:paraId="50FB851C" w14:textId="77777777" w:rsidR="00AF2CA4" w:rsidRPr="00A839DD" w:rsidRDefault="00AF2CA4" w:rsidP="0006339A">
      <w:pPr>
        <w:pStyle w:val="Paragraphe"/>
      </w:pPr>
      <w:r w:rsidRPr="00A839DD">
        <w:t>La Commission a commencé à collecter systématiquement les données sur le genre de la personne plaignante à partir de 2007. Celles-ci ne sont pas parfaites pour plusieurs raisons :</w:t>
      </w:r>
    </w:p>
    <w:p w14:paraId="3A8759A9" w14:textId="657488E2" w:rsidR="00FC5C28" w:rsidRPr="00A839DD" w:rsidRDefault="00FC5C28" w:rsidP="00FC5C28">
      <w:pPr>
        <w:pStyle w:val="puces0"/>
      </w:pPr>
      <w:r w:rsidRPr="00A839DD">
        <w:t>Les normes ayant guidé la collecte de cette donnée ont évolué au fil des ans, sans qu’il soit possible de retracer précisément les pratiques en vigueur à un moment donné. Par exemple, l’</w:t>
      </w:r>
      <w:proofErr w:type="spellStart"/>
      <w:r w:rsidRPr="00A839DD">
        <w:t>auto</w:t>
      </w:r>
      <w:r w:rsidR="009A6CB9" w:rsidRPr="00A839DD">
        <w:t>-</w:t>
      </w:r>
      <w:r w:rsidRPr="00A839DD">
        <w:t>identification</w:t>
      </w:r>
      <w:proofErr w:type="spellEnd"/>
      <w:r w:rsidRPr="00A839DD">
        <w:t xml:space="preserve"> n’a possiblement pas toujours guidé la saisie des données. La première recommandation de la Commission tendant vers ce principe date de 2013</w:t>
      </w:r>
      <w:r w:rsidRPr="00A839DD">
        <w:rPr>
          <w:rStyle w:val="Appelnotedebasdep"/>
        </w:rPr>
        <w:footnoteReference w:id="217"/>
      </w:r>
      <w:r w:rsidRPr="00A839DD">
        <w:t>.</w:t>
      </w:r>
    </w:p>
    <w:p w14:paraId="75877E2F" w14:textId="1E75573B" w:rsidR="00FC5C28" w:rsidRPr="00A839DD" w:rsidRDefault="00FC5C28" w:rsidP="00FC5C28">
      <w:pPr>
        <w:pStyle w:val="puces0"/>
      </w:pPr>
      <w:r w:rsidRPr="00A839DD">
        <w:t>Lorsque les plaintes pour discrimination sur la base de la transidentité étaient traitées sous le motif «</w:t>
      </w:r>
      <w:r w:rsidR="00DE533D" w:rsidRPr="00A839DD">
        <w:rPr>
          <w:rFonts w:ascii="Arial" w:hAnsi="Arial" w:cs="Arial"/>
        </w:rPr>
        <w:t> </w:t>
      </w:r>
      <w:r w:rsidRPr="00A839DD">
        <w:t>sexe</w:t>
      </w:r>
      <w:r w:rsidR="00DE533D" w:rsidRPr="00A839DD">
        <w:rPr>
          <w:rFonts w:ascii="Arial" w:hAnsi="Arial" w:cs="Arial"/>
        </w:rPr>
        <w:t> </w:t>
      </w:r>
      <w:r w:rsidRPr="00A839DD">
        <w:t>», avant 2016, il est possible qu’il y ait eu une confusion dans la saisie de données entre le sexe de la personne à la naissance et son identité de genre.</w:t>
      </w:r>
    </w:p>
    <w:p w14:paraId="6A00D073" w14:textId="77777777" w:rsidR="00FC5C28" w:rsidRPr="00A839DD" w:rsidRDefault="00FC5C28" w:rsidP="00FC5C28">
      <w:pPr>
        <w:pStyle w:val="puces0"/>
      </w:pPr>
      <w:r w:rsidRPr="00A839DD">
        <w:t>Pour les personnes trans, il est possible que le genre saisi reflète le genre auquel s’identifiait la personne au moment des faits ou encore celui déclaré dans la plainte. Ces deux informations peuvent parfois différer. Le fait qu’une personne soit en transition de genre au moment des faits semble aussi expliquer en partie pourquoi le genre n’est pas spécifié dans un grand nombre de dossiers de plaintes.</w:t>
      </w:r>
    </w:p>
    <w:p w14:paraId="3C49C3E3" w14:textId="77777777" w:rsidR="00FC5C28" w:rsidRPr="00A839DD" w:rsidRDefault="00FC5C28" w:rsidP="00FC5C28">
      <w:pPr>
        <w:pStyle w:val="puces0"/>
      </w:pPr>
      <w:r w:rsidRPr="00A839DD">
        <w:t>La possibilité de saisir une identité de genre non binaire n’a pas toujours été offerte sur le formulaire de plainte.</w:t>
      </w:r>
    </w:p>
    <w:p w14:paraId="67ADBA6E" w14:textId="77777777" w:rsidR="002C6884" w:rsidRPr="00A839DD" w:rsidRDefault="002C6884" w:rsidP="0006339A">
      <w:pPr>
        <w:pStyle w:val="Paragraphe"/>
      </w:pPr>
      <w:r w:rsidRPr="00A839DD">
        <w:t>L’adoption de la plainte en ligne en juin 2022 est venue systématiser le processus de collecte de cette donnée. Les personnes plaignantes peuvent désormais déclarer elles-mêmes leur identité de genre en sélectionnant l’une des options suivantes : masculin, féminin, non binaire, autre.</w:t>
      </w:r>
    </w:p>
    <w:p w14:paraId="0ED5F25E" w14:textId="582B74F0" w:rsidR="002C6884" w:rsidRPr="00A839DD" w:rsidRDefault="002C6884" w:rsidP="0006339A">
      <w:pPr>
        <w:pStyle w:val="Paragraphe"/>
      </w:pPr>
      <w:r w:rsidRPr="00A839DD">
        <w:t xml:space="preserve">Ces différents éléments sont principalement susceptibles d’affecter la qualité des données sur le genre auquel s’identifient les personnes </w:t>
      </w:r>
      <w:r w:rsidR="00191264">
        <w:t xml:space="preserve">plaignantes </w:t>
      </w:r>
      <w:r w:rsidRPr="00A839DD">
        <w:t>trans et non binaires. Le graphique suivant révèle cependant des écarts importants que les raisons ci-dessus ne peuvent complètement expliquer.</w:t>
      </w:r>
    </w:p>
    <w:p w14:paraId="51A1B8AF" w14:textId="1E694FF9" w:rsidR="00AF2CA4" w:rsidRPr="00A839DD" w:rsidRDefault="00F650FD" w:rsidP="00580F2C">
      <w:pPr>
        <w:pStyle w:val="Titregraphique"/>
        <w:rPr>
          <w:noProof w:val="0"/>
        </w:rPr>
      </w:pPr>
      <w:r w:rsidRPr="00164333">
        <w:rPr>
          <w:bdr w:val="single" w:sz="4" w:space="0" w:color="BFBFBF" w:themeColor="background1" w:themeShade="BF"/>
          <w:shd w:val="clear" w:color="auto" w:fill="FFFFFF" w:themeFill="background1"/>
        </w:rPr>
        <w:lastRenderedPageBreak/>
        <w:drawing>
          <wp:inline distT="0" distB="0" distL="0" distR="0" wp14:anchorId="492DB549" wp14:editId="4C8D5FB7">
            <wp:extent cx="4953000" cy="2540000"/>
            <wp:effectExtent l="0" t="0" r="0" b="12700"/>
            <wp:docPr id="1634351513" name="Graphique 1" descr="Graphique 3&#10;Pourcentage de plaintes pour discrimination en emploi reçues selon le motif et le genre de la personne plaignante (2007 – 2024) selon quatre critères: masculin, féminin, non binaire et non spécifié. Le paragraphie suivant le graphique en explique bien son contenu.&#10;&#10;">
              <a:extLst xmlns:a="http://schemas.openxmlformats.org/drawingml/2006/main">
                <a:ext uri="{FF2B5EF4-FFF2-40B4-BE49-F238E27FC236}">
                  <a16:creationId xmlns:a16="http://schemas.microsoft.com/office/drawing/2014/main" id="{8D4C537E-6C94-4A91-8F52-3A476ED94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34664A" w14:textId="762260E5" w:rsidR="00D51B6E" w:rsidRPr="00A839DD" w:rsidRDefault="00D51B6E" w:rsidP="0006339A">
      <w:pPr>
        <w:pStyle w:val="Paragraphe"/>
      </w:pPr>
      <w:r w:rsidRPr="00A839DD">
        <w:t>Pour l’ensemble des plaintes portant sur l’emploi, tous motifs confondus, les hommes (49</w:t>
      </w:r>
      <w:r w:rsidR="00A2068D" w:rsidRPr="00A839DD">
        <w:t> </w:t>
      </w:r>
      <w:r w:rsidRPr="00A839DD">
        <w:t>%) sont légèrement surreprésentés par rapport aux femmes (44,5</w:t>
      </w:r>
      <w:r w:rsidR="00A2068D" w:rsidRPr="00A839DD">
        <w:t> </w:t>
      </w:r>
      <w:r w:rsidRPr="00A839DD">
        <w:t>%). Pour les deux motifs étudiés combinés, cette surreprésentation s’accentue (55,5</w:t>
      </w:r>
      <w:r w:rsidR="00A2068D" w:rsidRPr="00A839DD">
        <w:t> </w:t>
      </w:r>
      <w:r w:rsidRPr="00A839DD">
        <w:t>% pour les hommes, 31,2</w:t>
      </w:r>
      <w:r w:rsidR="00A2068D" w:rsidRPr="00A839DD">
        <w:t> </w:t>
      </w:r>
      <w:r w:rsidRPr="00A839DD">
        <w:t>% pour les femmes). Lorsqu’on distingue les deux motifs, l’écart se renverse.</w:t>
      </w:r>
    </w:p>
    <w:p w14:paraId="7D5A9F73" w14:textId="1ED12E56" w:rsidR="00BE3C23" w:rsidRPr="00A839DD" w:rsidRDefault="00BE3C23" w:rsidP="001D3E83">
      <w:pPr>
        <w:pStyle w:val="Titre3"/>
        <w:rPr>
          <w:noProof w:val="0"/>
        </w:rPr>
      </w:pPr>
      <w:bookmarkStart w:id="116" w:name="_Toc229131296"/>
      <w:r w:rsidRPr="00A839DD">
        <w:rPr>
          <w:noProof w:val="0"/>
        </w:rPr>
        <w:t>Orientation sexuelle</w:t>
      </w:r>
      <w:r w:rsidR="00577C83" w:rsidRPr="00A839DD">
        <w:rPr>
          <w:noProof w:val="0"/>
        </w:rPr>
        <w:t> </w:t>
      </w:r>
      <w:r w:rsidRPr="00A839DD">
        <w:rPr>
          <w:noProof w:val="0"/>
        </w:rPr>
        <w:t>: les hommes surreprésentés, les femmes invisibilisées</w:t>
      </w:r>
      <w:r w:rsidR="00577C83" w:rsidRPr="00A839DD">
        <w:rPr>
          <w:rFonts w:ascii="Arial" w:hAnsi="Arial"/>
          <w:noProof w:val="0"/>
        </w:rPr>
        <w:t> </w:t>
      </w:r>
      <w:r w:rsidRPr="00A839DD">
        <w:rPr>
          <w:noProof w:val="0"/>
        </w:rPr>
        <w:t>?</w:t>
      </w:r>
      <w:bookmarkEnd w:id="116"/>
    </w:p>
    <w:p w14:paraId="71F194BB" w14:textId="715975B1" w:rsidR="000752F3" w:rsidRPr="00A839DD" w:rsidRDefault="000752F3" w:rsidP="0006339A">
      <w:pPr>
        <w:pStyle w:val="Paragraphe"/>
      </w:pPr>
      <w:r w:rsidRPr="00A839DD">
        <w:t>Parmi les plaintes pour discrimination en emploi fondée sur l’orientation sexuelle, les hommes sont nettement surreprésentés (76,6</w:t>
      </w:r>
      <w:r w:rsidR="00A2068D" w:rsidRPr="00A839DD">
        <w:t> </w:t>
      </w:r>
      <w:r w:rsidRPr="00A839DD">
        <w:t>%) par rapport aux femmes (18</w:t>
      </w:r>
      <w:r w:rsidR="00A2068D" w:rsidRPr="00A839DD">
        <w:t> </w:t>
      </w:r>
      <w:r w:rsidRPr="00A839DD">
        <w:t>%). Or, au Québec, la proportion de femmes (52,6</w:t>
      </w:r>
      <w:r w:rsidR="00A2068D" w:rsidRPr="00A839DD">
        <w:t> </w:t>
      </w:r>
      <w:r w:rsidRPr="00A839DD">
        <w:t>%) appartenant aux minorités sexuelles ayant travaillé à un emploi ou une entreprise au cours des 12</w:t>
      </w:r>
      <w:r w:rsidR="005516C0" w:rsidRPr="00A839DD">
        <w:t> </w:t>
      </w:r>
      <w:r w:rsidRPr="00A839DD">
        <w:t>derniers mois est supérieure à celle des hommes (47,4</w:t>
      </w:r>
      <w:r w:rsidR="00A2068D" w:rsidRPr="00A839DD">
        <w:t> </w:t>
      </w:r>
      <w:r w:rsidRPr="00A839DD">
        <w:t>%)</w:t>
      </w:r>
      <w:r w:rsidRPr="00A839DD">
        <w:rPr>
          <w:rStyle w:val="Appelnotedebasdep"/>
        </w:rPr>
        <w:footnoteReference w:id="218"/>
      </w:r>
      <w:r w:rsidRPr="00A839DD">
        <w:t>. Un sondage canadien récent a par ailleurs révélé que les hommes (46</w:t>
      </w:r>
      <w:r w:rsidR="00A2068D" w:rsidRPr="00A839DD">
        <w:t> </w:t>
      </w:r>
      <w:r w:rsidRPr="00A839DD">
        <w:t>%) sont plus susceptibles de déclarer une discrimination en milieu de travail en raison de l’orientation sexuelle que les femmes (33</w:t>
      </w:r>
      <w:r w:rsidR="00A2068D" w:rsidRPr="00A839DD">
        <w:t> </w:t>
      </w:r>
      <w:r w:rsidRPr="00A839DD">
        <w:t>%)</w:t>
      </w:r>
      <w:bookmarkStart w:id="117" w:name="_Ref222322968"/>
      <w:r w:rsidRPr="00A839DD">
        <w:rPr>
          <w:rStyle w:val="Appelnotedebasdep"/>
        </w:rPr>
        <w:footnoteReference w:id="219"/>
      </w:r>
      <w:bookmarkEnd w:id="117"/>
      <w:r w:rsidRPr="00A839DD">
        <w:t>. Les données de l’enquête SAVIE-LGBTQ montrent quant à elles un très léger écart entre les expériences négatives au travail des hommes et des femmes non hétérosexuels, tantôt à l’avantage des premiers, tantôt des secondes, selon les indicateurs retenus</w:t>
      </w:r>
      <w:r w:rsidRPr="00A839DD">
        <w:rPr>
          <w:rStyle w:val="Appelnotedebasdep"/>
        </w:rPr>
        <w:footnoteReference w:id="220"/>
      </w:r>
      <w:r w:rsidRPr="00A839DD">
        <w:t>.</w:t>
      </w:r>
    </w:p>
    <w:p w14:paraId="5BE3D0CE" w14:textId="14BA3625" w:rsidR="000752F3" w:rsidRPr="00A839DD" w:rsidRDefault="000752F3" w:rsidP="0006339A">
      <w:pPr>
        <w:pStyle w:val="Paragraphe"/>
      </w:pPr>
      <w:r w:rsidRPr="00A839DD">
        <w:t xml:space="preserve">Les hommes gais ou homosexuels </w:t>
      </w:r>
      <w:r w:rsidR="00992CAD">
        <w:t xml:space="preserve">cisgenres </w:t>
      </w:r>
      <w:r w:rsidRPr="00A839DD">
        <w:t>(55</w:t>
      </w:r>
      <w:r w:rsidR="00A2068D" w:rsidRPr="00A839DD">
        <w:t> </w:t>
      </w:r>
      <w:r w:rsidRPr="00A839DD">
        <w:t xml:space="preserve">%) rapportent cependant des interactions moins hostiles au travail que les femmes lesbiennes ou homosexuelles </w:t>
      </w:r>
      <w:r w:rsidR="00992CAD">
        <w:t xml:space="preserve">cisgenres </w:t>
      </w:r>
      <w:r w:rsidRPr="00A839DD">
        <w:t>(42</w:t>
      </w:r>
      <w:r w:rsidR="00A2068D" w:rsidRPr="00A839DD">
        <w:t> </w:t>
      </w:r>
      <w:r w:rsidRPr="00A839DD">
        <w:t>%)</w:t>
      </w:r>
      <w:r w:rsidR="00BB2D65">
        <w:rPr>
          <w:rStyle w:val="Appelnotedebasdep"/>
        </w:rPr>
        <w:footnoteReference w:id="221"/>
      </w:r>
      <w:r w:rsidRPr="00A839DD">
        <w:t xml:space="preserve">. L’écart entre les </w:t>
      </w:r>
      <w:r w:rsidRPr="00A839DD">
        <w:lastRenderedPageBreak/>
        <w:t>genres trouvé dans les plaintes apparaît dans tous les cas plus grand que la discrimination rapportée dans les études. Trois pistes d’explication peuvent être avancées.</w:t>
      </w:r>
    </w:p>
    <w:p w14:paraId="4DCE46E0" w14:textId="5DDE1633" w:rsidR="000752F3" w:rsidRPr="00A839DD" w:rsidRDefault="000752F3" w:rsidP="0006339A">
      <w:pPr>
        <w:pStyle w:val="Paragraphe"/>
      </w:pPr>
      <w:r w:rsidRPr="00A839DD">
        <w:t>Une première est l’invisibilité, voire l’invisibilisation, des femmes lesbiennes dans la société</w:t>
      </w:r>
      <w:r w:rsidRPr="00A839DD">
        <w:rPr>
          <w:rStyle w:val="Appelnotedebasdep"/>
        </w:rPr>
        <w:footnoteReference w:id="222"/>
      </w:r>
      <w:r w:rsidRPr="00A839DD">
        <w:t>, y compris possiblement dans les milieux de travail</w:t>
      </w:r>
      <w:r w:rsidRPr="00A839DD">
        <w:rPr>
          <w:rStyle w:val="Appelnotedebasdep"/>
        </w:rPr>
        <w:footnoteReference w:id="223"/>
      </w:r>
      <w:r w:rsidRPr="00A839DD">
        <w:t>. Comme l’écrit la sociologue Anne Revillard, «</w:t>
      </w:r>
      <w:r w:rsidR="00DE533D" w:rsidRPr="00A839DD">
        <w:rPr>
          <w:rFonts w:ascii="Arial" w:hAnsi="Arial" w:cs="Arial"/>
        </w:rPr>
        <w:t> </w:t>
      </w:r>
      <w:r w:rsidRPr="00A839DD">
        <w:t>[t]out se passe comme si l’homosexualité féminine n’existait pas</w:t>
      </w:r>
      <w:r w:rsidR="00DE533D" w:rsidRPr="00A839DD">
        <w:rPr>
          <w:rFonts w:ascii="Arial" w:hAnsi="Arial" w:cs="Arial"/>
        </w:rPr>
        <w:t> </w:t>
      </w:r>
      <w:r w:rsidRPr="00A839DD">
        <w:t>»</w:t>
      </w:r>
      <w:r w:rsidRPr="00A839DD">
        <w:rPr>
          <w:rStyle w:val="Appelnotedebasdep"/>
        </w:rPr>
        <w:footnoteReference w:id="224"/>
      </w:r>
      <w:r w:rsidRPr="00A839DD">
        <w:t>. Elles sont en effet peu visibles, en comparaison des hommes gais, dans les associations, les lieux de sociabilité et les représentations médiatiques. La difficulté qui en résulte à se penser comme une victime de l’homophobie ou de la lesbophobie pourrait expliquer le peu de plaintes de femmes reçues par la Commission pour discrimination fondée sur l’orientation sexuelle.</w:t>
      </w:r>
    </w:p>
    <w:p w14:paraId="7D81E99F" w14:textId="53D613BA" w:rsidR="000752F3" w:rsidRPr="00A839DD" w:rsidRDefault="000752F3" w:rsidP="0006339A">
      <w:pPr>
        <w:pStyle w:val="Paragraphe"/>
      </w:pPr>
      <w:r w:rsidRPr="00A839DD">
        <w:t>Une seconde piste d’explication est que les femmes non hétérosexuelles sont moins nombreuses que les hommes à dévoiler leur orientation sexuelle au travail, particulièrement celles s’identifiant autrement que comme lesbiennes, comme les femmes bisexuelles et queer</w:t>
      </w:r>
      <w:r w:rsidR="005E1F9A" w:rsidRPr="00A839DD">
        <w:t>s</w:t>
      </w:r>
      <w:r w:rsidRPr="00A839DD">
        <w:rPr>
          <w:rStyle w:val="Appelnotedebasdep"/>
        </w:rPr>
        <w:footnoteReference w:id="225"/>
      </w:r>
      <w:r w:rsidRPr="00A839DD">
        <w:t>. Dans la mesure où porter plainte pour discrimination sur la base de l’orientation sexuelle implique généralement de la révéler à son employeur, il est possible que les femmes y voient un frein.</w:t>
      </w:r>
    </w:p>
    <w:p w14:paraId="7BEC6854" w14:textId="77777777" w:rsidR="000752F3" w:rsidRPr="00A839DD" w:rsidRDefault="000752F3" w:rsidP="0006339A">
      <w:pPr>
        <w:pStyle w:val="Paragraphe"/>
      </w:pPr>
      <w:r w:rsidRPr="00A839DD">
        <w:t>Une autre possibilité pour expliquer l’écart constaté dans le nombre de plaintes est que les femmes lesbiennes considèrent peut-être qu’elles sont avant tout discriminées comme femmes et portent donc plainte pour discrimination sur la base du sexe et non de l’orientation sexuelle, ou encore pour les deux motifs à la fois. Les données de la Commission ne permettent cependant pas de vérifier cette hypothèse.</w:t>
      </w:r>
    </w:p>
    <w:p w14:paraId="376B4A30" w14:textId="77777777" w:rsidR="000752F3" w:rsidRPr="00A839DD" w:rsidRDefault="000752F3" w:rsidP="0006339A">
      <w:pPr>
        <w:pStyle w:val="Paragraphe"/>
      </w:pPr>
      <w:r w:rsidRPr="00A839DD">
        <w:t>Quoi qu’il en soit, il semble que les femmes lesbiennes aient moins recours à la Commission pour faire reconnaître une expérience spécifique de lesbophobie, de biphobie ou de queerphobie.</w:t>
      </w:r>
    </w:p>
    <w:p w14:paraId="2A09EE07" w14:textId="40253B1E" w:rsidR="000752F3" w:rsidRPr="00A839DD" w:rsidRDefault="000752F3" w:rsidP="0006339A">
      <w:pPr>
        <w:pStyle w:val="Paragraphe"/>
      </w:pPr>
      <w:r w:rsidRPr="00A839DD">
        <w:t>Par ailleurs, une seule personne non binaire a porté plainte pour discrimination sur la base de l’orientation sexuelle dans le secteur du travail</w:t>
      </w:r>
      <w:r w:rsidR="008C7500" w:rsidRPr="00A839DD">
        <w:t xml:space="preserve"> durant la période étudiée</w:t>
      </w:r>
      <w:r w:rsidRPr="00A839DD">
        <w:t>.</w:t>
      </w:r>
    </w:p>
    <w:p w14:paraId="5B24C1E4" w14:textId="77777777" w:rsidR="00AE0999" w:rsidRPr="00A839DD" w:rsidRDefault="00AE0999" w:rsidP="001D3E83">
      <w:pPr>
        <w:pStyle w:val="Titre3"/>
        <w:rPr>
          <w:noProof w:val="0"/>
        </w:rPr>
      </w:pPr>
      <w:bookmarkStart w:id="118" w:name="_Toc215748703"/>
      <w:bookmarkStart w:id="119" w:name="_Toc229131297"/>
      <w:r w:rsidRPr="00A839DD">
        <w:rPr>
          <w:noProof w:val="0"/>
        </w:rPr>
        <w:t>Identité ou expression de genre : les femmes trans surreprésentées</w:t>
      </w:r>
      <w:bookmarkEnd w:id="118"/>
      <w:bookmarkEnd w:id="119"/>
    </w:p>
    <w:p w14:paraId="288E171A" w14:textId="6F5AAC90" w:rsidR="00671271" w:rsidRPr="00A839DD" w:rsidRDefault="00671271" w:rsidP="0006339A">
      <w:pPr>
        <w:pStyle w:val="Paragraphe"/>
      </w:pPr>
      <w:r w:rsidRPr="00A839DD">
        <w:t>Pour ce qui est des plaintes pour discrimination en emploi fondée sur l’identité ou l’expression de genre, les personnes s’identifiant au genre féminin (55,4</w:t>
      </w:r>
      <w:r w:rsidR="00A2068D" w:rsidRPr="00A839DD">
        <w:t> </w:t>
      </w:r>
      <w:r w:rsidRPr="00A839DD">
        <w:t>%) sont trois fois plus nombreuses que celles s’identifiant au genre masculin (17</w:t>
      </w:r>
      <w:r w:rsidR="00A2068D" w:rsidRPr="00A839DD">
        <w:t> </w:t>
      </w:r>
      <w:r w:rsidRPr="00A839DD">
        <w:t>%). Au Québec, 52,3</w:t>
      </w:r>
      <w:r w:rsidR="00A2068D" w:rsidRPr="00A839DD">
        <w:t> </w:t>
      </w:r>
      <w:r w:rsidRPr="00A839DD">
        <w:t xml:space="preserve">% des personnes transgenres binaires </w:t>
      </w:r>
      <w:r w:rsidRPr="00A839DD">
        <w:lastRenderedPageBreak/>
        <w:t>s’identifient au genre féminin, contre 47,7</w:t>
      </w:r>
      <w:r w:rsidR="00A2068D" w:rsidRPr="00A839DD">
        <w:t> </w:t>
      </w:r>
      <w:r w:rsidRPr="00A839DD">
        <w:t>% au genre masculin</w:t>
      </w:r>
      <w:r w:rsidRPr="00A839DD">
        <w:rPr>
          <w:rStyle w:val="Appelnotedebasdep"/>
        </w:rPr>
        <w:footnoteReference w:id="226"/>
      </w:r>
      <w:r w:rsidRPr="00A839DD">
        <w:t>. Cependant, si on rapporte ces proportions à l’ensemble des personnes trans et non binaires au Québec, soit toutes celles qui sont susceptibles de porter plainte pour ce motif de discrimination, les femmes trans représentent 31,8</w:t>
      </w:r>
      <w:r w:rsidR="00A2068D" w:rsidRPr="00A839DD">
        <w:t> </w:t>
      </w:r>
      <w:r w:rsidRPr="00A839DD">
        <w:t>% du total, contre 29</w:t>
      </w:r>
      <w:r w:rsidR="00A2068D" w:rsidRPr="00A839DD">
        <w:t> </w:t>
      </w:r>
      <w:r w:rsidRPr="00A839DD">
        <w:t>% pour les hommes trans et 39</w:t>
      </w:r>
      <w:r w:rsidR="00A2068D" w:rsidRPr="00A839DD">
        <w:t> </w:t>
      </w:r>
      <w:r w:rsidRPr="00A839DD">
        <w:t>% pour les personnes non binaires</w:t>
      </w:r>
      <w:r w:rsidRPr="00A839DD">
        <w:rPr>
          <w:rStyle w:val="Appelnotedebasdep"/>
        </w:rPr>
        <w:footnoteReference w:id="227"/>
      </w:r>
      <w:r w:rsidRPr="00A839DD">
        <w:t>. Selon les données de l’enquête SAVIE-LGBTQ, les femmes trans (33</w:t>
      </w:r>
      <w:r w:rsidR="00A2068D" w:rsidRPr="00A839DD">
        <w:t> </w:t>
      </w:r>
      <w:r w:rsidRPr="00A839DD">
        <w:t>%) sont plus nombreuses que les hommes trans (21</w:t>
      </w:r>
      <w:r w:rsidR="00A2068D" w:rsidRPr="00A839DD">
        <w:t> </w:t>
      </w:r>
      <w:r w:rsidRPr="00A839DD">
        <w:t>%) à déclarer avoir subi du harcèlement au travail dans l’année précédente, alors que c’est le cas de 26</w:t>
      </w:r>
      <w:r w:rsidR="00A2068D" w:rsidRPr="00A839DD">
        <w:t> </w:t>
      </w:r>
      <w:r w:rsidRPr="00A839DD">
        <w:t>% des personnes non binaires</w:t>
      </w:r>
      <w:r w:rsidRPr="00A839DD">
        <w:rPr>
          <w:rStyle w:val="Appelnotedebasdep"/>
        </w:rPr>
        <w:footnoteReference w:id="228"/>
      </w:r>
      <w:r w:rsidRPr="00A839DD">
        <w:t>. Quoi qu’il en soit, les femmes trans apparaissent proportionnellement plus nombreuses dans les plaintes pour le motif de l’identité ou l’expression de genre.</w:t>
      </w:r>
    </w:p>
    <w:p w14:paraId="6E19054D" w14:textId="654CF211" w:rsidR="00671271" w:rsidRPr="00A839DD" w:rsidRDefault="00671271" w:rsidP="0006339A">
      <w:pPr>
        <w:pStyle w:val="Paragraphe"/>
      </w:pPr>
      <w:r w:rsidRPr="00A839DD">
        <w:t>Cet écart peut s’expliquer par le fait que les femmes trans sont davantage susceptibles de faire l</w:t>
      </w:r>
      <w:r w:rsidR="00231143" w:rsidRPr="00A839DD">
        <w:t>’</w:t>
      </w:r>
      <w:r w:rsidRPr="00A839DD">
        <w:t>objet de profilage discriminatoire</w:t>
      </w:r>
      <w:r w:rsidRPr="00A839DD">
        <w:rPr>
          <w:rStyle w:val="Appelnotedebasdep"/>
        </w:rPr>
        <w:footnoteReference w:id="229"/>
      </w:r>
      <w:r w:rsidRPr="00A839DD">
        <w:t>. Elles sont en effet constamment soupçonnées de cacher un homme potentiellement «</w:t>
      </w:r>
      <w:r w:rsidR="00DE533D" w:rsidRPr="00A839DD">
        <w:rPr>
          <w:rFonts w:ascii="Arial" w:hAnsi="Arial" w:cs="Arial"/>
        </w:rPr>
        <w:t> </w:t>
      </w:r>
      <w:r w:rsidRPr="00A839DD">
        <w:t>prédateur</w:t>
      </w:r>
      <w:r w:rsidR="00DE533D" w:rsidRPr="00A839DD">
        <w:rPr>
          <w:rFonts w:ascii="Arial" w:hAnsi="Arial" w:cs="Arial"/>
        </w:rPr>
        <w:t> </w:t>
      </w:r>
      <w:r w:rsidRPr="00A839DD">
        <w:t>» pouvant représenter une menace pour les femmes, notamment dans les espaces qui leur sont réservés (toilettes, vestiaires, maisons d’hébergement, etc.). Comme les femmes cisgenres, elles subissent également le sexisme, aussi appelé transmisogynie</w:t>
      </w:r>
      <w:r w:rsidRPr="00A839DD">
        <w:rPr>
          <w:rStyle w:val="Appelnotedebasdep"/>
        </w:rPr>
        <w:footnoteReference w:id="230"/>
      </w:r>
      <w:r w:rsidRPr="00A839DD">
        <w:t xml:space="preserve"> lorsqu’il cible les femmes trans. Elles sont notamment confrontées aux normes de genre majoritaires en ce qui a trait à l</w:t>
      </w:r>
      <w:r w:rsidR="00231143" w:rsidRPr="00A839DD">
        <w:t>’</w:t>
      </w:r>
      <w:r w:rsidRPr="00A839DD">
        <w:t>apparence des femmes (caractéristiques physiques, tenue, voix, etc.) et au harcèlement sexuel. Pour ces mêmes raisons, les femmes trans sont au centre de l’attention dans le contexte des controverses publiques sur l’identité de genre (sports, toilettes et vestiaires, prisons), ce qui peut possiblement les exposer à davantage de propos ou comportements discriminatoires.</w:t>
      </w:r>
    </w:p>
    <w:p w14:paraId="50ED5867" w14:textId="50056907" w:rsidR="00671271" w:rsidRPr="00A839DD" w:rsidRDefault="00671271" w:rsidP="0006339A">
      <w:pPr>
        <w:pStyle w:val="Paragraphe"/>
      </w:pPr>
      <w:r w:rsidRPr="00A839DD">
        <w:t>Finalement, la Commission a reçu seulement trois plaintes de personnes non binaires pour discrimination en emploi sur la base de l’identité ou l’expression de genre, soit 2,7</w:t>
      </w:r>
      <w:r w:rsidR="00A2068D" w:rsidRPr="00A839DD">
        <w:t> </w:t>
      </w:r>
      <w:r w:rsidRPr="00A839DD">
        <w:t>% du total pour ce motif. Elles sont ainsi clairement sous-représentées par rapport à leur proportion dans la population des personnes trans et non binaires (39</w:t>
      </w:r>
      <w:r w:rsidR="00A2068D" w:rsidRPr="00A839DD">
        <w:t> </w:t>
      </w:r>
      <w:r w:rsidRPr="00A839DD">
        <w:t>%). Une explication possible est la reconnaissance juridique très récente des personnes non binaires dans la jurisprudence (2021) et la législation (2022), bien qu’elles pouvaient malgré tout porter plainte antérieurement. Les trois plaintes en question ont d’ailleurs toutes été reçues en 2024.</w:t>
      </w:r>
    </w:p>
    <w:p w14:paraId="36E8A384" w14:textId="77777777" w:rsidR="004B1613" w:rsidRPr="00A839DD" w:rsidRDefault="004B1613" w:rsidP="001D3E83">
      <w:pPr>
        <w:pStyle w:val="Titre3"/>
        <w:rPr>
          <w:noProof w:val="0"/>
        </w:rPr>
      </w:pPr>
      <w:bookmarkStart w:id="120" w:name="_Toc229131298"/>
      <w:r w:rsidRPr="00A839DD">
        <w:rPr>
          <w:noProof w:val="0"/>
        </w:rPr>
        <w:t>Le genre des personnes plaignantes dans le corpus qualitatif</w:t>
      </w:r>
      <w:bookmarkEnd w:id="120"/>
    </w:p>
    <w:p w14:paraId="6FDFCCC1" w14:textId="5E18D065" w:rsidR="00B668B0" w:rsidRPr="00A839DD" w:rsidRDefault="00B668B0" w:rsidP="0006339A">
      <w:pPr>
        <w:pStyle w:val="Paragraphe"/>
      </w:pPr>
      <w:r w:rsidRPr="00A839DD">
        <w:t xml:space="preserve">Le genre utilisé par la personne plaignante a été déterminé à partir de l’information cochée dans le formulaire de plainte ou saisie dans le logiciel de traitement des plaintes. Dans le corpus de plaintes </w:t>
      </w:r>
      <w:r w:rsidRPr="00A839DD">
        <w:lastRenderedPageBreak/>
        <w:t xml:space="preserve">retenu pour l’analyse qualitative, l’information sur le genre a été corrigée si de bonnes raisons laissaient penser que cette donnée ne correspondait </w:t>
      </w:r>
      <w:r w:rsidR="0029242E">
        <w:t xml:space="preserve">pas </w:t>
      </w:r>
      <w:r w:rsidRPr="00A839DD">
        <w:t>au genre auquel s’identifie la personne (p.</w:t>
      </w:r>
      <w:r w:rsidR="008913EE">
        <w:t> </w:t>
      </w:r>
      <w:r w:rsidRPr="00A839DD">
        <w:t>ex. pronom et accords utilisés dans la plainte, dénonciation de mégenrage, etc.). La catégorie «</w:t>
      </w:r>
      <w:r w:rsidR="00DE533D" w:rsidRPr="00A839DD">
        <w:rPr>
          <w:rFonts w:ascii="Arial" w:hAnsi="Arial" w:cs="Arial"/>
        </w:rPr>
        <w:t> </w:t>
      </w:r>
      <w:r w:rsidRPr="00A839DD">
        <w:t>en transition</w:t>
      </w:r>
      <w:r w:rsidR="00DE533D" w:rsidRPr="00A839DD">
        <w:rPr>
          <w:rFonts w:ascii="Arial" w:hAnsi="Arial" w:cs="Arial"/>
        </w:rPr>
        <w:t> </w:t>
      </w:r>
      <w:r w:rsidRPr="00A839DD">
        <w:t>» a été utilisée lorsque la personne avait entamé un processus de transition au moment des faits, sans toutefois encore utilis</w:t>
      </w:r>
      <w:r w:rsidR="001D42DB" w:rsidRPr="00A839DD">
        <w:t>er</w:t>
      </w:r>
      <w:r w:rsidRPr="00A839DD">
        <w:t xml:space="preserve"> un nouveau pronom.</w:t>
      </w:r>
    </w:p>
    <w:p w14:paraId="77BF0BD6" w14:textId="2DB8368B" w:rsidR="00B668B0" w:rsidRPr="00A839DD" w:rsidRDefault="00B668B0" w:rsidP="0006339A">
      <w:pPr>
        <w:pStyle w:val="Paragraphe"/>
      </w:pPr>
      <w:r w:rsidRPr="00A839DD">
        <w:t>Le tableau</w:t>
      </w:r>
      <w:r w:rsidR="00F9183B" w:rsidRPr="00A839DD">
        <w:t> </w:t>
      </w:r>
      <w:r w:rsidRPr="00A839DD">
        <w:t xml:space="preserve">3 montre que les proportions de personnes s’identifiant aux genres masculins et féminins sont similaires dans le corpus analysé par rapport à l’ensemble des plaintes pour les deux motifs. Parmi les plaintes pour discrimination </w:t>
      </w:r>
      <w:r w:rsidR="00306257">
        <w:t>fondée sur</w:t>
      </w:r>
      <w:r w:rsidRPr="00A839DD">
        <w:t xml:space="preserve"> l’orientation sexuelle analysées, 78</w:t>
      </w:r>
      <w:r w:rsidR="00A2068D" w:rsidRPr="00A839DD">
        <w:t> </w:t>
      </w:r>
      <w:r w:rsidRPr="00A839DD">
        <w:t>% des personnes plaignantes s’identifient au genre masculin et 21,3</w:t>
      </w:r>
      <w:r w:rsidR="00A2068D" w:rsidRPr="00A839DD">
        <w:t> </w:t>
      </w:r>
      <w:r w:rsidRPr="00A839DD">
        <w:t>% au genre féminin, contre 76,6</w:t>
      </w:r>
      <w:r w:rsidR="00A2068D" w:rsidRPr="00A839DD">
        <w:t> </w:t>
      </w:r>
      <w:r w:rsidRPr="00A839DD">
        <w:t>% et 18</w:t>
      </w:r>
      <w:r w:rsidR="00A2068D" w:rsidRPr="00A839DD">
        <w:t> </w:t>
      </w:r>
      <w:r w:rsidRPr="00A839DD">
        <w:t>% dans l’ensemble des plaintes. Pour l’identité ou l’expression de genre, le corpus analysé compte 27</w:t>
      </w:r>
      <w:r w:rsidR="00A2068D" w:rsidRPr="00A839DD">
        <w:t> </w:t>
      </w:r>
      <w:r w:rsidRPr="00A839DD">
        <w:t>% de personnes s’identifiant au genre masculin et 67,6</w:t>
      </w:r>
      <w:r w:rsidR="00A2068D" w:rsidRPr="00A839DD">
        <w:t> </w:t>
      </w:r>
      <w:r w:rsidRPr="00A839DD">
        <w:t>% au genre féminin, contre 17</w:t>
      </w:r>
      <w:r w:rsidR="00A2068D" w:rsidRPr="00A839DD">
        <w:t> </w:t>
      </w:r>
      <w:r w:rsidRPr="00A839DD">
        <w:t>% et 55,4</w:t>
      </w:r>
      <w:r w:rsidR="00A2068D" w:rsidRPr="00A839DD">
        <w:t> </w:t>
      </w:r>
      <w:r w:rsidRPr="00A839DD">
        <w:t>% respectivement dans l’ensemble des plaintes. Cette dernière différence s’explique notamment par le fait que 25</w:t>
      </w:r>
      <w:r w:rsidR="00A2068D" w:rsidRPr="00A839DD">
        <w:t> </w:t>
      </w:r>
      <w:r w:rsidRPr="00A839DD">
        <w:t>% des plaintes considérées dans le portrait quantitatif</w:t>
      </w:r>
      <w:r w:rsidR="001E1AB2" w:rsidRPr="00A839DD">
        <w:t xml:space="preserve"> de l’ensemble des plaintes</w:t>
      </w:r>
      <w:r w:rsidRPr="00A839DD">
        <w:t xml:space="preserve"> ne mentionnaient pas le genre de la personne plaignante.</w:t>
      </w:r>
    </w:p>
    <w:tbl>
      <w:tblPr>
        <w:tblStyle w:val="Grilledutableau2"/>
        <w:tblW w:w="505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097"/>
        <w:gridCol w:w="860"/>
        <w:gridCol w:w="989"/>
        <w:gridCol w:w="989"/>
        <w:gridCol w:w="989"/>
        <w:gridCol w:w="993"/>
        <w:gridCol w:w="858"/>
      </w:tblGrid>
      <w:tr w:rsidR="00A04A65" w:rsidRPr="00A839DD" w14:paraId="46CE9F45" w14:textId="77777777" w:rsidTr="00164333">
        <w:trPr>
          <w:trHeight w:val="979"/>
          <w:jc w:val="center"/>
        </w:trPr>
        <w:tc>
          <w:tcPr>
            <w:tcW w:w="5000" w:type="pct"/>
            <w:gridSpan w:val="7"/>
            <w:shd w:val="clear" w:color="auto" w:fill="953D89"/>
            <w:vAlign w:val="center"/>
          </w:tcPr>
          <w:p w14:paraId="7A8B231A" w14:textId="0DC43814" w:rsidR="00A04A65" w:rsidRPr="00A839DD" w:rsidRDefault="00A04A65" w:rsidP="007405AF">
            <w:pPr>
              <w:tabs>
                <w:tab w:val="left" w:pos="0"/>
              </w:tabs>
              <w:suppressAutoHyphens w:val="0"/>
              <w:autoSpaceDE/>
              <w:autoSpaceDN/>
              <w:adjustRightInd/>
              <w:ind w:left="24" w:hanging="24"/>
              <w:jc w:val="center"/>
              <w:textAlignment w:val="auto"/>
              <w:rPr>
                <w:rFonts w:ascii="Aptos" w:hAnsi="Aptos" w:cs="Arial"/>
                <w:b/>
                <w:bCs/>
                <w:sz w:val="20"/>
                <w:szCs w:val="20"/>
                <w:lang w:eastAsia="ja-JP"/>
              </w:rPr>
            </w:pPr>
            <w:r w:rsidRPr="00A839DD">
              <w:rPr>
                <w:rFonts w:ascii="Aptos" w:hAnsi="Aptos" w:cs="Arial"/>
                <w:b/>
                <w:color w:val="FFFFFF" w:themeColor="background1"/>
                <w:sz w:val="20"/>
                <w:szCs w:val="20"/>
                <w:lang w:eastAsia="ja-JP"/>
              </w:rPr>
              <w:t>Tableau</w:t>
            </w:r>
            <w:r w:rsidR="00291541">
              <w:rPr>
                <w:rFonts w:ascii="Aptos" w:hAnsi="Aptos" w:cs="Arial"/>
                <w:b/>
                <w:color w:val="FFFFFF" w:themeColor="background1"/>
                <w:sz w:val="20"/>
                <w:szCs w:val="20"/>
                <w:lang w:eastAsia="ja-JP"/>
              </w:rPr>
              <w:t> </w:t>
            </w:r>
            <w:r w:rsidRPr="00A839DD">
              <w:rPr>
                <w:rFonts w:ascii="Aptos" w:hAnsi="Aptos" w:cs="Arial"/>
                <w:b/>
                <w:color w:val="FFFFFF" w:themeColor="background1"/>
                <w:sz w:val="20"/>
                <w:szCs w:val="20"/>
                <w:lang w:eastAsia="ja-JP"/>
              </w:rPr>
              <w:t>3</w:t>
            </w:r>
            <w:r w:rsidR="00515EBC" w:rsidRPr="00A839DD">
              <w:rPr>
                <w:rFonts w:ascii="Aptos" w:hAnsi="Aptos" w:cs="Arial"/>
                <w:b/>
                <w:color w:val="FFFFFF" w:themeColor="background1"/>
                <w:sz w:val="20"/>
                <w:szCs w:val="20"/>
                <w:lang w:eastAsia="ja-JP"/>
              </w:rPr>
              <w:br/>
            </w:r>
            <w:r w:rsidRPr="00A839DD">
              <w:rPr>
                <w:rFonts w:ascii="Aptos" w:hAnsi="Aptos" w:cs="Arial"/>
                <w:b/>
                <w:color w:val="FFFFFF" w:themeColor="background1"/>
                <w:sz w:val="20"/>
                <w:szCs w:val="20"/>
                <w:lang w:eastAsia="ja-JP"/>
              </w:rPr>
              <w:t>Le genre des personnes plaignantes selon le motif de discrimination dans le corpus pour l’analyse qualitative (1994 –</w:t>
            </w:r>
            <w:r w:rsidR="00B30485" w:rsidRPr="00A839DD">
              <w:rPr>
                <w:rFonts w:ascii="Arial" w:hAnsi="Arial" w:cs="Arial"/>
                <w:b/>
                <w:color w:val="FFFFFF" w:themeColor="background1"/>
                <w:sz w:val="20"/>
                <w:szCs w:val="20"/>
                <w:lang w:eastAsia="ja-JP"/>
              </w:rPr>
              <w:t> </w:t>
            </w:r>
            <w:r w:rsidRPr="00A839DD">
              <w:rPr>
                <w:rFonts w:ascii="Aptos" w:hAnsi="Aptos" w:cs="Arial"/>
                <w:b/>
                <w:color w:val="FFFFFF" w:themeColor="background1"/>
                <w:sz w:val="20"/>
                <w:szCs w:val="20"/>
                <w:lang w:eastAsia="ja-JP"/>
              </w:rPr>
              <w:t>2020)</w:t>
            </w:r>
          </w:p>
        </w:tc>
      </w:tr>
      <w:tr w:rsidR="004258B8" w:rsidRPr="00A839DD" w14:paraId="2418CB86" w14:textId="77777777" w:rsidTr="00164333">
        <w:trPr>
          <w:trHeight w:val="965"/>
          <w:jc w:val="center"/>
        </w:trPr>
        <w:tc>
          <w:tcPr>
            <w:tcW w:w="2095" w:type="pct"/>
            <w:shd w:val="clear" w:color="auto" w:fill="0F243E"/>
            <w:vAlign w:val="center"/>
          </w:tcPr>
          <w:p w14:paraId="4512961B" w14:textId="6245BC9F" w:rsidR="004258B8" w:rsidRPr="00DB34EA" w:rsidRDefault="004258B8" w:rsidP="00515EBC">
            <w:pPr>
              <w:tabs>
                <w:tab w:val="left" w:pos="0"/>
              </w:tabs>
              <w:suppressAutoHyphens w:val="0"/>
              <w:autoSpaceDE/>
              <w:autoSpaceDN/>
              <w:adjustRightInd/>
              <w:ind w:left="24" w:hanging="24"/>
              <w:jc w:val="center"/>
              <w:textAlignment w:val="auto"/>
              <w:rPr>
                <w:rFonts w:ascii="Aptos" w:hAnsi="Aptos" w:cs="Arial"/>
                <w:b/>
                <w:bCs/>
                <w:color w:val="FFFFFF" w:themeColor="background1"/>
                <w:sz w:val="20"/>
                <w:szCs w:val="20"/>
                <w:lang w:eastAsia="ja-JP"/>
              </w:rPr>
            </w:pPr>
            <w:r w:rsidRPr="00DB34EA">
              <w:rPr>
                <w:rFonts w:ascii="Aptos" w:hAnsi="Aptos" w:cs="Arial"/>
                <w:b/>
                <w:bCs/>
                <w:color w:val="FFFFFF" w:themeColor="background1"/>
                <w:sz w:val="20"/>
                <w:szCs w:val="20"/>
                <w:lang w:eastAsia="ja-JP"/>
              </w:rPr>
              <w:t>Genre utilisé par la personne plaignante</w:t>
            </w:r>
            <w:r w:rsidR="00515EBC" w:rsidRPr="00DB34EA">
              <w:rPr>
                <w:rFonts w:ascii="Aptos" w:hAnsi="Aptos" w:cs="Arial"/>
                <w:b/>
                <w:bCs/>
                <w:color w:val="FFFFFF" w:themeColor="background1"/>
                <w:sz w:val="20"/>
                <w:szCs w:val="20"/>
                <w:lang w:eastAsia="ja-JP"/>
              </w:rPr>
              <w:br/>
            </w:r>
            <w:r w:rsidRPr="00DB34EA">
              <w:rPr>
                <w:rFonts w:ascii="Aptos" w:hAnsi="Aptos" w:cs="Arial"/>
                <w:b/>
                <w:bCs/>
                <w:color w:val="FFFFFF" w:themeColor="background1"/>
                <w:sz w:val="20"/>
                <w:szCs w:val="20"/>
                <w:lang w:eastAsia="ja-JP"/>
              </w:rPr>
              <w:t xml:space="preserve"> dans sa plainte</w:t>
            </w:r>
          </w:p>
        </w:tc>
        <w:tc>
          <w:tcPr>
            <w:tcW w:w="946" w:type="pct"/>
            <w:gridSpan w:val="2"/>
            <w:shd w:val="clear" w:color="auto" w:fill="0F243E"/>
            <w:vAlign w:val="center"/>
          </w:tcPr>
          <w:p w14:paraId="75156EA9" w14:textId="77777777" w:rsidR="004258B8" w:rsidRPr="00DB34EA" w:rsidRDefault="004258B8" w:rsidP="00515EBC">
            <w:pPr>
              <w:tabs>
                <w:tab w:val="left" w:pos="0"/>
              </w:tabs>
              <w:suppressAutoHyphens w:val="0"/>
              <w:autoSpaceDE/>
              <w:autoSpaceDN/>
              <w:adjustRightInd/>
              <w:ind w:left="24" w:hanging="24"/>
              <w:jc w:val="center"/>
              <w:textAlignment w:val="auto"/>
              <w:rPr>
                <w:rFonts w:ascii="Aptos" w:hAnsi="Aptos" w:cs="Arial"/>
                <w:b/>
                <w:bCs/>
                <w:color w:val="FFFFFF" w:themeColor="background1"/>
                <w:sz w:val="20"/>
                <w:szCs w:val="20"/>
                <w:lang w:eastAsia="ja-JP"/>
              </w:rPr>
            </w:pPr>
            <w:r w:rsidRPr="00DB34EA">
              <w:rPr>
                <w:rFonts w:ascii="Aptos" w:hAnsi="Aptos" w:cs="Arial"/>
                <w:b/>
                <w:bCs/>
                <w:color w:val="FFFFFF" w:themeColor="background1"/>
                <w:sz w:val="20"/>
                <w:szCs w:val="20"/>
                <w:lang w:eastAsia="ja-JP"/>
              </w:rPr>
              <w:t>Deux motifs combinés</w:t>
            </w:r>
          </w:p>
        </w:tc>
        <w:tc>
          <w:tcPr>
            <w:tcW w:w="1012" w:type="pct"/>
            <w:gridSpan w:val="2"/>
            <w:shd w:val="clear" w:color="auto" w:fill="0F243E"/>
            <w:vAlign w:val="center"/>
          </w:tcPr>
          <w:p w14:paraId="524335F7" w14:textId="713BB4E5" w:rsidR="004258B8" w:rsidRPr="00DB34EA" w:rsidRDefault="004258B8" w:rsidP="00515EBC">
            <w:pPr>
              <w:tabs>
                <w:tab w:val="left" w:pos="0"/>
              </w:tabs>
              <w:suppressAutoHyphens w:val="0"/>
              <w:autoSpaceDE/>
              <w:autoSpaceDN/>
              <w:adjustRightInd/>
              <w:ind w:left="24" w:hanging="24"/>
              <w:jc w:val="center"/>
              <w:textAlignment w:val="auto"/>
              <w:rPr>
                <w:rFonts w:ascii="Aptos" w:hAnsi="Aptos" w:cs="Arial"/>
                <w:b/>
                <w:bCs/>
                <w:color w:val="FFFFFF" w:themeColor="background1"/>
                <w:sz w:val="20"/>
                <w:szCs w:val="20"/>
                <w:lang w:eastAsia="ja-JP"/>
              </w:rPr>
            </w:pPr>
            <w:r w:rsidRPr="00DB34EA">
              <w:rPr>
                <w:rFonts w:ascii="Aptos" w:hAnsi="Aptos" w:cs="Arial"/>
                <w:b/>
                <w:bCs/>
                <w:color w:val="FFFFFF" w:themeColor="background1"/>
                <w:sz w:val="20"/>
                <w:szCs w:val="20"/>
                <w:lang w:eastAsia="ja-JP"/>
              </w:rPr>
              <w:t>Motif «</w:t>
            </w:r>
            <w:r w:rsidR="00DE533D" w:rsidRPr="00DB34EA">
              <w:rPr>
                <w:rFonts w:ascii="Arial" w:hAnsi="Arial" w:cs="Arial"/>
                <w:b/>
                <w:bCs/>
                <w:color w:val="FFFFFF" w:themeColor="background1"/>
                <w:sz w:val="20"/>
                <w:szCs w:val="20"/>
                <w:lang w:eastAsia="ja-JP"/>
              </w:rPr>
              <w:t> </w:t>
            </w:r>
            <w:r w:rsidRPr="00DB34EA">
              <w:rPr>
                <w:rFonts w:ascii="Aptos" w:hAnsi="Aptos" w:cs="Arial"/>
                <w:b/>
                <w:bCs/>
                <w:color w:val="FFFFFF" w:themeColor="background1"/>
                <w:sz w:val="20"/>
                <w:szCs w:val="20"/>
                <w:lang w:eastAsia="ja-JP"/>
              </w:rPr>
              <w:t>orientation sexuelle</w:t>
            </w:r>
            <w:r w:rsidR="00DE533D" w:rsidRPr="00DB34EA">
              <w:rPr>
                <w:rFonts w:ascii="Arial" w:hAnsi="Arial" w:cs="Arial"/>
                <w:b/>
                <w:bCs/>
                <w:color w:val="FFFFFF" w:themeColor="background1"/>
                <w:sz w:val="20"/>
                <w:szCs w:val="20"/>
                <w:lang w:eastAsia="ja-JP"/>
              </w:rPr>
              <w:t> </w:t>
            </w:r>
            <w:r w:rsidRPr="00DB34EA">
              <w:rPr>
                <w:rFonts w:ascii="Aptos" w:hAnsi="Aptos" w:cs="Arial"/>
                <w:b/>
                <w:bCs/>
                <w:color w:val="FFFFFF" w:themeColor="background1"/>
                <w:sz w:val="20"/>
                <w:szCs w:val="20"/>
                <w:lang w:eastAsia="ja-JP"/>
              </w:rPr>
              <w:t>»</w:t>
            </w:r>
          </w:p>
        </w:tc>
        <w:tc>
          <w:tcPr>
            <w:tcW w:w="946" w:type="pct"/>
            <w:gridSpan w:val="2"/>
            <w:shd w:val="clear" w:color="auto" w:fill="0F243E"/>
            <w:vAlign w:val="center"/>
          </w:tcPr>
          <w:p w14:paraId="777A2636" w14:textId="3B8C7B4E" w:rsidR="004258B8" w:rsidRPr="00DB34EA" w:rsidRDefault="004258B8" w:rsidP="00515EBC">
            <w:pPr>
              <w:tabs>
                <w:tab w:val="left" w:pos="0"/>
              </w:tabs>
              <w:suppressAutoHyphens w:val="0"/>
              <w:autoSpaceDE/>
              <w:autoSpaceDN/>
              <w:adjustRightInd/>
              <w:ind w:left="24" w:hanging="24"/>
              <w:jc w:val="center"/>
              <w:textAlignment w:val="auto"/>
              <w:rPr>
                <w:rFonts w:ascii="Aptos" w:hAnsi="Aptos" w:cs="Arial"/>
                <w:b/>
                <w:bCs/>
                <w:color w:val="FFFFFF" w:themeColor="background1"/>
                <w:sz w:val="20"/>
                <w:szCs w:val="20"/>
                <w:lang w:eastAsia="ja-JP"/>
              </w:rPr>
            </w:pPr>
            <w:r w:rsidRPr="00DB34EA">
              <w:rPr>
                <w:rFonts w:ascii="Aptos" w:hAnsi="Aptos" w:cs="Arial"/>
                <w:b/>
                <w:bCs/>
                <w:color w:val="FFFFFF" w:themeColor="background1"/>
                <w:sz w:val="20"/>
                <w:szCs w:val="20"/>
                <w:lang w:eastAsia="ja-JP"/>
              </w:rPr>
              <w:t>Motif «</w:t>
            </w:r>
            <w:r w:rsidR="00DE533D" w:rsidRPr="00DB34EA">
              <w:rPr>
                <w:rFonts w:ascii="Arial" w:hAnsi="Arial" w:cs="Arial"/>
                <w:b/>
                <w:bCs/>
                <w:color w:val="FFFFFF" w:themeColor="background1"/>
                <w:sz w:val="20"/>
                <w:szCs w:val="20"/>
                <w:lang w:eastAsia="ja-JP"/>
              </w:rPr>
              <w:t> </w:t>
            </w:r>
            <w:r w:rsidRPr="00DB34EA">
              <w:rPr>
                <w:rFonts w:ascii="Aptos" w:hAnsi="Aptos" w:cs="Arial"/>
                <w:b/>
                <w:bCs/>
                <w:color w:val="FFFFFF" w:themeColor="background1"/>
                <w:sz w:val="20"/>
                <w:szCs w:val="20"/>
                <w:lang w:eastAsia="ja-JP"/>
              </w:rPr>
              <w:t>identité ou expression de genre</w:t>
            </w:r>
            <w:r w:rsidR="00DE533D" w:rsidRPr="00DB34EA">
              <w:rPr>
                <w:rFonts w:ascii="Arial" w:hAnsi="Arial" w:cs="Arial"/>
                <w:b/>
                <w:bCs/>
                <w:color w:val="FFFFFF" w:themeColor="background1"/>
                <w:sz w:val="20"/>
                <w:szCs w:val="20"/>
                <w:lang w:eastAsia="ja-JP"/>
              </w:rPr>
              <w:t> </w:t>
            </w:r>
            <w:r w:rsidRPr="00DB34EA">
              <w:rPr>
                <w:rFonts w:ascii="Aptos" w:hAnsi="Aptos" w:cs="Arial"/>
                <w:b/>
                <w:bCs/>
                <w:color w:val="FFFFFF" w:themeColor="background1"/>
                <w:sz w:val="20"/>
                <w:szCs w:val="20"/>
                <w:lang w:eastAsia="ja-JP"/>
              </w:rPr>
              <w:t>»</w:t>
            </w:r>
          </w:p>
        </w:tc>
      </w:tr>
      <w:tr w:rsidR="00051B74" w:rsidRPr="00A839DD" w14:paraId="53B81421" w14:textId="77777777" w:rsidTr="00164333">
        <w:trPr>
          <w:trHeight w:val="319"/>
          <w:jc w:val="center"/>
        </w:trPr>
        <w:tc>
          <w:tcPr>
            <w:tcW w:w="2095" w:type="pct"/>
            <w:shd w:val="clear" w:color="auto" w:fill="E3ECF9"/>
            <w:vAlign w:val="center"/>
          </w:tcPr>
          <w:p w14:paraId="6644885A" w14:textId="77777777" w:rsidR="00051B74" w:rsidRPr="00A839DD" w:rsidRDefault="00051B74" w:rsidP="007405AF">
            <w:pPr>
              <w:tabs>
                <w:tab w:val="left" w:pos="0"/>
              </w:tabs>
              <w:suppressAutoHyphens w:val="0"/>
              <w:autoSpaceDE/>
              <w:autoSpaceDN/>
              <w:adjustRightInd/>
              <w:ind w:left="24" w:hanging="24"/>
              <w:textAlignment w:val="auto"/>
              <w:rPr>
                <w:rFonts w:ascii="Aptos" w:hAnsi="Aptos" w:cs="Arial"/>
                <w:sz w:val="20"/>
                <w:szCs w:val="20"/>
                <w:lang w:eastAsia="ja-JP"/>
              </w:rPr>
            </w:pPr>
            <w:r w:rsidRPr="00A839DD">
              <w:rPr>
                <w:rFonts w:ascii="Aptos" w:hAnsi="Aptos" w:cs="Arial"/>
                <w:sz w:val="20"/>
                <w:szCs w:val="20"/>
                <w:lang w:eastAsia="ja-JP"/>
              </w:rPr>
              <w:t>Féminin</w:t>
            </w:r>
          </w:p>
        </w:tc>
        <w:tc>
          <w:tcPr>
            <w:tcW w:w="440" w:type="pct"/>
            <w:shd w:val="clear" w:color="auto" w:fill="E3ECF9"/>
            <w:vAlign w:val="center"/>
          </w:tcPr>
          <w:p w14:paraId="7028EFC9"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60</w:t>
            </w:r>
          </w:p>
        </w:tc>
        <w:tc>
          <w:tcPr>
            <w:tcW w:w="506" w:type="pct"/>
            <w:shd w:val="clear" w:color="auto" w:fill="E3ECF9"/>
            <w:vAlign w:val="center"/>
          </w:tcPr>
          <w:p w14:paraId="6E2FD922" w14:textId="5A8D9615" w:rsidR="00051B74" w:rsidRPr="00A839DD" w:rsidRDefault="00A55BAD"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29,9</w:t>
            </w:r>
            <w:r w:rsidR="00D228CF">
              <w:rPr>
                <w:rFonts w:ascii="Aptos" w:hAnsi="Aptos" w:cs="Arial"/>
                <w:sz w:val="20"/>
                <w:szCs w:val="20"/>
                <w:lang w:eastAsia="ja-JP"/>
              </w:rPr>
              <w:t> </w:t>
            </w:r>
            <w:r w:rsidRPr="00A839DD">
              <w:rPr>
                <w:rFonts w:ascii="Aptos" w:hAnsi="Aptos" w:cs="Arial"/>
                <w:sz w:val="20"/>
                <w:szCs w:val="20"/>
                <w:lang w:eastAsia="ja-JP"/>
              </w:rPr>
              <w:t>%</w:t>
            </w:r>
          </w:p>
        </w:tc>
        <w:tc>
          <w:tcPr>
            <w:tcW w:w="506" w:type="pct"/>
            <w:shd w:val="clear" w:color="auto" w:fill="E3ECF9"/>
            <w:vAlign w:val="center"/>
          </w:tcPr>
          <w:p w14:paraId="2430C964"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35</w:t>
            </w:r>
          </w:p>
        </w:tc>
        <w:tc>
          <w:tcPr>
            <w:tcW w:w="506" w:type="pct"/>
            <w:shd w:val="clear" w:color="auto" w:fill="E3ECF9"/>
            <w:vAlign w:val="center"/>
          </w:tcPr>
          <w:p w14:paraId="3CA9D188" w14:textId="5E4ECC9F" w:rsidR="00051B74" w:rsidRPr="00A839DD" w:rsidRDefault="00545B63"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21,3</w:t>
            </w:r>
            <w:r w:rsidR="00D228CF">
              <w:rPr>
                <w:rFonts w:ascii="Aptos" w:hAnsi="Aptos" w:cs="Arial"/>
                <w:sz w:val="20"/>
                <w:szCs w:val="20"/>
                <w:lang w:eastAsia="ja-JP"/>
              </w:rPr>
              <w:t> </w:t>
            </w:r>
            <w:r w:rsidRPr="00A839DD">
              <w:rPr>
                <w:rFonts w:ascii="Aptos" w:hAnsi="Aptos" w:cs="Arial"/>
                <w:sz w:val="20"/>
                <w:szCs w:val="20"/>
                <w:lang w:eastAsia="ja-JP"/>
              </w:rPr>
              <w:t>%</w:t>
            </w:r>
          </w:p>
        </w:tc>
        <w:tc>
          <w:tcPr>
            <w:tcW w:w="508" w:type="pct"/>
            <w:shd w:val="clear" w:color="auto" w:fill="E3ECF9"/>
            <w:vAlign w:val="center"/>
          </w:tcPr>
          <w:p w14:paraId="78B3DF56"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25</w:t>
            </w:r>
          </w:p>
        </w:tc>
        <w:tc>
          <w:tcPr>
            <w:tcW w:w="438" w:type="pct"/>
            <w:shd w:val="clear" w:color="auto" w:fill="E3ECF9"/>
            <w:vAlign w:val="center"/>
          </w:tcPr>
          <w:p w14:paraId="59D822B3" w14:textId="57E9503C" w:rsidR="00051B74" w:rsidRPr="00A839DD" w:rsidRDefault="00491AFE"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67,6</w:t>
            </w:r>
            <w:r w:rsidR="00D228CF">
              <w:rPr>
                <w:rFonts w:ascii="Aptos" w:hAnsi="Aptos" w:cs="Arial"/>
                <w:sz w:val="20"/>
                <w:szCs w:val="20"/>
                <w:lang w:eastAsia="ja-JP"/>
              </w:rPr>
              <w:t> </w:t>
            </w:r>
            <w:r w:rsidRPr="00A839DD">
              <w:rPr>
                <w:rFonts w:ascii="Aptos" w:hAnsi="Aptos" w:cs="Arial"/>
                <w:sz w:val="20"/>
                <w:szCs w:val="20"/>
                <w:lang w:eastAsia="ja-JP"/>
              </w:rPr>
              <w:t>%</w:t>
            </w:r>
          </w:p>
        </w:tc>
      </w:tr>
      <w:tr w:rsidR="00051B74" w:rsidRPr="00A839DD" w14:paraId="1B5D9AF8" w14:textId="77777777" w:rsidTr="00164333">
        <w:trPr>
          <w:trHeight w:val="319"/>
          <w:jc w:val="center"/>
        </w:trPr>
        <w:tc>
          <w:tcPr>
            <w:tcW w:w="2095" w:type="pct"/>
            <w:shd w:val="clear" w:color="auto" w:fill="FFFFFF" w:themeFill="background1"/>
            <w:vAlign w:val="center"/>
          </w:tcPr>
          <w:p w14:paraId="57E90D6E" w14:textId="77777777" w:rsidR="00051B74" w:rsidRPr="00A839DD" w:rsidRDefault="00051B74" w:rsidP="007405AF">
            <w:pPr>
              <w:tabs>
                <w:tab w:val="left" w:pos="0"/>
              </w:tabs>
              <w:suppressAutoHyphens w:val="0"/>
              <w:autoSpaceDE/>
              <w:autoSpaceDN/>
              <w:adjustRightInd/>
              <w:ind w:left="24" w:hanging="24"/>
              <w:textAlignment w:val="auto"/>
              <w:rPr>
                <w:rFonts w:ascii="Aptos" w:hAnsi="Aptos" w:cs="Arial"/>
                <w:sz w:val="20"/>
                <w:szCs w:val="20"/>
                <w:lang w:eastAsia="ja-JP"/>
              </w:rPr>
            </w:pPr>
            <w:r w:rsidRPr="00A839DD">
              <w:rPr>
                <w:rFonts w:ascii="Aptos" w:hAnsi="Aptos" w:cs="Arial"/>
                <w:sz w:val="20"/>
                <w:szCs w:val="20"/>
                <w:lang w:eastAsia="ja-JP"/>
              </w:rPr>
              <w:t>Masculin</w:t>
            </w:r>
          </w:p>
        </w:tc>
        <w:tc>
          <w:tcPr>
            <w:tcW w:w="440" w:type="pct"/>
            <w:shd w:val="clear" w:color="auto" w:fill="FFFFFF" w:themeFill="background1"/>
            <w:vAlign w:val="center"/>
          </w:tcPr>
          <w:p w14:paraId="5E81D673"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138</w:t>
            </w:r>
          </w:p>
        </w:tc>
        <w:tc>
          <w:tcPr>
            <w:tcW w:w="506" w:type="pct"/>
            <w:shd w:val="clear" w:color="auto" w:fill="FFFFFF" w:themeFill="background1"/>
            <w:vAlign w:val="center"/>
          </w:tcPr>
          <w:p w14:paraId="22B50DD4" w14:textId="26AB64F9" w:rsidR="00051B74" w:rsidRPr="00A839DD" w:rsidRDefault="00D816DB"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68,7</w:t>
            </w:r>
            <w:r w:rsidR="00D228CF">
              <w:rPr>
                <w:rFonts w:ascii="Aptos" w:hAnsi="Aptos" w:cs="Arial"/>
                <w:sz w:val="20"/>
                <w:szCs w:val="20"/>
                <w:lang w:eastAsia="ja-JP"/>
              </w:rPr>
              <w:t> </w:t>
            </w:r>
            <w:r w:rsidRPr="00A839DD">
              <w:rPr>
                <w:rFonts w:ascii="Aptos" w:hAnsi="Aptos" w:cs="Arial"/>
                <w:sz w:val="20"/>
                <w:szCs w:val="20"/>
                <w:lang w:eastAsia="ja-JP"/>
              </w:rPr>
              <w:t>%</w:t>
            </w:r>
          </w:p>
        </w:tc>
        <w:tc>
          <w:tcPr>
            <w:tcW w:w="506" w:type="pct"/>
            <w:shd w:val="clear" w:color="auto" w:fill="FFFFFF" w:themeFill="background1"/>
            <w:vAlign w:val="center"/>
          </w:tcPr>
          <w:p w14:paraId="4D24A4AF"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128</w:t>
            </w:r>
          </w:p>
        </w:tc>
        <w:tc>
          <w:tcPr>
            <w:tcW w:w="506" w:type="pct"/>
            <w:shd w:val="clear" w:color="auto" w:fill="FFFFFF" w:themeFill="background1"/>
            <w:vAlign w:val="center"/>
          </w:tcPr>
          <w:p w14:paraId="16E041D4" w14:textId="6F69017C" w:rsidR="00051B74" w:rsidRPr="00A839DD" w:rsidRDefault="00545B63"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78,0</w:t>
            </w:r>
            <w:r w:rsidR="00D228CF">
              <w:rPr>
                <w:rFonts w:ascii="Aptos" w:hAnsi="Aptos" w:cs="Arial"/>
                <w:sz w:val="20"/>
                <w:szCs w:val="20"/>
                <w:lang w:eastAsia="ja-JP"/>
              </w:rPr>
              <w:t> </w:t>
            </w:r>
            <w:r w:rsidRPr="00A839DD">
              <w:rPr>
                <w:rFonts w:ascii="Aptos" w:hAnsi="Aptos" w:cs="Arial"/>
                <w:sz w:val="20"/>
                <w:szCs w:val="20"/>
                <w:lang w:eastAsia="ja-JP"/>
              </w:rPr>
              <w:t>%</w:t>
            </w:r>
          </w:p>
        </w:tc>
        <w:tc>
          <w:tcPr>
            <w:tcW w:w="508" w:type="pct"/>
            <w:shd w:val="clear" w:color="auto" w:fill="FFFFFF" w:themeFill="background1"/>
            <w:vAlign w:val="center"/>
          </w:tcPr>
          <w:p w14:paraId="1D9CA623"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10</w:t>
            </w:r>
          </w:p>
        </w:tc>
        <w:tc>
          <w:tcPr>
            <w:tcW w:w="438" w:type="pct"/>
            <w:shd w:val="clear" w:color="auto" w:fill="FFFFFF" w:themeFill="background1"/>
            <w:vAlign w:val="center"/>
          </w:tcPr>
          <w:p w14:paraId="344A2441" w14:textId="64B1096D" w:rsidR="00051B74" w:rsidRPr="00A839DD" w:rsidRDefault="00A056ED"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27,0</w:t>
            </w:r>
            <w:r w:rsidR="00D228CF">
              <w:rPr>
                <w:rFonts w:ascii="Aptos" w:hAnsi="Aptos" w:cs="Arial"/>
                <w:sz w:val="20"/>
                <w:szCs w:val="20"/>
                <w:lang w:eastAsia="ja-JP"/>
              </w:rPr>
              <w:t> </w:t>
            </w:r>
            <w:r w:rsidRPr="00A839DD">
              <w:rPr>
                <w:rFonts w:ascii="Aptos" w:hAnsi="Aptos" w:cs="Arial"/>
                <w:sz w:val="20"/>
                <w:szCs w:val="20"/>
                <w:lang w:eastAsia="ja-JP"/>
              </w:rPr>
              <w:t>%</w:t>
            </w:r>
          </w:p>
        </w:tc>
      </w:tr>
      <w:tr w:rsidR="00051B74" w:rsidRPr="00A839DD" w14:paraId="3039C9DF" w14:textId="77777777" w:rsidTr="00164333">
        <w:trPr>
          <w:trHeight w:val="319"/>
          <w:jc w:val="center"/>
        </w:trPr>
        <w:tc>
          <w:tcPr>
            <w:tcW w:w="2095" w:type="pct"/>
            <w:shd w:val="clear" w:color="auto" w:fill="E3ECF9"/>
            <w:vAlign w:val="center"/>
          </w:tcPr>
          <w:p w14:paraId="710EEF43" w14:textId="77777777" w:rsidR="00051B74" w:rsidRPr="00A839DD" w:rsidRDefault="00051B74" w:rsidP="007405AF">
            <w:pPr>
              <w:tabs>
                <w:tab w:val="left" w:pos="0"/>
              </w:tabs>
              <w:suppressAutoHyphens w:val="0"/>
              <w:autoSpaceDE/>
              <w:autoSpaceDN/>
              <w:adjustRightInd/>
              <w:ind w:left="24" w:hanging="24"/>
              <w:textAlignment w:val="auto"/>
              <w:rPr>
                <w:rFonts w:ascii="Aptos" w:hAnsi="Aptos" w:cs="Arial"/>
                <w:sz w:val="20"/>
                <w:szCs w:val="20"/>
                <w:lang w:eastAsia="ja-JP"/>
              </w:rPr>
            </w:pPr>
            <w:r w:rsidRPr="00A839DD">
              <w:rPr>
                <w:rFonts w:ascii="Aptos" w:hAnsi="Aptos" w:cs="Arial"/>
                <w:sz w:val="20"/>
                <w:szCs w:val="20"/>
                <w:lang w:eastAsia="ja-JP"/>
              </w:rPr>
              <w:t>Non binaire</w:t>
            </w:r>
          </w:p>
        </w:tc>
        <w:tc>
          <w:tcPr>
            <w:tcW w:w="440" w:type="pct"/>
            <w:shd w:val="clear" w:color="auto" w:fill="E3ECF9"/>
            <w:vAlign w:val="center"/>
          </w:tcPr>
          <w:p w14:paraId="3A6D8B48"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506" w:type="pct"/>
            <w:shd w:val="clear" w:color="auto" w:fill="E3ECF9"/>
            <w:vAlign w:val="center"/>
          </w:tcPr>
          <w:p w14:paraId="64FDCF01" w14:textId="449B8FBF" w:rsidR="00051B74" w:rsidRPr="00A839DD" w:rsidRDefault="00D816DB"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0,5</w:t>
            </w:r>
            <w:r w:rsidR="00D228CF">
              <w:rPr>
                <w:rFonts w:ascii="Aptos" w:hAnsi="Aptos" w:cs="Arial"/>
                <w:sz w:val="20"/>
                <w:szCs w:val="20"/>
                <w:lang w:eastAsia="ja-JP"/>
              </w:rPr>
              <w:t> </w:t>
            </w:r>
            <w:r w:rsidRPr="00A839DD">
              <w:rPr>
                <w:rFonts w:ascii="Aptos" w:hAnsi="Aptos" w:cs="Arial"/>
                <w:sz w:val="20"/>
                <w:szCs w:val="20"/>
                <w:lang w:eastAsia="ja-JP"/>
              </w:rPr>
              <w:t>%</w:t>
            </w:r>
          </w:p>
        </w:tc>
        <w:tc>
          <w:tcPr>
            <w:tcW w:w="506" w:type="pct"/>
            <w:shd w:val="clear" w:color="auto" w:fill="E3ECF9"/>
            <w:vAlign w:val="center"/>
          </w:tcPr>
          <w:p w14:paraId="1F7CAB64"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0</w:t>
            </w:r>
          </w:p>
        </w:tc>
        <w:tc>
          <w:tcPr>
            <w:tcW w:w="506" w:type="pct"/>
            <w:shd w:val="clear" w:color="auto" w:fill="E3ECF9"/>
            <w:vAlign w:val="center"/>
          </w:tcPr>
          <w:p w14:paraId="77FB4854" w14:textId="07F84893" w:rsidR="00051B74" w:rsidRPr="00A839DD" w:rsidRDefault="00916AE6"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w:t>
            </w:r>
            <w:r w:rsidR="00D228CF">
              <w:rPr>
                <w:rFonts w:ascii="Aptos" w:hAnsi="Aptos" w:cs="Arial"/>
                <w:sz w:val="20"/>
                <w:szCs w:val="20"/>
                <w:lang w:eastAsia="ja-JP"/>
              </w:rPr>
              <w:t> </w:t>
            </w:r>
            <w:r w:rsidRPr="00A839DD">
              <w:rPr>
                <w:rFonts w:ascii="Aptos" w:hAnsi="Aptos" w:cs="Arial"/>
                <w:sz w:val="20"/>
                <w:szCs w:val="20"/>
                <w:lang w:eastAsia="ja-JP"/>
              </w:rPr>
              <w:t>%</w:t>
            </w:r>
          </w:p>
        </w:tc>
        <w:tc>
          <w:tcPr>
            <w:tcW w:w="508" w:type="pct"/>
            <w:shd w:val="clear" w:color="auto" w:fill="E3ECF9"/>
            <w:vAlign w:val="center"/>
          </w:tcPr>
          <w:p w14:paraId="711CCCC2"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438" w:type="pct"/>
            <w:shd w:val="clear" w:color="auto" w:fill="E3ECF9"/>
            <w:vAlign w:val="center"/>
          </w:tcPr>
          <w:p w14:paraId="7E12BF17" w14:textId="6660D952" w:rsidR="00051B74" w:rsidRPr="00A839DD" w:rsidRDefault="00A056ED"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2,7</w:t>
            </w:r>
            <w:r w:rsidR="00D228CF">
              <w:rPr>
                <w:rFonts w:ascii="Aptos" w:hAnsi="Aptos" w:cs="Arial"/>
                <w:sz w:val="20"/>
                <w:szCs w:val="20"/>
                <w:lang w:eastAsia="ja-JP"/>
              </w:rPr>
              <w:t> </w:t>
            </w:r>
            <w:r w:rsidRPr="00A839DD">
              <w:rPr>
                <w:rFonts w:ascii="Aptos" w:hAnsi="Aptos" w:cs="Arial"/>
                <w:sz w:val="20"/>
                <w:szCs w:val="20"/>
                <w:lang w:eastAsia="ja-JP"/>
              </w:rPr>
              <w:t>%</w:t>
            </w:r>
          </w:p>
        </w:tc>
      </w:tr>
      <w:tr w:rsidR="00051B74" w:rsidRPr="00A839DD" w14:paraId="5A3DC05B" w14:textId="77777777" w:rsidTr="00164333">
        <w:trPr>
          <w:trHeight w:val="319"/>
          <w:jc w:val="center"/>
        </w:trPr>
        <w:tc>
          <w:tcPr>
            <w:tcW w:w="2095" w:type="pct"/>
            <w:shd w:val="clear" w:color="auto" w:fill="FFFFFF" w:themeFill="background1"/>
            <w:vAlign w:val="center"/>
          </w:tcPr>
          <w:p w14:paraId="340234DF" w14:textId="77777777" w:rsidR="00051B74" w:rsidRPr="00A839DD" w:rsidRDefault="00051B74" w:rsidP="007405AF">
            <w:pPr>
              <w:tabs>
                <w:tab w:val="left" w:pos="0"/>
              </w:tabs>
              <w:suppressAutoHyphens w:val="0"/>
              <w:autoSpaceDE/>
              <w:autoSpaceDN/>
              <w:adjustRightInd/>
              <w:ind w:left="24" w:hanging="24"/>
              <w:textAlignment w:val="auto"/>
              <w:rPr>
                <w:rFonts w:ascii="Aptos" w:hAnsi="Aptos" w:cs="Arial"/>
                <w:sz w:val="20"/>
                <w:szCs w:val="20"/>
                <w:lang w:eastAsia="ja-JP"/>
              </w:rPr>
            </w:pPr>
            <w:r w:rsidRPr="00A839DD">
              <w:rPr>
                <w:rFonts w:ascii="Aptos" w:hAnsi="Aptos" w:cs="Arial"/>
                <w:sz w:val="20"/>
                <w:szCs w:val="20"/>
                <w:lang w:eastAsia="ja-JP"/>
              </w:rPr>
              <w:t>En transition</w:t>
            </w:r>
          </w:p>
        </w:tc>
        <w:tc>
          <w:tcPr>
            <w:tcW w:w="440" w:type="pct"/>
            <w:shd w:val="clear" w:color="auto" w:fill="FFFFFF" w:themeFill="background1"/>
            <w:vAlign w:val="center"/>
          </w:tcPr>
          <w:p w14:paraId="37CE12E6"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506" w:type="pct"/>
            <w:shd w:val="clear" w:color="auto" w:fill="FFFFFF" w:themeFill="background1"/>
            <w:vAlign w:val="center"/>
          </w:tcPr>
          <w:p w14:paraId="53B32614" w14:textId="7B38E1CF" w:rsidR="00051B74" w:rsidRPr="00A839DD" w:rsidRDefault="00D816DB"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0,5</w:t>
            </w:r>
            <w:r w:rsidR="00D228CF">
              <w:rPr>
                <w:rFonts w:ascii="Aptos" w:hAnsi="Aptos" w:cs="Arial"/>
                <w:sz w:val="20"/>
                <w:szCs w:val="20"/>
                <w:lang w:eastAsia="ja-JP"/>
              </w:rPr>
              <w:t> </w:t>
            </w:r>
            <w:r w:rsidRPr="00A839DD">
              <w:rPr>
                <w:rFonts w:ascii="Aptos" w:hAnsi="Aptos" w:cs="Arial"/>
                <w:sz w:val="20"/>
                <w:szCs w:val="20"/>
                <w:lang w:eastAsia="ja-JP"/>
              </w:rPr>
              <w:t>%</w:t>
            </w:r>
          </w:p>
        </w:tc>
        <w:tc>
          <w:tcPr>
            <w:tcW w:w="506" w:type="pct"/>
            <w:shd w:val="clear" w:color="auto" w:fill="FFFFFF" w:themeFill="background1"/>
            <w:vAlign w:val="center"/>
          </w:tcPr>
          <w:p w14:paraId="77EEB367"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0</w:t>
            </w:r>
          </w:p>
        </w:tc>
        <w:tc>
          <w:tcPr>
            <w:tcW w:w="506" w:type="pct"/>
            <w:shd w:val="clear" w:color="auto" w:fill="FFFFFF" w:themeFill="background1"/>
            <w:vAlign w:val="center"/>
          </w:tcPr>
          <w:p w14:paraId="1AC8A9A8" w14:textId="1C959E16" w:rsidR="00051B74" w:rsidRPr="00A839DD" w:rsidRDefault="00916AE6"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w:t>
            </w:r>
            <w:r w:rsidR="00D228CF">
              <w:rPr>
                <w:rFonts w:ascii="Aptos" w:hAnsi="Aptos" w:cs="Arial"/>
                <w:sz w:val="20"/>
                <w:szCs w:val="20"/>
                <w:lang w:eastAsia="ja-JP"/>
              </w:rPr>
              <w:t> </w:t>
            </w:r>
            <w:r w:rsidRPr="00A839DD">
              <w:rPr>
                <w:rFonts w:ascii="Aptos" w:hAnsi="Aptos" w:cs="Arial"/>
                <w:sz w:val="20"/>
                <w:szCs w:val="20"/>
                <w:lang w:eastAsia="ja-JP"/>
              </w:rPr>
              <w:t>%</w:t>
            </w:r>
          </w:p>
        </w:tc>
        <w:tc>
          <w:tcPr>
            <w:tcW w:w="508" w:type="pct"/>
            <w:shd w:val="clear" w:color="auto" w:fill="FFFFFF" w:themeFill="background1"/>
            <w:vAlign w:val="center"/>
          </w:tcPr>
          <w:p w14:paraId="1B631F9C"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438" w:type="pct"/>
            <w:shd w:val="clear" w:color="auto" w:fill="FFFFFF" w:themeFill="background1"/>
            <w:vAlign w:val="center"/>
          </w:tcPr>
          <w:p w14:paraId="1F214416" w14:textId="19E752C2" w:rsidR="00051B74" w:rsidRPr="00A839DD" w:rsidRDefault="00A056ED"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2,7</w:t>
            </w:r>
            <w:r w:rsidR="00D228CF">
              <w:rPr>
                <w:rFonts w:ascii="Aptos" w:hAnsi="Aptos" w:cs="Arial"/>
                <w:sz w:val="20"/>
                <w:szCs w:val="20"/>
                <w:lang w:eastAsia="ja-JP"/>
              </w:rPr>
              <w:t> </w:t>
            </w:r>
            <w:r w:rsidRPr="00A839DD">
              <w:rPr>
                <w:rFonts w:ascii="Aptos" w:hAnsi="Aptos" w:cs="Arial"/>
                <w:sz w:val="20"/>
                <w:szCs w:val="20"/>
                <w:lang w:eastAsia="ja-JP"/>
              </w:rPr>
              <w:t>%</w:t>
            </w:r>
          </w:p>
        </w:tc>
      </w:tr>
      <w:tr w:rsidR="00051B74" w:rsidRPr="00A839DD" w14:paraId="508C2F01" w14:textId="77777777" w:rsidTr="00164333">
        <w:trPr>
          <w:trHeight w:val="308"/>
          <w:jc w:val="center"/>
        </w:trPr>
        <w:tc>
          <w:tcPr>
            <w:tcW w:w="2095" w:type="pct"/>
            <w:shd w:val="clear" w:color="auto" w:fill="E3ECF9"/>
            <w:vAlign w:val="center"/>
          </w:tcPr>
          <w:p w14:paraId="0E093E06" w14:textId="77777777" w:rsidR="00051B74" w:rsidRPr="00A839DD" w:rsidRDefault="00051B74" w:rsidP="007405AF">
            <w:pPr>
              <w:tabs>
                <w:tab w:val="left" w:pos="0"/>
              </w:tabs>
              <w:suppressAutoHyphens w:val="0"/>
              <w:autoSpaceDE/>
              <w:autoSpaceDN/>
              <w:adjustRightInd/>
              <w:ind w:left="24" w:hanging="24"/>
              <w:textAlignment w:val="auto"/>
              <w:rPr>
                <w:rFonts w:ascii="Aptos" w:hAnsi="Aptos" w:cs="Arial"/>
                <w:sz w:val="20"/>
                <w:szCs w:val="20"/>
                <w:lang w:eastAsia="ja-JP"/>
              </w:rPr>
            </w:pPr>
            <w:r w:rsidRPr="00A839DD">
              <w:rPr>
                <w:rFonts w:ascii="Aptos" w:hAnsi="Aptos" w:cs="Arial"/>
                <w:sz w:val="20"/>
                <w:szCs w:val="20"/>
                <w:lang w:eastAsia="ja-JP"/>
              </w:rPr>
              <w:t>Groupe de personnes de genres différents</w:t>
            </w:r>
          </w:p>
        </w:tc>
        <w:tc>
          <w:tcPr>
            <w:tcW w:w="440" w:type="pct"/>
            <w:shd w:val="clear" w:color="auto" w:fill="E3ECF9"/>
            <w:vAlign w:val="center"/>
          </w:tcPr>
          <w:p w14:paraId="07B5CBE2"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506" w:type="pct"/>
            <w:shd w:val="clear" w:color="auto" w:fill="E3ECF9"/>
            <w:vAlign w:val="center"/>
          </w:tcPr>
          <w:p w14:paraId="139D334A" w14:textId="7B3AD8FD" w:rsidR="00051B74" w:rsidRPr="00A839DD" w:rsidRDefault="00D816DB"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0,5</w:t>
            </w:r>
            <w:r w:rsidR="00D228CF">
              <w:rPr>
                <w:rFonts w:ascii="Aptos" w:hAnsi="Aptos" w:cs="Arial"/>
                <w:sz w:val="20"/>
                <w:szCs w:val="20"/>
                <w:lang w:eastAsia="ja-JP"/>
              </w:rPr>
              <w:t> </w:t>
            </w:r>
            <w:r w:rsidRPr="00A839DD">
              <w:rPr>
                <w:rFonts w:ascii="Aptos" w:hAnsi="Aptos" w:cs="Arial"/>
                <w:sz w:val="20"/>
                <w:szCs w:val="20"/>
                <w:lang w:eastAsia="ja-JP"/>
              </w:rPr>
              <w:t>%</w:t>
            </w:r>
          </w:p>
        </w:tc>
        <w:tc>
          <w:tcPr>
            <w:tcW w:w="506" w:type="pct"/>
            <w:shd w:val="clear" w:color="auto" w:fill="E3ECF9"/>
            <w:vAlign w:val="center"/>
          </w:tcPr>
          <w:p w14:paraId="2F408775"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506" w:type="pct"/>
            <w:shd w:val="clear" w:color="auto" w:fill="E3ECF9"/>
            <w:vAlign w:val="center"/>
          </w:tcPr>
          <w:p w14:paraId="10C55FD3" w14:textId="62E147C5" w:rsidR="00051B74" w:rsidRPr="00A839DD" w:rsidRDefault="00916AE6"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0,6</w:t>
            </w:r>
            <w:r w:rsidR="00D228CF">
              <w:rPr>
                <w:rFonts w:ascii="Aptos" w:hAnsi="Aptos" w:cs="Arial"/>
                <w:sz w:val="20"/>
                <w:szCs w:val="20"/>
                <w:lang w:eastAsia="ja-JP"/>
              </w:rPr>
              <w:t> </w:t>
            </w:r>
            <w:r w:rsidRPr="00A839DD">
              <w:rPr>
                <w:rFonts w:ascii="Aptos" w:hAnsi="Aptos" w:cs="Arial"/>
                <w:sz w:val="20"/>
                <w:szCs w:val="20"/>
                <w:lang w:eastAsia="ja-JP"/>
              </w:rPr>
              <w:t>%</w:t>
            </w:r>
          </w:p>
        </w:tc>
        <w:tc>
          <w:tcPr>
            <w:tcW w:w="508" w:type="pct"/>
            <w:shd w:val="clear" w:color="auto" w:fill="E3ECF9"/>
            <w:vAlign w:val="center"/>
          </w:tcPr>
          <w:p w14:paraId="5992FD4D"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0</w:t>
            </w:r>
          </w:p>
        </w:tc>
        <w:tc>
          <w:tcPr>
            <w:tcW w:w="438" w:type="pct"/>
            <w:shd w:val="clear" w:color="auto" w:fill="E3ECF9"/>
            <w:vAlign w:val="center"/>
          </w:tcPr>
          <w:p w14:paraId="7EF9CF21" w14:textId="33F1A668" w:rsidR="00051B74" w:rsidRPr="00A839DD" w:rsidRDefault="00A056ED" w:rsidP="00051B74">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w:t>
            </w:r>
            <w:r w:rsidR="00D228CF">
              <w:rPr>
                <w:rFonts w:ascii="Aptos" w:hAnsi="Aptos" w:cs="Arial"/>
                <w:sz w:val="20"/>
                <w:szCs w:val="20"/>
                <w:lang w:eastAsia="ja-JP"/>
              </w:rPr>
              <w:t> </w:t>
            </w:r>
            <w:r w:rsidRPr="00A839DD">
              <w:rPr>
                <w:rFonts w:ascii="Aptos" w:hAnsi="Aptos" w:cs="Arial"/>
                <w:sz w:val="20"/>
                <w:szCs w:val="20"/>
                <w:lang w:eastAsia="ja-JP"/>
              </w:rPr>
              <w:t>%</w:t>
            </w:r>
          </w:p>
        </w:tc>
      </w:tr>
      <w:tr w:rsidR="00051B74" w:rsidRPr="00A839DD" w14:paraId="2C4E4ADA" w14:textId="77777777" w:rsidTr="00164333">
        <w:trPr>
          <w:trHeight w:val="412"/>
          <w:jc w:val="center"/>
        </w:trPr>
        <w:tc>
          <w:tcPr>
            <w:tcW w:w="2095" w:type="pct"/>
            <w:vAlign w:val="center"/>
          </w:tcPr>
          <w:p w14:paraId="2CF429AF" w14:textId="77777777" w:rsidR="00051B74" w:rsidRPr="00A839DD" w:rsidRDefault="00051B74" w:rsidP="007405AF">
            <w:pPr>
              <w:tabs>
                <w:tab w:val="left" w:pos="0"/>
              </w:tabs>
              <w:suppressAutoHyphens w:val="0"/>
              <w:autoSpaceDE/>
              <w:autoSpaceDN/>
              <w:adjustRightInd/>
              <w:ind w:left="24" w:hanging="24"/>
              <w:textAlignment w:val="auto"/>
              <w:rPr>
                <w:rFonts w:ascii="Aptos" w:hAnsi="Aptos" w:cs="Arial"/>
                <w:b/>
                <w:bCs/>
                <w:sz w:val="20"/>
                <w:szCs w:val="20"/>
                <w:lang w:eastAsia="ja-JP"/>
              </w:rPr>
            </w:pPr>
            <w:r w:rsidRPr="00A839DD">
              <w:rPr>
                <w:rFonts w:ascii="Aptos" w:hAnsi="Aptos" w:cs="Arial"/>
                <w:b/>
                <w:bCs/>
                <w:sz w:val="20"/>
                <w:szCs w:val="20"/>
                <w:lang w:eastAsia="ja-JP"/>
              </w:rPr>
              <w:t>Total</w:t>
            </w:r>
          </w:p>
        </w:tc>
        <w:tc>
          <w:tcPr>
            <w:tcW w:w="440" w:type="pct"/>
            <w:vAlign w:val="center"/>
          </w:tcPr>
          <w:p w14:paraId="6D95611C"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b/>
                <w:bCs/>
                <w:sz w:val="20"/>
                <w:szCs w:val="20"/>
                <w:lang w:eastAsia="ja-JP"/>
              </w:rPr>
            </w:pPr>
            <w:r w:rsidRPr="00A839DD">
              <w:rPr>
                <w:rFonts w:ascii="Aptos" w:hAnsi="Aptos" w:cs="Arial"/>
                <w:b/>
                <w:bCs/>
                <w:sz w:val="20"/>
                <w:szCs w:val="20"/>
                <w:lang w:eastAsia="ja-JP"/>
              </w:rPr>
              <w:t>201</w:t>
            </w:r>
          </w:p>
        </w:tc>
        <w:tc>
          <w:tcPr>
            <w:tcW w:w="506" w:type="pct"/>
            <w:vAlign w:val="center"/>
          </w:tcPr>
          <w:p w14:paraId="2DEFDCC4" w14:textId="368A1674" w:rsidR="00051B74" w:rsidRPr="00A839DD" w:rsidRDefault="00D816DB" w:rsidP="00051B74">
            <w:pPr>
              <w:tabs>
                <w:tab w:val="left" w:pos="0"/>
              </w:tabs>
              <w:suppressAutoHyphens w:val="0"/>
              <w:autoSpaceDE/>
              <w:autoSpaceDN/>
              <w:adjustRightInd/>
              <w:ind w:left="24" w:hanging="24"/>
              <w:jc w:val="center"/>
              <w:textAlignment w:val="auto"/>
              <w:rPr>
                <w:rFonts w:ascii="Aptos" w:hAnsi="Aptos" w:cs="Arial"/>
                <w:b/>
                <w:bCs/>
                <w:sz w:val="20"/>
                <w:szCs w:val="20"/>
                <w:lang w:eastAsia="ja-JP"/>
              </w:rPr>
            </w:pPr>
            <w:r w:rsidRPr="00A839DD">
              <w:rPr>
                <w:rFonts w:ascii="Aptos" w:hAnsi="Aptos" w:cs="Arial"/>
                <w:b/>
                <w:bCs/>
                <w:sz w:val="20"/>
                <w:szCs w:val="20"/>
                <w:lang w:eastAsia="ja-JP"/>
              </w:rPr>
              <w:t>100</w:t>
            </w:r>
            <w:r w:rsidR="00D228CF">
              <w:rPr>
                <w:rFonts w:ascii="Aptos" w:hAnsi="Aptos" w:cs="Arial"/>
                <w:b/>
                <w:bCs/>
                <w:sz w:val="20"/>
                <w:szCs w:val="20"/>
                <w:lang w:eastAsia="ja-JP"/>
              </w:rPr>
              <w:t> </w:t>
            </w:r>
            <w:r w:rsidRPr="00A839DD">
              <w:rPr>
                <w:rFonts w:ascii="Aptos" w:hAnsi="Aptos" w:cs="Arial"/>
                <w:b/>
                <w:bCs/>
                <w:sz w:val="20"/>
                <w:szCs w:val="20"/>
                <w:lang w:eastAsia="ja-JP"/>
              </w:rPr>
              <w:t>%</w:t>
            </w:r>
          </w:p>
        </w:tc>
        <w:tc>
          <w:tcPr>
            <w:tcW w:w="506" w:type="pct"/>
            <w:vAlign w:val="center"/>
          </w:tcPr>
          <w:p w14:paraId="13E4925A"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b/>
                <w:bCs/>
                <w:sz w:val="20"/>
                <w:szCs w:val="20"/>
                <w:lang w:eastAsia="ja-JP"/>
              </w:rPr>
            </w:pPr>
            <w:r w:rsidRPr="00A839DD">
              <w:rPr>
                <w:rFonts w:ascii="Aptos" w:hAnsi="Aptos" w:cs="Arial"/>
                <w:b/>
                <w:bCs/>
                <w:sz w:val="20"/>
                <w:szCs w:val="20"/>
                <w:lang w:eastAsia="ja-JP"/>
              </w:rPr>
              <w:t>164</w:t>
            </w:r>
          </w:p>
        </w:tc>
        <w:tc>
          <w:tcPr>
            <w:tcW w:w="506" w:type="pct"/>
            <w:vAlign w:val="center"/>
          </w:tcPr>
          <w:p w14:paraId="65F51BE6" w14:textId="1E93BB23" w:rsidR="00051B74" w:rsidRPr="00A839DD" w:rsidRDefault="00916AE6" w:rsidP="00051B74">
            <w:pPr>
              <w:tabs>
                <w:tab w:val="left" w:pos="0"/>
              </w:tabs>
              <w:suppressAutoHyphens w:val="0"/>
              <w:autoSpaceDE/>
              <w:autoSpaceDN/>
              <w:adjustRightInd/>
              <w:ind w:left="24" w:hanging="24"/>
              <w:jc w:val="center"/>
              <w:textAlignment w:val="auto"/>
              <w:rPr>
                <w:rFonts w:ascii="Aptos" w:hAnsi="Aptos" w:cs="Arial"/>
                <w:b/>
                <w:bCs/>
                <w:sz w:val="20"/>
                <w:szCs w:val="20"/>
                <w:lang w:eastAsia="ja-JP"/>
              </w:rPr>
            </w:pPr>
            <w:r w:rsidRPr="00A839DD">
              <w:rPr>
                <w:rFonts w:ascii="Aptos" w:hAnsi="Aptos" w:cs="Arial"/>
                <w:b/>
                <w:bCs/>
                <w:sz w:val="20"/>
                <w:szCs w:val="20"/>
                <w:lang w:eastAsia="ja-JP"/>
              </w:rPr>
              <w:t>100</w:t>
            </w:r>
            <w:r w:rsidR="00D228CF">
              <w:rPr>
                <w:rFonts w:ascii="Aptos" w:hAnsi="Aptos" w:cs="Arial"/>
                <w:b/>
                <w:bCs/>
                <w:sz w:val="20"/>
                <w:szCs w:val="20"/>
                <w:lang w:eastAsia="ja-JP"/>
              </w:rPr>
              <w:t> </w:t>
            </w:r>
            <w:r w:rsidRPr="00A839DD">
              <w:rPr>
                <w:rFonts w:ascii="Aptos" w:hAnsi="Aptos" w:cs="Arial"/>
                <w:b/>
                <w:bCs/>
                <w:sz w:val="20"/>
                <w:szCs w:val="20"/>
                <w:lang w:eastAsia="ja-JP"/>
              </w:rPr>
              <w:t>%</w:t>
            </w:r>
          </w:p>
        </w:tc>
        <w:tc>
          <w:tcPr>
            <w:tcW w:w="508" w:type="pct"/>
            <w:vAlign w:val="center"/>
          </w:tcPr>
          <w:p w14:paraId="4E9BFC83" w14:textId="77777777" w:rsidR="00051B74" w:rsidRPr="00A839DD" w:rsidRDefault="00051B74" w:rsidP="00051B74">
            <w:pPr>
              <w:tabs>
                <w:tab w:val="left" w:pos="0"/>
              </w:tabs>
              <w:suppressAutoHyphens w:val="0"/>
              <w:autoSpaceDE/>
              <w:autoSpaceDN/>
              <w:adjustRightInd/>
              <w:ind w:left="24" w:hanging="24"/>
              <w:jc w:val="center"/>
              <w:textAlignment w:val="auto"/>
              <w:rPr>
                <w:rFonts w:cs="Arial"/>
                <w:b/>
                <w:bCs/>
                <w:sz w:val="20"/>
                <w:szCs w:val="20"/>
                <w:lang w:eastAsia="ja-JP"/>
              </w:rPr>
            </w:pPr>
            <w:r w:rsidRPr="00A839DD">
              <w:rPr>
                <w:rFonts w:ascii="Aptos" w:hAnsi="Aptos" w:cs="Arial"/>
                <w:b/>
                <w:bCs/>
                <w:sz w:val="20"/>
                <w:szCs w:val="20"/>
                <w:lang w:eastAsia="ja-JP"/>
              </w:rPr>
              <w:t>37</w:t>
            </w:r>
          </w:p>
        </w:tc>
        <w:tc>
          <w:tcPr>
            <w:tcW w:w="438" w:type="pct"/>
            <w:vAlign w:val="center"/>
          </w:tcPr>
          <w:p w14:paraId="073C3873" w14:textId="346F1101" w:rsidR="00051B74" w:rsidRPr="00A839DD" w:rsidRDefault="00A056ED" w:rsidP="00051B74">
            <w:pPr>
              <w:tabs>
                <w:tab w:val="left" w:pos="0"/>
              </w:tabs>
              <w:suppressAutoHyphens w:val="0"/>
              <w:autoSpaceDE/>
              <w:autoSpaceDN/>
              <w:adjustRightInd/>
              <w:ind w:left="24" w:hanging="24"/>
              <w:jc w:val="center"/>
              <w:textAlignment w:val="auto"/>
              <w:rPr>
                <w:rFonts w:ascii="Aptos" w:hAnsi="Aptos" w:cs="Arial"/>
                <w:b/>
                <w:bCs/>
                <w:sz w:val="20"/>
                <w:szCs w:val="20"/>
                <w:lang w:eastAsia="ja-JP"/>
              </w:rPr>
            </w:pPr>
            <w:r w:rsidRPr="00A839DD">
              <w:rPr>
                <w:rFonts w:ascii="Aptos" w:hAnsi="Aptos" w:cs="Arial"/>
                <w:b/>
                <w:bCs/>
                <w:sz w:val="20"/>
                <w:szCs w:val="20"/>
                <w:lang w:eastAsia="ja-JP"/>
              </w:rPr>
              <w:t>100</w:t>
            </w:r>
            <w:r w:rsidR="00D228CF">
              <w:rPr>
                <w:rFonts w:ascii="Aptos" w:hAnsi="Aptos" w:cs="Arial"/>
                <w:b/>
                <w:bCs/>
                <w:sz w:val="20"/>
                <w:szCs w:val="20"/>
                <w:lang w:eastAsia="ja-JP"/>
              </w:rPr>
              <w:t> </w:t>
            </w:r>
            <w:r w:rsidRPr="00A839DD">
              <w:rPr>
                <w:rFonts w:ascii="Aptos" w:hAnsi="Aptos" w:cs="Arial"/>
                <w:b/>
                <w:bCs/>
                <w:sz w:val="20"/>
                <w:szCs w:val="20"/>
                <w:lang w:eastAsia="ja-JP"/>
              </w:rPr>
              <w:t>%</w:t>
            </w:r>
          </w:p>
        </w:tc>
      </w:tr>
    </w:tbl>
    <w:p w14:paraId="4CDBABA2" w14:textId="1C16ED4A" w:rsidR="00835FCE" w:rsidRPr="00A839DD" w:rsidRDefault="00835FCE" w:rsidP="001D3E83">
      <w:pPr>
        <w:pStyle w:val="Titre2"/>
        <w:rPr>
          <w:noProof w:val="0"/>
        </w:rPr>
      </w:pPr>
      <w:bookmarkStart w:id="121" w:name="_Toc229131299"/>
      <w:r w:rsidRPr="00A839DD">
        <w:rPr>
          <w:noProof w:val="0"/>
        </w:rPr>
        <w:t>La modalité de genre des personnes plaignantes</w:t>
      </w:r>
      <w:bookmarkEnd w:id="121"/>
    </w:p>
    <w:p w14:paraId="5618FDA2" w14:textId="3C10818D" w:rsidR="00656BC1" w:rsidRPr="00A839DD" w:rsidRDefault="00656BC1" w:rsidP="0006339A">
      <w:pPr>
        <w:pStyle w:val="Paragraphe"/>
      </w:pPr>
      <w:r w:rsidRPr="00A839DD">
        <w:t>La modalité de genre «</w:t>
      </w:r>
      <w:r w:rsidR="00DE533D" w:rsidRPr="00A839DD">
        <w:rPr>
          <w:rFonts w:ascii="Arial" w:hAnsi="Arial" w:cs="Arial"/>
        </w:rPr>
        <w:t> </w:t>
      </w:r>
      <w:r w:rsidRPr="00A839DD">
        <w:t>réfère à la relation entre le genre d’une personne et celui qui lui a été assigné à la naissance</w:t>
      </w:r>
      <w:r w:rsidRPr="00A839DD">
        <w:rPr>
          <w:rFonts w:ascii="Arial" w:hAnsi="Arial" w:cs="Arial"/>
        </w:rPr>
        <w:t> </w:t>
      </w:r>
      <w:r w:rsidRPr="00A839DD">
        <w:rPr>
          <w:rFonts w:cs="Aptos"/>
        </w:rPr>
        <w:t>»</w:t>
      </w:r>
      <w:r w:rsidRPr="00A839DD">
        <w:rPr>
          <w:rStyle w:val="Appelnotedebasdep"/>
        </w:rPr>
        <w:footnoteReference w:id="231"/>
      </w:r>
      <w:r w:rsidRPr="00A839DD">
        <w:t xml:space="preserve">. Une personne qui s’identifie au sexe qui lui a été assigné à la naissance est dite cisgenre, tandis qu’une personne qui a une identité de genre différente de celle traditionnellement associée au sexe qui lui a été assigné à la naissance est dite transgenre. Une personne qui ne </w:t>
      </w:r>
      <w:r w:rsidRPr="00A839DD">
        <w:lastRenderedPageBreak/>
        <w:t>s’identifie ni au genre masculin ni au genre féminin est quant à elle dite non binaire. D’autres relations entre l’identité de genre d’une personne et le sexe d’une personne peuvent exister.</w:t>
      </w:r>
    </w:p>
    <w:p w14:paraId="4A7DD4F4" w14:textId="6AADB395" w:rsidR="00656BC1" w:rsidRPr="00A839DD" w:rsidRDefault="00656BC1" w:rsidP="0006339A">
      <w:pPr>
        <w:pStyle w:val="Paragraphe"/>
      </w:pPr>
      <w:r w:rsidRPr="00A839DD">
        <w:t>L’analyse qualitative a révélé que la quasi-totalité des personnes ayant porté plainte pour discrimination fondée sur l’orientation sexuelle n’</w:t>
      </w:r>
      <w:r w:rsidR="00291116">
        <w:t>a</w:t>
      </w:r>
      <w:r w:rsidRPr="00A839DD">
        <w:t xml:space="preserve"> pas mentionné leur modalité de genre, probablement parce qu’elles n’estimaient pas cette information pertinente pour le traitement de leur plainte. Comme c’est le cas dans la population générale, la plupart d’entre elles sont vraisemblablement cisgenres. Puisque s’identifier au genre assigné à la naissance est la norme, il est probable que ces personnes n’aient simplement pas envisagé de le mentionner. Sans surprise, la quasi-totalité des plaintes pour discrimination fondée sur l’identité ou l’expression de genre a été formulée par des personnes trans ou non binaires. Une seule personne cisgenre a porté plainte pour ce motif, les allégations visant des commentaires sur son apparence </w:t>
      </w:r>
      <w:r w:rsidR="00F060FA" w:rsidRPr="00A839DD">
        <w:t>qui induisaient</w:t>
      </w:r>
      <w:r w:rsidRPr="00A839DD">
        <w:t xml:space="preserve"> qu’elle serait une personne trans.</w:t>
      </w:r>
    </w:p>
    <w:tbl>
      <w:tblPr>
        <w:tblStyle w:val="Grilledutableau3"/>
        <w:tblW w:w="511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0"/>
        <w:gridCol w:w="1238"/>
        <w:gridCol w:w="1237"/>
        <w:gridCol w:w="1237"/>
        <w:gridCol w:w="1237"/>
        <w:gridCol w:w="1237"/>
        <w:gridCol w:w="1243"/>
      </w:tblGrid>
      <w:tr w:rsidR="00CC7AC0" w:rsidRPr="00A839DD" w14:paraId="2C00DC91" w14:textId="77777777" w:rsidTr="00164333">
        <w:trPr>
          <w:trHeight w:val="822"/>
          <w:jc w:val="center"/>
        </w:trPr>
        <w:tc>
          <w:tcPr>
            <w:tcW w:w="5000" w:type="pct"/>
            <w:gridSpan w:val="7"/>
            <w:shd w:val="clear" w:color="auto" w:fill="953D89"/>
            <w:vAlign w:val="center"/>
          </w:tcPr>
          <w:p w14:paraId="015EC6E4" w14:textId="37EA959F" w:rsidR="00CC7AC0" w:rsidRPr="00A839DD" w:rsidRDefault="00CC7AC0" w:rsidP="00846991">
            <w:pPr>
              <w:tabs>
                <w:tab w:val="left" w:pos="0"/>
              </w:tabs>
              <w:suppressAutoHyphens w:val="0"/>
              <w:autoSpaceDE/>
              <w:autoSpaceDN/>
              <w:adjustRightInd/>
              <w:ind w:left="24" w:hanging="24"/>
              <w:jc w:val="center"/>
              <w:textAlignment w:val="auto"/>
              <w:rPr>
                <w:rFonts w:ascii="Aptos" w:hAnsi="Aptos" w:cs="Arial"/>
                <w:b/>
                <w:bCs/>
                <w:sz w:val="20"/>
                <w:szCs w:val="20"/>
                <w:lang w:eastAsia="ja-JP"/>
              </w:rPr>
            </w:pPr>
            <w:r w:rsidRPr="00A839DD">
              <w:rPr>
                <w:rFonts w:ascii="Aptos" w:hAnsi="Aptos" w:cs="Arial"/>
                <w:b/>
                <w:color w:val="FFFFFF" w:themeColor="background1"/>
                <w:sz w:val="20"/>
                <w:szCs w:val="20"/>
                <w:lang w:eastAsia="ja-JP"/>
              </w:rPr>
              <w:t>Tableau</w:t>
            </w:r>
            <w:r w:rsidR="00291541">
              <w:rPr>
                <w:rFonts w:ascii="Aptos" w:hAnsi="Aptos" w:cs="Arial"/>
                <w:b/>
                <w:color w:val="FFFFFF" w:themeColor="background1"/>
                <w:sz w:val="20"/>
                <w:szCs w:val="20"/>
                <w:lang w:eastAsia="ja-JP"/>
              </w:rPr>
              <w:t> </w:t>
            </w:r>
            <w:r w:rsidRPr="00A839DD">
              <w:rPr>
                <w:rFonts w:ascii="Aptos" w:hAnsi="Aptos" w:cs="Arial"/>
                <w:b/>
                <w:color w:val="FFFFFF" w:themeColor="background1"/>
                <w:sz w:val="20"/>
                <w:szCs w:val="20"/>
                <w:lang w:eastAsia="ja-JP"/>
              </w:rPr>
              <w:t>4</w:t>
            </w:r>
            <w:r w:rsidRPr="00A839DD">
              <w:rPr>
                <w:rFonts w:ascii="Aptos" w:hAnsi="Aptos" w:cs="Arial"/>
                <w:b/>
                <w:color w:val="FFFFFF" w:themeColor="background1"/>
                <w:sz w:val="20"/>
                <w:szCs w:val="20"/>
                <w:lang w:eastAsia="ja-JP"/>
              </w:rPr>
              <w:br/>
            </w:r>
            <w:r w:rsidRPr="00E75A32">
              <w:rPr>
                <w:rFonts w:ascii="Aptos" w:hAnsi="Aptos" w:cs="Arial"/>
                <w:bCs/>
                <w:color w:val="FFFFFF" w:themeColor="background1"/>
                <w:sz w:val="20"/>
                <w:szCs w:val="20"/>
                <w:lang w:eastAsia="ja-JP"/>
              </w:rPr>
              <w:t>La modalité de genre des personnes plaignantes selon le motif dans le corpu</w:t>
            </w:r>
            <w:r w:rsidR="00206AC2" w:rsidRPr="00E75A32">
              <w:rPr>
                <w:rFonts w:ascii="Aptos" w:hAnsi="Aptos" w:cs="Arial"/>
                <w:bCs/>
                <w:color w:val="FFFFFF" w:themeColor="background1"/>
                <w:sz w:val="20"/>
                <w:szCs w:val="20"/>
                <w:lang w:eastAsia="ja-JP"/>
              </w:rPr>
              <w:t>s</w:t>
            </w:r>
            <w:r w:rsidR="00206AC2" w:rsidRPr="00E75A32">
              <w:rPr>
                <w:rFonts w:ascii="Aptos" w:hAnsi="Aptos" w:cs="Arial"/>
                <w:bCs/>
                <w:color w:val="FFFFFF" w:themeColor="background1"/>
                <w:sz w:val="20"/>
                <w:szCs w:val="20"/>
                <w:lang w:eastAsia="ja-JP"/>
              </w:rPr>
              <w:br/>
            </w:r>
            <w:r w:rsidRPr="00E75A32">
              <w:rPr>
                <w:rFonts w:ascii="Aptos" w:hAnsi="Aptos" w:cs="Arial"/>
                <w:bCs/>
                <w:color w:val="FFFFFF" w:themeColor="background1"/>
                <w:sz w:val="20"/>
                <w:szCs w:val="20"/>
                <w:lang w:eastAsia="ja-JP"/>
              </w:rPr>
              <w:t>pour l’analyse qualitative (1994 –</w:t>
            </w:r>
            <w:r w:rsidR="00B30485" w:rsidRPr="00E75A32">
              <w:rPr>
                <w:rFonts w:ascii="Arial" w:hAnsi="Arial" w:cs="Arial"/>
                <w:bCs/>
                <w:color w:val="FFFFFF" w:themeColor="background1"/>
                <w:sz w:val="20"/>
                <w:szCs w:val="20"/>
                <w:lang w:eastAsia="ja-JP"/>
              </w:rPr>
              <w:t> </w:t>
            </w:r>
            <w:r w:rsidRPr="00E75A32">
              <w:rPr>
                <w:rFonts w:ascii="Aptos" w:hAnsi="Aptos" w:cs="Arial"/>
                <w:bCs/>
                <w:color w:val="FFFFFF" w:themeColor="background1"/>
                <w:sz w:val="20"/>
                <w:szCs w:val="20"/>
                <w:lang w:eastAsia="ja-JP"/>
              </w:rPr>
              <w:t>2020</w:t>
            </w:r>
            <w:r w:rsidRPr="00A839DD">
              <w:rPr>
                <w:rFonts w:ascii="Aptos" w:hAnsi="Aptos" w:cs="Arial"/>
                <w:b/>
                <w:color w:val="FFFFFF" w:themeColor="background1"/>
                <w:sz w:val="20"/>
                <w:szCs w:val="20"/>
                <w:lang w:eastAsia="ja-JP"/>
              </w:rPr>
              <w:t>)</w:t>
            </w:r>
          </w:p>
        </w:tc>
      </w:tr>
      <w:tr w:rsidR="002560FF" w:rsidRPr="00A839DD" w14:paraId="44611B12" w14:textId="77777777" w:rsidTr="00164333">
        <w:trPr>
          <w:trHeight w:val="974"/>
          <w:jc w:val="center"/>
        </w:trPr>
        <w:tc>
          <w:tcPr>
            <w:tcW w:w="1247" w:type="pct"/>
            <w:shd w:val="clear" w:color="auto" w:fill="0F243E"/>
            <w:vAlign w:val="center"/>
          </w:tcPr>
          <w:p w14:paraId="50FDAD65" w14:textId="77777777" w:rsidR="002560FF" w:rsidRPr="00E75A32" w:rsidRDefault="002560FF" w:rsidP="00206AC2">
            <w:pPr>
              <w:tabs>
                <w:tab w:val="left" w:pos="0"/>
              </w:tabs>
              <w:suppressAutoHyphens w:val="0"/>
              <w:autoSpaceDE/>
              <w:autoSpaceDN/>
              <w:adjustRightInd/>
              <w:ind w:left="24" w:hanging="24"/>
              <w:jc w:val="center"/>
              <w:textAlignment w:val="auto"/>
              <w:rPr>
                <w:rFonts w:ascii="Aptos" w:hAnsi="Aptos" w:cs="Arial"/>
                <w:b/>
                <w:bCs/>
                <w:color w:val="FFFFFF" w:themeColor="background1"/>
                <w:sz w:val="20"/>
                <w:szCs w:val="20"/>
                <w:lang w:eastAsia="ja-JP"/>
              </w:rPr>
            </w:pPr>
            <w:r w:rsidRPr="00E75A32">
              <w:rPr>
                <w:rFonts w:ascii="Aptos" w:hAnsi="Aptos" w:cs="Arial"/>
                <w:b/>
                <w:bCs/>
                <w:color w:val="FFFFFF" w:themeColor="background1"/>
                <w:sz w:val="20"/>
                <w:szCs w:val="20"/>
                <w:lang w:eastAsia="ja-JP"/>
              </w:rPr>
              <w:t>Modalité de genre des personnes plaignantes</w:t>
            </w:r>
          </w:p>
        </w:tc>
        <w:tc>
          <w:tcPr>
            <w:tcW w:w="1250" w:type="pct"/>
            <w:gridSpan w:val="2"/>
            <w:shd w:val="clear" w:color="auto" w:fill="0F243E"/>
            <w:vAlign w:val="center"/>
          </w:tcPr>
          <w:p w14:paraId="2EF1CB1E" w14:textId="77777777" w:rsidR="002560FF" w:rsidRPr="00E75A32" w:rsidRDefault="002560FF" w:rsidP="00206AC2">
            <w:pPr>
              <w:tabs>
                <w:tab w:val="left" w:pos="0"/>
              </w:tabs>
              <w:suppressAutoHyphens w:val="0"/>
              <w:autoSpaceDE/>
              <w:autoSpaceDN/>
              <w:adjustRightInd/>
              <w:ind w:left="24" w:hanging="24"/>
              <w:jc w:val="center"/>
              <w:textAlignment w:val="auto"/>
              <w:rPr>
                <w:rFonts w:ascii="Aptos" w:hAnsi="Aptos" w:cs="Arial"/>
                <w:b/>
                <w:bCs/>
                <w:color w:val="FFFFFF" w:themeColor="background1"/>
                <w:sz w:val="20"/>
                <w:szCs w:val="20"/>
                <w:lang w:eastAsia="ja-JP"/>
              </w:rPr>
            </w:pPr>
            <w:r w:rsidRPr="00E75A32">
              <w:rPr>
                <w:rFonts w:ascii="Aptos" w:hAnsi="Aptos" w:cs="Arial"/>
                <w:b/>
                <w:bCs/>
                <w:color w:val="FFFFFF" w:themeColor="background1"/>
                <w:sz w:val="20"/>
                <w:szCs w:val="20"/>
                <w:lang w:eastAsia="ja-JP"/>
              </w:rPr>
              <w:t>Deux motifs combinés</w:t>
            </w:r>
          </w:p>
        </w:tc>
        <w:tc>
          <w:tcPr>
            <w:tcW w:w="1250" w:type="pct"/>
            <w:gridSpan w:val="2"/>
            <w:shd w:val="clear" w:color="auto" w:fill="0F243E"/>
            <w:vAlign w:val="center"/>
          </w:tcPr>
          <w:p w14:paraId="0D0A060F" w14:textId="205EF373" w:rsidR="002560FF" w:rsidRPr="00E75A32" w:rsidRDefault="002560FF" w:rsidP="00206AC2">
            <w:pPr>
              <w:tabs>
                <w:tab w:val="left" w:pos="0"/>
              </w:tabs>
              <w:suppressAutoHyphens w:val="0"/>
              <w:autoSpaceDE/>
              <w:autoSpaceDN/>
              <w:adjustRightInd/>
              <w:ind w:left="24" w:hanging="24"/>
              <w:jc w:val="center"/>
              <w:textAlignment w:val="auto"/>
              <w:rPr>
                <w:rFonts w:ascii="Aptos" w:hAnsi="Aptos" w:cs="Arial"/>
                <w:b/>
                <w:bCs/>
                <w:color w:val="FFFFFF" w:themeColor="background1"/>
                <w:sz w:val="20"/>
                <w:szCs w:val="20"/>
                <w:lang w:eastAsia="ja-JP"/>
              </w:rPr>
            </w:pPr>
            <w:r w:rsidRPr="00E75A32">
              <w:rPr>
                <w:rFonts w:ascii="Aptos" w:hAnsi="Aptos" w:cs="Arial"/>
                <w:b/>
                <w:bCs/>
                <w:color w:val="FFFFFF" w:themeColor="background1"/>
                <w:sz w:val="20"/>
                <w:szCs w:val="20"/>
                <w:lang w:eastAsia="ja-JP"/>
              </w:rPr>
              <w:t>Motif «</w:t>
            </w:r>
            <w:r w:rsidR="00DE533D" w:rsidRPr="00E75A32">
              <w:rPr>
                <w:rFonts w:ascii="Arial" w:hAnsi="Arial" w:cs="Arial"/>
                <w:b/>
                <w:bCs/>
                <w:color w:val="FFFFFF" w:themeColor="background1"/>
                <w:sz w:val="20"/>
                <w:szCs w:val="20"/>
                <w:lang w:eastAsia="ja-JP"/>
              </w:rPr>
              <w:t> </w:t>
            </w:r>
            <w:r w:rsidRPr="00E75A32">
              <w:rPr>
                <w:rFonts w:ascii="Aptos" w:hAnsi="Aptos" w:cs="Arial"/>
                <w:b/>
                <w:bCs/>
                <w:color w:val="FFFFFF" w:themeColor="background1"/>
                <w:sz w:val="20"/>
                <w:szCs w:val="20"/>
                <w:lang w:eastAsia="ja-JP"/>
              </w:rPr>
              <w:t>orientation sexuelle</w:t>
            </w:r>
            <w:r w:rsidR="00DE533D" w:rsidRPr="00E75A32">
              <w:rPr>
                <w:rFonts w:ascii="Arial" w:hAnsi="Arial" w:cs="Arial"/>
                <w:b/>
                <w:bCs/>
                <w:color w:val="FFFFFF" w:themeColor="background1"/>
                <w:sz w:val="20"/>
                <w:szCs w:val="20"/>
                <w:lang w:eastAsia="ja-JP"/>
              </w:rPr>
              <w:t> </w:t>
            </w:r>
            <w:r w:rsidRPr="00E75A32">
              <w:rPr>
                <w:rFonts w:ascii="Aptos" w:hAnsi="Aptos" w:cs="Arial"/>
                <w:b/>
                <w:bCs/>
                <w:color w:val="FFFFFF" w:themeColor="background1"/>
                <w:sz w:val="20"/>
                <w:szCs w:val="20"/>
                <w:lang w:eastAsia="ja-JP"/>
              </w:rPr>
              <w:t>»</w:t>
            </w:r>
          </w:p>
        </w:tc>
        <w:tc>
          <w:tcPr>
            <w:tcW w:w="1252" w:type="pct"/>
            <w:gridSpan w:val="2"/>
            <w:shd w:val="clear" w:color="auto" w:fill="0F243E"/>
            <w:vAlign w:val="center"/>
          </w:tcPr>
          <w:p w14:paraId="54971DDA" w14:textId="49BC0F1C" w:rsidR="002560FF" w:rsidRPr="00E75A32" w:rsidRDefault="002560FF" w:rsidP="00206AC2">
            <w:pPr>
              <w:tabs>
                <w:tab w:val="left" w:pos="0"/>
              </w:tabs>
              <w:suppressAutoHyphens w:val="0"/>
              <w:autoSpaceDE/>
              <w:autoSpaceDN/>
              <w:adjustRightInd/>
              <w:ind w:left="24" w:hanging="24"/>
              <w:jc w:val="center"/>
              <w:textAlignment w:val="auto"/>
              <w:rPr>
                <w:rFonts w:ascii="Aptos" w:hAnsi="Aptos" w:cs="Arial"/>
                <w:b/>
                <w:bCs/>
                <w:color w:val="FFFFFF" w:themeColor="background1"/>
                <w:sz w:val="20"/>
                <w:szCs w:val="20"/>
                <w:lang w:eastAsia="ja-JP"/>
              </w:rPr>
            </w:pPr>
            <w:r w:rsidRPr="00E75A32">
              <w:rPr>
                <w:rFonts w:ascii="Aptos" w:hAnsi="Aptos" w:cs="Arial"/>
                <w:b/>
                <w:bCs/>
                <w:color w:val="FFFFFF" w:themeColor="background1"/>
                <w:sz w:val="20"/>
                <w:szCs w:val="20"/>
                <w:lang w:eastAsia="ja-JP"/>
              </w:rPr>
              <w:t>Motif «</w:t>
            </w:r>
            <w:r w:rsidR="00DE533D" w:rsidRPr="00E75A32">
              <w:rPr>
                <w:rFonts w:ascii="Arial" w:hAnsi="Arial" w:cs="Arial"/>
                <w:b/>
                <w:bCs/>
                <w:color w:val="FFFFFF" w:themeColor="background1"/>
                <w:sz w:val="20"/>
                <w:szCs w:val="20"/>
                <w:lang w:eastAsia="ja-JP"/>
              </w:rPr>
              <w:t> </w:t>
            </w:r>
            <w:r w:rsidRPr="00E75A32">
              <w:rPr>
                <w:rFonts w:ascii="Aptos" w:hAnsi="Aptos" w:cs="Arial"/>
                <w:b/>
                <w:bCs/>
                <w:color w:val="FFFFFF" w:themeColor="background1"/>
                <w:sz w:val="20"/>
                <w:szCs w:val="20"/>
                <w:lang w:eastAsia="ja-JP"/>
              </w:rPr>
              <w:t>identité ou expression de genre</w:t>
            </w:r>
            <w:r w:rsidR="00DE533D" w:rsidRPr="00E75A32">
              <w:rPr>
                <w:rFonts w:ascii="Arial" w:hAnsi="Arial" w:cs="Arial"/>
                <w:b/>
                <w:bCs/>
                <w:color w:val="FFFFFF" w:themeColor="background1"/>
                <w:sz w:val="20"/>
                <w:szCs w:val="20"/>
                <w:lang w:eastAsia="ja-JP"/>
              </w:rPr>
              <w:t> </w:t>
            </w:r>
            <w:r w:rsidRPr="00E75A32">
              <w:rPr>
                <w:rFonts w:ascii="Aptos" w:hAnsi="Aptos" w:cs="Arial"/>
                <w:b/>
                <w:bCs/>
                <w:color w:val="FFFFFF" w:themeColor="background1"/>
                <w:sz w:val="20"/>
                <w:szCs w:val="20"/>
                <w:lang w:eastAsia="ja-JP"/>
              </w:rPr>
              <w:t>»</w:t>
            </w:r>
          </w:p>
        </w:tc>
      </w:tr>
      <w:tr w:rsidR="00747234" w:rsidRPr="00A839DD" w14:paraId="7A24090E" w14:textId="77777777" w:rsidTr="00164333">
        <w:trPr>
          <w:trHeight w:val="323"/>
          <w:jc w:val="center"/>
        </w:trPr>
        <w:tc>
          <w:tcPr>
            <w:tcW w:w="1247" w:type="pct"/>
            <w:vAlign w:val="center"/>
          </w:tcPr>
          <w:p w14:paraId="5C586A70" w14:textId="77777777" w:rsidR="00747234" w:rsidRPr="00A839DD" w:rsidRDefault="00747234" w:rsidP="00E75A32">
            <w:pPr>
              <w:tabs>
                <w:tab w:val="left" w:pos="0"/>
              </w:tabs>
              <w:suppressAutoHyphens w:val="0"/>
              <w:autoSpaceDE/>
              <w:autoSpaceDN/>
              <w:adjustRightInd/>
              <w:ind w:left="24" w:hanging="24"/>
              <w:textAlignment w:val="auto"/>
              <w:rPr>
                <w:rFonts w:ascii="Aptos" w:hAnsi="Aptos" w:cs="Arial"/>
                <w:sz w:val="20"/>
                <w:szCs w:val="20"/>
                <w:lang w:eastAsia="ja-JP"/>
              </w:rPr>
            </w:pPr>
            <w:r w:rsidRPr="00A839DD">
              <w:rPr>
                <w:rFonts w:ascii="Aptos" w:hAnsi="Aptos" w:cs="Arial"/>
                <w:sz w:val="20"/>
                <w:szCs w:val="20"/>
                <w:lang w:eastAsia="ja-JP"/>
              </w:rPr>
              <w:t>Cisgenre</w:t>
            </w:r>
          </w:p>
        </w:tc>
        <w:tc>
          <w:tcPr>
            <w:tcW w:w="625" w:type="pct"/>
            <w:vAlign w:val="center"/>
          </w:tcPr>
          <w:p w14:paraId="61C8573D"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 xml:space="preserve">1 </w:t>
            </w:r>
          </w:p>
        </w:tc>
        <w:tc>
          <w:tcPr>
            <w:tcW w:w="625" w:type="pct"/>
            <w:vAlign w:val="center"/>
          </w:tcPr>
          <w:p w14:paraId="46F82FEA" w14:textId="3774EB38" w:rsidR="00747234" w:rsidRPr="00A839DD" w:rsidRDefault="00744386"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0,5</w:t>
            </w:r>
            <w:r w:rsidR="00D228CF">
              <w:rPr>
                <w:rFonts w:ascii="Aptos" w:hAnsi="Aptos" w:cs="Arial"/>
                <w:sz w:val="20"/>
                <w:szCs w:val="20"/>
                <w:lang w:eastAsia="ja-JP"/>
              </w:rPr>
              <w:t> </w:t>
            </w:r>
            <w:r w:rsidRPr="00A839DD">
              <w:rPr>
                <w:rFonts w:ascii="Aptos" w:hAnsi="Aptos" w:cs="Arial"/>
                <w:sz w:val="20"/>
                <w:szCs w:val="20"/>
                <w:lang w:eastAsia="ja-JP"/>
              </w:rPr>
              <w:t>%</w:t>
            </w:r>
          </w:p>
        </w:tc>
        <w:tc>
          <w:tcPr>
            <w:tcW w:w="625" w:type="pct"/>
            <w:vAlign w:val="center"/>
          </w:tcPr>
          <w:p w14:paraId="21B971D8"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 xml:space="preserve"> 0</w:t>
            </w:r>
          </w:p>
        </w:tc>
        <w:tc>
          <w:tcPr>
            <w:tcW w:w="625" w:type="pct"/>
            <w:vAlign w:val="center"/>
          </w:tcPr>
          <w:p w14:paraId="3A530D0F" w14:textId="46CFCDD6" w:rsidR="00747234" w:rsidRPr="00A839DD" w:rsidRDefault="00BC1E6F"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w:t>
            </w:r>
            <w:r w:rsidR="00D228CF">
              <w:rPr>
                <w:rFonts w:ascii="Aptos" w:hAnsi="Aptos" w:cs="Arial"/>
                <w:sz w:val="20"/>
                <w:szCs w:val="20"/>
                <w:lang w:eastAsia="ja-JP"/>
              </w:rPr>
              <w:t> </w:t>
            </w:r>
            <w:r w:rsidRPr="00A839DD">
              <w:rPr>
                <w:rFonts w:ascii="Aptos" w:hAnsi="Aptos" w:cs="Arial"/>
                <w:sz w:val="20"/>
                <w:szCs w:val="20"/>
                <w:lang w:eastAsia="ja-JP"/>
              </w:rPr>
              <w:t>%</w:t>
            </w:r>
          </w:p>
        </w:tc>
        <w:tc>
          <w:tcPr>
            <w:tcW w:w="625" w:type="pct"/>
            <w:vAlign w:val="center"/>
          </w:tcPr>
          <w:p w14:paraId="0F422579"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627" w:type="pct"/>
            <w:vAlign w:val="center"/>
          </w:tcPr>
          <w:p w14:paraId="1F28C541" w14:textId="1D80E6AA" w:rsidR="00747234" w:rsidRPr="00A839DD" w:rsidRDefault="00F13797"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2,7</w:t>
            </w:r>
            <w:r w:rsidR="00D228CF">
              <w:rPr>
                <w:rFonts w:ascii="Aptos" w:hAnsi="Aptos" w:cs="Arial"/>
                <w:sz w:val="20"/>
                <w:szCs w:val="20"/>
                <w:lang w:eastAsia="ja-JP"/>
              </w:rPr>
              <w:t> </w:t>
            </w:r>
            <w:r w:rsidRPr="00A839DD">
              <w:rPr>
                <w:rFonts w:ascii="Aptos" w:hAnsi="Aptos" w:cs="Arial"/>
                <w:sz w:val="20"/>
                <w:szCs w:val="20"/>
                <w:lang w:eastAsia="ja-JP"/>
              </w:rPr>
              <w:t>%</w:t>
            </w:r>
          </w:p>
        </w:tc>
      </w:tr>
      <w:tr w:rsidR="00747234" w:rsidRPr="00A839DD" w14:paraId="754F66CC" w14:textId="77777777" w:rsidTr="00164333">
        <w:trPr>
          <w:trHeight w:val="323"/>
          <w:jc w:val="center"/>
        </w:trPr>
        <w:tc>
          <w:tcPr>
            <w:tcW w:w="1247" w:type="pct"/>
            <w:shd w:val="clear" w:color="auto" w:fill="E3ECF9"/>
            <w:vAlign w:val="center"/>
          </w:tcPr>
          <w:p w14:paraId="537C5200" w14:textId="77777777" w:rsidR="00747234" w:rsidRPr="00A839DD" w:rsidRDefault="00747234" w:rsidP="00E75A32">
            <w:pPr>
              <w:tabs>
                <w:tab w:val="left" w:pos="0"/>
              </w:tabs>
              <w:suppressAutoHyphens w:val="0"/>
              <w:autoSpaceDE/>
              <w:autoSpaceDN/>
              <w:adjustRightInd/>
              <w:ind w:left="24" w:hanging="24"/>
              <w:textAlignment w:val="auto"/>
              <w:rPr>
                <w:rFonts w:ascii="Aptos" w:hAnsi="Aptos" w:cs="Arial"/>
                <w:sz w:val="20"/>
                <w:szCs w:val="20"/>
                <w:lang w:eastAsia="ja-JP"/>
              </w:rPr>
            </w:pPr>
            <w:r w:rsidRPr="00A839DD">
              <w:rPr>
                <w:rFonts w:ascii="Aptos" w:hAnsi="Aptos" w:cs="Arial"/>
                <w:sz w:val="20"/>
                <w:szCs w:val="20"/>
                <w:lang w:eastAsia="ja-JP"/>
              </w:rPr>
              <w:t>Transgenre</w:t>
            </w:r>
          </w:p>
        </w:tc>
        <w:tc>
          <w:tcPr>
            <w:tcW w:w="625" w:type="pct"/>
            <w:shd w:val="clear" w:color="auto" w:fill="E3ECF9"/>
            <w:vAlign w:val="center"/>
          </w:tcPr>
          <w:p w14:paraId="7CB6882C"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36</w:t>
            </w:r>
          </w:p>
        </w:tc>
        <w:tc>
          <w:tcPr>
            <w:tcW w:w="625" w:type="pct"/>
            <w:shd w:val="clear" w:color="auto" w:fill="E3ECF9"/>
            <w:vAlign w:val="center"/>
          </w:tcPr>
          <w:p w14:paraId="6362A3D6" w14:textId="1128F886" w:rsidR="00747234" w:rsidRPr="00A839DD" w:rsidRDefault="00744386"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17,9</w:t>
            </w:r>
            <w:r w:rsidR="00D228CF">
              <w:rPr>
                <w:rFonts w:ascii="Aptos" w:hAnsi="Aptos" w:cs="Arial"/>
                <w:sz w:val="20"/>
                <w:szCs w:val="20"/>
                <w:lang w:eastAsia="ja-JP"/>
              </w:rPr>
              <w:t> </w:t>
            </w:r>
            <w:r w:rsidRPr="00A839DD">
              <w:rPr>
                <w:rFonts w:ascii="Aptos" w:hAnsi="Aptos" w:cs="Arial"/>
                <w:sz w:val="20"/>
                <w:szCs w:val="20"/>
                <w:lang w:eastAsia="ja-JP"/>
              </w:rPr>
              <w:t>%</w:t>
            </w:r>
          </w:p>
        </w:tc>
        <w:tc>
          <w:tcPr>
            <w:tcW w:w="625" w:type="pct"/>
            <w:shd w:val="clear" w:color="auto" w:fill="E3ECF9"/>
            <w:vAlign w:val="center"/>
          </w:tcPr>
          <w:p w14:paraId="300EE9D1"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625" w:type="pct"/>
            <w:shd w:val="clear" w:color="auto" w:fill="E3ECF9"/>
            <w:vAlign w:val="center"/>
          </w:tcPr>
          <w:p w14:paraId="5A3440C7" w14:textId="14332D1A" w:rsidR="00747234" w:rsidRPr="00A839DD" w:rsidRDefault="00BC1E6F"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0,6</w:t>
            </w:r>
            <w:r w:rsidR="00D228CF">
              <w:rPr>
                <w:rFonts w:ascii="Aptos" w:hAnsi="Aptos" w:cs="Arial"/>
                <w:sz w:val="20"/>
                <w:szCs w:val="20"/>
                <w:lang w:eastAsia="ja-JP"/>
              </w:rPr>
              <w:t> </w:t>
            </w:r>
            <w:r w:rsidRPr="00A839DD">
              <w:rPr>
                <w:rFonts w:ascii="Aptos" w:hAnsi="Aptos" w:cs="Arial"/>
                <w:sz w:val="20"/>
                <w:szCs w:val="20"/>
                <w:lang w:eastAsia="ja-JP"/>
              </w:rPr>
              <w:t>%</w:t>
            </w:r>
          </w:p>
        </w:tc>
        <w:tc>
          <w:tcPr>
            <w:tcW w:w="625" w:type="pct"/>
            <w:shd w:val="clear" w:color="auto" w:fill="E3ECF9"/>
            <w:vAlign w:val="center"/>
          </w:tcPr>
          <w:p w14:paraId="71A0CA54"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35</w:t>
            </w:r>
          </w:p>
        </w:tc>
        <w:tc>
          <w:tcPr>
            <w:tcW w:w="627" w:type="pct"/>
            <w:shd w:val="clear" w:color="auto" w:fill="E3ECF9"/>
            <w:vAlign w:val="center"/>
          </w:tcPr>
          <w:p w14:paraId="21A5EBAF" w14:textId="209020FE" w:rsidR="00747234" w:rsidRPr="00A839DD" w:rsidRDefault="00F13797"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94,6</w:t>
            </w:r>
            <w:r w:rsidR="00D228CF">
              <w:rPr>
                <w:rFonts w:ascii="Aptos" w:hAnsi="Aptos" w:cs="Arial"/>
                <w:sz w:val="20"/>
                <w:szCs w:val="20"/>
                <w:lang w:eastAsia="ja-JP"/>
              </w:rPr>
              <w:t> </w:t>
            </w:r>
            <w:r w:rsidRPr="00A839DD">
              <w:rPr>
                <w:rFonts w:ascii="Aptos" w:hAnsi="Aptos" w:cs="Arial"/>
                <w:sz w:val="20"/>
                <w:szCs w:val="20"/>
                <w:lang w:eastAsia="ja-JP"/>
              </w:rPr>
              <w:t>%</w:t>
            </w:r>
          </w:p>
        </w:tc>
      </w:tr>
      <w:tr w:rsidR="00747234" w:rsidRPr="00A839DD" w14:paraId="2ECEFF24" w14:textId="77777777" w:rsidTr="00164333">
        <w:trPr>
          <w:trHeight w:val="323"/>
          <w:jc w:val="center"/>
        </w:trPr>
        <w:tc>
          <w:tcPr>
            <w:tcW w:w="1247" w:type="pct"/>
            <w:vAlign w:val="center"/>
          </w:tcPr>
          <w:p w14:paraId="0227923B" w14:textId="77777777" w:rsidR="00747234" w:rsidRPr="00A839DD" w:rsidRDefault="00747234" w:rsidP="00E75A32">
            <w:pPr>
              <w:tabs>
                <w:tab w:val="left" w:pos="0"/>
              </w:tabs>
              <w:suppressAutoHyphens w:val="0"/>
              <w:autoSpaceDE/>
              <w:autoSpaceDN/>
              <w:adjustRightInd/>
              <w:ind w:left="24" w:hanging="24"/>
              <w:textAlignment w:val="auto"/>
              <w:rPr>
                <w:rFonts w:ascii="Aptos" w:hAnsi="Aptos" w:cs="Arial"/>
                <w:sz w:val="20"/>
                <w:szCs w:val="20"/>
                <w:lang w:eastAsia="ja-JP"/>
              </w:rPr>
            </w:pPr>
            <w:r w:rsidRPr="00A839DD">
              <w:rPr>
                <w:rFonts w:ascii="Aptos" w:hAnsi="Aptos" w:cs="Arial"/>
                <w:sz w:val="20"/>
                <w:szCs w:val="20"/>
                <w:lang w:eastAsia="ja-JP"/>
              </w:rPr>
              <w:t>Non binaire</w:t>
            </w:r>
          </w:p>
        </w:tc>
        <w:tc>
          <w:tcPr>
            <w:tcW w:w="625" w:type="pct"/>
            <w:vAlign w:val="center"/>
          </w:tcPr>
          <w:p w14:paraId="6AD4F6A6"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625" w:type="pct"/>
            <w:vAlign w:val="center"/>
          </w:tcPr>
          <w:p w14:paraId="4321871F" w14:textId="5F91C032" w:rsidR="00747234" w:rsidRPr="00A839DD" w:rsidRDefault="00744386"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0,5</w:t>
            </w:r>
            <w:r w:rsidR="00D228CF">
              <w:rPr>
                <w:rFonts w:ascii="Aptos" w:hAnsi="Aptos" w:cs="Arial"/>
                <w:sz w:val="20"/>
                <w:szCs w:val="20"/>
                <w:lang w:eastAsia="ja-JP"/>
              </w:rPr>
              <w:t> </w:t>
            </w:r>
            <w:r w:rsidRPr="00A839DD">
              <w:rPr>
                <w:rFonts w:ascii="Aptos" w:hAnsi="Aptos" w:cs="Arial"/>
                <w:sz w:val="20"/>
                <w:szCs w:val="20"/>
                <w:lang w:eastAsia="ja-JP"/>
              </w:rPr>
              <w:t>%</w:t>
            </w:r>
          </w:p>
        </w:tc>
        <w:tc>
          <w:tcPr>
            <w:tcW w:w="625" w:type="pct"/>
            <w:vAlign w:val="center"/>
          </w:tcPr>
          <w:p w14:paraId="34302BB9"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0</w:t>
            </w:r>
          </w:p>
        </w:tc>
        <w:tc>
          <w:tcPr>
            <w:tcW w:w="625" w:type="pct"/>
            <w:vAlign w:val="center"/>
          </w:tcPr>
          <w:p w14:paraId="7849981D" w14:textId="5BADA4A7" w:rsidR="00747234" w:rsidRPr="00A839DD" w:rsidRDefault="00BC1E6F"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w:t>
            </w:r>
            <w:r w:rsidR="00D228CF">
              <w:rPr>
                <w:rFonts w:ascii="Aptos" w:hAnsi="Aptos" w:cs="Arial"/>
                <w:sz w:val="20"/>
                <w:szCs w:val="20"/>
                <w:lang w:eastAsia="ja-JP"/>
              </w:rPr>
              <w:t> </w:t>
            </w:r>
            <w:r w:rsidRPr="00A839DD">
              <w:rPr>
                <w:rFonts w:ascii="Aptos" w:hAnsi="Aptos" w:cs="Arial"/>
                <w:sz w:val="20"/>
                <w:szCs w:val="20"/>
                <w:lang w:eastAsia="ja-JP"/>
              </w:rPr>
              <w:t>%</w:t>
            </w:r>
          </w:p>
        </w:tc>
        <w:tc>
          <w:tcPr>
            <w:tcW w:w="625" w:type="pct"/>
            <w:vAlign w:val="center"/>
          </w:tcPr>
          <w:p w14:paraId="205F47B9"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w:t>
            </w:r>
          </w:p>
        </w:tc>
        <w:tc>
          <w:tcPr>
            <w:tcW w:w="627" w:type="pct"/>
            <w:vAlign w:val="center"/>
          </w:tcPr>
          <w:p w14:paraId="3A5D77F0" w14:textId="23A5CD35" w:rsidR="00747234" w:rsidRPr="00A839DD" w:rsidRDefault="00F13797"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2,7</w:t>
            </w:r>
            <w:r w:rsidR="00D228CF">
              <w:rPr>
                <w:rFonts w:ascii="Aptos" w:hAnsi="Aptos" w:cs="Arial"/>
                <w:sz w:val="20"/>
                <w:szCs w:val="20"/>
                <w:lang w:eastAsia="ja-JP"/>
              </w:rPr>
              <w:t> </w:t>
            </w:r>
            <w:r w:rsidRPr="00A839DD">
              <w:rPr>
                <w:rFonts w:ascii="Aptos" w:hAnsi="Aptos" w:cs="Arial"/>
                <w:sz w:val="20"/>
                <w:szCs w:val="20"/>
                <w:lang w:eastAsia="ja-JP"/>
              </w:rPr>
              <w:t>%</w:t>
            </w:r>
          </w:p>
        </w:tc>
      </w:tr>
      <w:tr w:rsidR="00747234" w:rsidRPr="00A839DD" w14:paraId="0EEC4795" w14:textId="77777777" w:rsidTr="00164333">
        <w:trPr>
          <w:trHeight w:val="323"/>
          <w:jc w:val="center"/>
        </w:trPr>
        <w:tc>
          <w:tcPr>
            <w:tcW w:w="1247" w:type="pct"/>
            <w:shd w:val="clear" w:color="auto" w:fill="E3ECF9"/>
            <w:vAlign w:val="center"/>
          </w:tcPr>
          <w:p w14:paraId="561ED075" w14:textId="77777777" w:rsidR="00747234" w:rsidRPr="00A839DD" w:rsidRDefault="00747234" w:rsidP="00E75A32">
            <w:pPr>
              <w:tabs>
                <w:tab w:val="left" w:pos="0"/>
              </w:tabs>
              <w:suppressAutoHyphens w:val="0"/>
              <w:autoSpaceDE/>
              <w:autoSpaceDN/>
              <w:adjustRightInd/>
              <w:ind w:left="24" w:hanging="24"/>
              <w:textAlignment w:val="auto"/>
              <w:rPr>
                <w:rFonts w:ascii="Aptos" w:hAnsi="Aptos" w:cs="Arial"/>
                <w:sz w:val="20"/>
                <w:szCs w:val="20"/>
                <w:lang w:eastAsia="ja-JP"/>
              </w:rPr>
            </w:pPr>
            <w:r w:rsidRPr="00A839DD">
              <w:rPr>
                <w:rFonts w:ascii="Aptos" w:hAnsi="Aptos" w:cs="Arial"/>
                <w:sz w:val="20"/>
                <w:szCs w:val="20"/>
                <w:lang w:eastAsia="ja-JP"/>
              </w:rPr>
              <w:t>Non mentionnée</w:t>
            </w:r>
          </w:p>
        </w:tc>
        <w:tc>
          <w:tcPr>
            <w:tcW w:w="625" w:type="pct"/>
            <w:shd w:val="clear" w:color="auto" w:fill="E3ECF9"/>
            <w:vAlign w:val="center"/>
          </w:tcPr>
          <w:p w14:paraId="078E8361"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163</w:t>
            </w:r>
          </w:p>
        </w:tc>
        <w:tc>
          <w:tcPr>
            <w:tcW w:w="625" w:type="pct"/>
            <w:shd w:val="clear" w:color="auto" w:fill="E3ECF9"/>
            <w:vAlign w:val="center"/>
          </w:tcPr>
          <w:p w14:paraId="7730042C" w14:textId="5C7B8A1A" w:rsidR="00747234" w:rsidRPr="00A839DD" w:rsidRDefault="00E32E02"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81,1</w:t>
            </w:r>
            <w:r w:rsidR="00D228CF">
              <w:rPr>
                <w:rFonts w:ascii="Aptos" w:hAnsi="Aptos" w:cs="Arial"/>
                <w:sz w:val="20"/>
                <w:szCs w:val="20"/>
                <w:lang w:eastAsia="ja-JP"/>
              </w:rPr>
              <w:t> </w:t>
            </w:r>
            <w:r w:rsidRPr="00A839DD">
              <w:rPr>
                <w:rFonts w:ascii="Aptos" w:hAnsi="Aptos" w:cs="Arial"/>
                <w:sz w:val="20"/>
                <w:szCs w:val="20"/>
                <w:lang w:eastAsia="ja-JP"/>
              </w:rPr>
              <w:t>%</w:t>
            </w:r>
          </w:p>
        </w:tc>
        <w:tc>
          <w:tcPr>
            <w:tcW w:w="625" w:type="pct"/>
            <w:shd w:val="clear" w:color="auto" w:fill="E3ECF9"/>
            <w:vAlign w:val="center"/>
          </w:tcPr>
          <w:p w14:paraId="0078B440"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163</w:t>
            </w:r>
          </w:p>
        </w:tc>
        <w:tc>
          <w:tcPr>
            <w:tcW w:w="625" w:type="pct"/>
            <w:shd w:val="clear" w:color="auto" w:fill="E3ECF9"/>
            <w:vAlign w:val="center"/>
          </w:tcPr>
          <w:p w14:paraId="081D0CDD" w14:textId="361D6B89" w:rsidR="00747234" w:rsidRPr="00A839DD" w:rsidRDefault="00FB52ED"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99,4</w:t>
            </w:r>
            <w:r w:rsidR="00D228CF">
              <w:rPr>
                <w:rFonts w:ascii="Aptos" w:hAnsi="Aptos" w:cs="Arial"/>
                <w:sz w:val="20"/>
                <w:szCs w:val="20"/>
                <w:lang w:eastAsia="ja-JP"/>
              </w:rPr>
              <w:t> </w:t>
            </w:r>
            <w:r w:rsidRPr="00A839DD">
              <w:rPr>
                <w:rFonts w:ascii="Aptos" w:hAnsi="Aptos" w:cs="Arial"/>
                <w:sz w:val="20"/>
                <w:szCs w:val="20"/>
                <w:lang w:eastAsia="ja-JP"/>
              </w:rPr>
              <w:t>%</w:t>
            </w:r>
          </w:p>
        </w:tc>
        <w:tc>
          <w:tcPr>
            <w:tcW w:w="625" w:type="pct"/>
            <w:shd w:val="clear" w:color="auto" w:fill="E3ECF9"/>
            <w:vAlign w:val="center"/>
          </w:tcPr>
          <w:p w14:paraId="59521A2D"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sz w:val="20"/>
                <w:szCs w:val="20"/>
                <w:lang w:eastAsia="ja-JP"/>
              </w:rPr>
            </w:pPr>
            <w:r w:rsidRPr="00A839DD">
              <w:rPr>
                <w:rFonts w:ascii="Aptos" w:hAnsi="Aptos" w:cs="Arial"/>
                <w:sz w:val="20"/>
                <w:szCs w:val="20"/>
                <w:lang w:eastAsia="ja-JP"/>
              </w:rPr>
              <w:t>0</w:t>
            </w:r>
          </w:p>
        </w:tc>
        <w:tc>
          <w:tcPr>
            <w:tcW w:w="627" w:type="pct"/>
            <w:shd w:val="clear" w:color="auto" w:fill="E3ECF9"/>
            <w:vAlign w:val="center"/>
          </w:tcPr>
          <w:p w14:paraId="5D833DF2" w14:textId="72CE48D8" w:rsidR="00747234" w:rsidRPr="00A839DD" w:rsidRDefault="00F13797" w:rsidP="002560FF">
            <w:pPr>
              <w:tabs>
                <w:tab w:val="left" w:pos="0"/>
              </w:tabs>
              <w:suppressAutoHyphens w:val="0"/>
              <w:autoSpaceDE/>
              <w:autoSpaceDN/>
              <w:adjustRightInd/>
              <w:ind w:left="24" w:hanging="24"/>
              <w:jc w:val="center"/>
              <w:textAlignment w:val="auto"/>
              <w:rPr>
                <w:rFonts w:ascii="Aptos" w:hAnsi="Aptos" w:cs="Arial"/>
                <w:sz w:val="20"/>
                <w:szCs w:val="20"/>
                <w:lang w:eastAsia="ja-JP"/>
              </w:rPr>
            </w:pPr>
            <w:r w:rsidRPr="00A839DD">
              <w:rPr>
                <w:rFonts w:ascii="Aptos" w:hAnsi="Aptos" w:cs="Arial"/>
                <w:sz w:val="20"/>
                <w:szCs w:val="20"/>
                <w:lang w:eastAsia="ja-JP"/>
              </w:rPr>
              <w:t>0</w:t>
            </w:r>
            <w:r w:rsidR="00D228CF">
              <w:rPr>
                <w:rFonts w:ascii="Aptos" w:hAnsi="Aptos" w:cs="Arial"/>
                <w:sz w:val="20"/>
                <w:szCs w:val="20"/>
                <w:lang w:eastAsia="ja-JP"/>
              </w:rPr>
              <w:t> </w:t>
            </w:r>
            <w:r w:rsidRPr="00A839DD">
              <w:rPr>
                <w:rFonts w:ascii="Aptos" w:hAnsi="Aptos" w:cs="Arial"/>
                <w:sz w:val="20"/>
                <w:szCs w:val="20"/>
                <w:lang w:eastAsia="ja-JP"/>
              </w:rPr>
              <w:t>%</w:t>
            </w:r>
          </w:p>
        </w:tc>
      </w:tr>
      <w:tr w:rsidR="00747234" w:rsidRPr="00A839DD" w14:paraId="66A211A6" w14:textId="77777777" w:rsidTr="00164333">
        <w:trPr>
          <w:trHeight w:val="323"/>
          <w:jc w:val="center"/>
        </w:trPr>
        <w:tc>
          <w:tcPr>
            <w:tcW w:w="1247" w:type="pct"/>
            <w:vAlign w:val="center"/>
          </w:tcPr>
          <w:p w14:paraId="1982CA5D" w14:textId="77777777" w:rsidR="00747234" w:rsidRPr="00A839DD" w:rsidRDefault="00747234" w:rsidP="00E75A32">
            <w:pPr>
              <w:tabs>
                <w:tab w:val="left" w:pos="0"/>
              </w:tabs>
              <w:suppressAutoHyphens w:val="0"/>
              <w:autoSpaceDE/>
              <w:autoSpaceDN/>
              <w:adjustRightInd/>
              <w:ind w:left="24" w:hanging="24"/>
              <w:textAlignment w:val="auto"/>
              <w:rPr>
                <w:rFonts w:ascii="Aptos" w:hAnsi="Aptos" w:cs="Arial"/>
                <w:b/>
                <w:bCs/>
                <w:sz w:val="20"/>
                <w:szCs w:val="20"/>
                <w:lang w:eastAsia="ja-JP"/>
              </w:rPr>
            </w:pPr>
            <w:r w:rsidRPr="00A839DD">
              <w:rPr>
                <w:rFonts w:ascii="Aptos" w:hAnsi="Aptos" w:cs="Arial"/>
                <w:b/>
                <w:bCs/>
                <w:sz w:val="20"/>
                <w:szCs w:val="20"/>
                <w:lang w:eastAsia="ja-JP"/>
              </w:rPr>
              <w:t>Total</w:t>
            </w:r>
          </w:p>
        </w:tc>
        <w:tc>
          <w:tcPr>
            <w:tcW w:w="625" w:type="pct"/>
            <w:vAlign w:val="center"/>
          </w:tcPr>
          <w:p w14:paraId="06482556"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b/>
                <w:bCs/>
                <w:sz w:val="20"/>
                <w:szCs w:val="20"/>
                <w:lang w:eastAsia="ja-JP"/>
              </w:rPr>
            </w:pPr>
            <w:r w:rsidRPr="00A839DD">
              <w:rPr>
                <w:rFonts w:ascii="Aptos" w:hAnsi="Aptos" w:cs="Arial"/>
                <w:b/>
                <w:bCs/>
                <w:sz w:val="20"/>
                <w:szCs w:val="20"/>
                <w:lang w:eastAsia="ja-JP"/>
              </w:rPr>
              <w:t>201</w:t>
            </w:r>
          </w:p>
        </w:tc>
        <w:tc>
          <w:tcPr>
            <w:tcW w:w="625" w:type="pct"/>
            <w:vAlign w:val="center"/>
          </w:tcPr>
          <w:p w14:paraId="499A2435" w14:textId="5BDCDB70" w:rsidR="00747234" w:rsidRPr="00A839DD" w:rsidRDefault="00E32E02" w:rsidP="002560FF">
            <w:pPr>
              <w:tabs>
                <w:tab w:val="left" w:pos="0"/>
              </w:tabs>
              <w:suppressAutoHyphens w:val="0"/>
              <w:autoSpaceDE/>
              <w:autoSpaceDN/>
              <w:adjustRightInd/>
              <w:ind w:left="24" w:hanging="24"/>
              <w:jc w:val="center"/>
              <w:textAlignment w:val="auto"/>
              <w:rPr>
                <w:rFonts w:ascii="Aptos" w:hAnsi="Aptos" w:cs="Arial"/>
                <w:b/>
                <w:bCs/>
                <w:sz w:val="20"/>
                <w:szCs w:val="20"/>
                <w:lang w:eastAsia="ja-JP"/>
              </w:rPr>
            </w:pPr>
            <w:r w:rsidRPr="00A839DD">
              <w:rPr>
                <w:rFonts w:ascii="Aptos" w:hAnsi="Aptos" w:cs="Arial"/>
                <w:b/>
                <w:bCs/>
                <w:sz w:val="20"/>
                <w:szCs w:val="20"/>
                <w:lang w:eastAsia="ja-JP"/>
              </w:rPr>
              <w:t>100</w:t>
            </w:r>
            <w:r w:rsidR="00D228CF">
              <w:rPr>
                <w:rFonts w:ascii="Aptos" w:hAnsi="Aptos" w:cs="Arial"/>
                <w:b/>
                <w:bCs/>
                <w:sz w:val="20"/>
                <w:szCs w:val="20"/>
                <w:lang w:eastAsia="ja-JP"/>
              </w:rPr>
              <w:t> </w:t>
            </w:r>
            <w:r w:rsidRPr="00A839DD">
              <w:rPr>
                <w:rFonts w:ascii="Aptos" w:hAnsi="Aptos" w:cs="Arial"/>
                <w:b/>
                <w:bCs/>
                <w:sz w:val="20"/>
                <w:szCs w:val="20"/>
                <w:lang w:eastAsia="ja-JP"/>
              </w:rPr>
              <w:t>%</w:t>
            </w:r>
          </w:p>
        </w:tc>
        <w:tc>
          <w:tcPr>
            <w:tcW w:w="625" w:type="pct"/>
            <w:vAlign w:val="center"/>
          </w:tcPr>
          <w:p w14:paraId="2E344339"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b/>
                <w:bCs/>
                <w:sz w:val="20"/>
                <w:szCs w:val="20"/>
                <w:lang w:eastAsia="ja-JP"/>
              </w:rPr>
            </w:pPr>
            <w:r w:rsidRPr="00A839DD">
              <w:rPr>
                <w:rFonts w:ascii="Aptos" w:hAnsi="Aptos" w:cs="Arial"/>
                <w:b/>
                <w:bCs/>
                <w:sz w:val="20"/>
                <w:szCs w:val="20"/>
                <w:lang w:eastAsia="ja-JP"/>
              </w:rPr>
              <w:t>164</w:t>
            </w:r>
          </w:p>
        </w:tc>
        <w:tc>
          <w:tcPr>
            <w:tcW w:w="625" w:type="pct"/>
            <w:vAlign w:val="center"/>
          </w:tcPr>
          <w:p w14:paraId="396BD79A" w14:textId="72912577" w:rsidR="00747234" w:rsidRPr="00A839DD" w:rsidRDefault="00BC1E6F" w:rsidP="002560FF">
            <w:pPr>
              <w:tabs>
                <w:tab w:val="left" w:pos="0"/>
              </w:tabs>
              <w:suppressAutoHyphens w:val="0"/>
              <w:autoSpaceDE/>
              <w:autoSpaceDN/>
              <w:adjustRightInd/>
              <w:ind w:left="24" w:hanging="24"/>
              <w:jc w:val="center"/>
              <w:textAlignment w:val="auto"/>
              <w:rPr>
                <w:rFonts w:ascii="Aptos" w:hAnsi="Aptos" w:cs="Arial"/>
                <w:b/>
                <w:bCs/>
                <w:sz w:val="20"/>
                <w:szCs w:val="20"/>
                <w:lang w:eastAsia="ja-JP"/>
              </w:rPr>
            </w:pPr>
            <w:r w:rsidRPr="00A839DD">
              <w:rPr>
                <w:rFonts w:ascii="Aptos" w:hAnsi="Aptos" w:cs="Arial"/>
                <w:b/>
                <w:bCs/>
                <w:sz w:val="20"/>
                <w:szCs w:val="20"/>
                <w:lang w:eastAsia="ja-JP"/>
              </w:rPr>
              <w:t>100</w:t>
            </w:r>
            <w:r w:rsidR="00D228CF">
              <w:rPr>
                <w:rFonts w:ascii="Aptos" w:hAnsi="Aptos" w:cs="Arial"/>
                <w:b/>
                <w:bCs/>
                <w:sz w:val="20"/>
                <w:szCs w:val="20"/>
                <w:lang w:eastAsia="ja-JP"/>
              </w:rPr>
              <w:t> </w:t>
            </w:r>
            <w:r w:rsidRPr="00A839DD">
              <w:rPr>
                <w:rFonts w:ascii="Aptos" w:hAnsi="Aptos" w:cs="Arial"/>
                <w:b/>
                <w:bCs/>
                <w:sz w:val="20"/>
                <w:szCs w:val="20"/>
                <w:lang w:eastAsia="ja-JP"/>
              </w:rPr>
              <w:t>%</w:t>
            </w:r>
          </w:p>
        </w:tc>
        <w:tc>
          <w:tcPr>
            <w:tcW w:w="625" w:type="pct"/>
            <w:vAlign w:val="center"/>
          </w:tcPr>
          <w:p w14:paraId="25AF8524" w14:textId="77777777" w:rsidR="00747234" w:rsidRPr="00A839DD" w:rsidRDefault="00747234" w:rsidP="002560FF">
            <w:pPr>
              <w:tabs>
                <w:tab w:val="left" w:pos="0"/>
              </w:tabs>
              <w:suppressAutoHyphens w:val="0"/>
              <w:autoSpaceDE/>
              <w:autoSpaceDN/>
              <w:adjustRightInd/>
              <w:ind w:left="24" w:hanging="24"/>
              <w:jc w:val="center"/>
              <w:textAlignment w:val="auto"/>
              <w:rPr>
                <w:rFonts w:cs="Arial"/>
                <w:b/>
                <w:bCs/>
                <w:sz w:val="20"/>
                <w:szCs w:val="20"/>
                <w:lang w:eastAsia="ja-JP"/>
              </w:rPr>
            </w:pPr>
            <w:r w:rsidRPr="00A839DD">
              <w:rPr>
                <w:rFonts w:ascii="Aptos" w:hAnsi="Aptos" w:cs="Arial"/>
                <w:b/>
                <w:bCs/>
                <w:sz w:val="20"/>
                <w:szCs w:val="20"/>
                <w:lang w:eastAsia="ja-JP"/>
              </w:rPr>
              <w:t>37</w:t>
            </w:r>
          </w:p>
        </w:tc>
        <w:tc>
          <w:tcPr>
            <w:tcW w:w="627" w:type="pct"/>
            <w:vAlign w:val="center"/>
          </w:tcPr>
          <w:p w14:paraId="793AFA52" w14:textId="3DDA3D3B" w:rsidR="00747234" w:rsidRPr="00A839DD" w:rsidRDefault="00F13797" w:rsidP="002560FF">
            <w:pPr>
              <w:tabs>
                <w:tab w:val="left" w:pos="0"/>
              </w:tabs>
              <w:suppressAutoHyphens w:val="0"/>
              <w:autoSpaceDE/>
              <w:autoSpaceDN/>
              <w:adjustRightInd/>
              <w:ind w:left="24" w:hanging="24"/>
              <w:jc w:val="center"/>
              <w:textAlignment w:val="auto"/>
              <w:rPr>
                <w:rFonts w:ascii="Aptos" w:hAnsi="Aptos" w:cs="Arial"/>
                <w:b/>
                <w:bCs/>
                <w:sz w:val="20"/>
                <w:szCs w:val="20"/>
                <w:lang w:eastAsia="ja-JP"/>
              </w:rPr>
            </w:pPr>
            <w:r w:rsidRPr="00A839DD">
              <w:rPr>
                <w:rFonts w:ascii="Aptos" w:hAnsi="Aptos" w:cs="Arial"/>
                <w:b/>
                <w:bCs/>
                <w:sz w:val="20"/>
                <w:szCs w:val="20"/>
                <w:lang w:eastAsia="ja-JP"/>
              </w:rPr>
              <w:t>100</w:t>
            </w:r>
            <w:r w:rsidR="00D228CF">
              <w:rPr>
                <w:rFonts w:ascii="Aptos" w:hAnsi="Aptos" w:cs="Arial"/>
                <w:b/>
                <w:bCs/>
                <w:sz w:val="20"/>
                <w:szCs w:val="20"/>
                <w:lang w:eastAsia="ja-JP"/>
              </w:rPr>
              <w:t> </w:t>
            </w:r>
            <w:r w:rsidRPr="00A839DD">
              <w:rPr>
                <w:rFonts w:ascii="Aptos" w:hAnsi="Aptos" w:cs="Arial"/>
                <w:b/>
                <w:bCs/>
                <w:sz w:val="20"/>
                <w:szCs w:val="20"/>
                <w:lang w:eastAsia="ja-JP"/>
              </w:rPr>
              <w:t>%</w:t>
            </w:r>
          </w:p>
        </w:tc>
      </w:tr>
    </w:tbl>
    <w:p w14:paraId="7BAB2A6E" w14:textId="77777777" w:rsidR="00583DA2" w:rsidRPr="00A839DD" w:rsidRDefault="00583DA2" w:rsidP="001D3E83">
      <w:pPr>
        <w:pStyle w:val="Titre2"/>
        <w:rPr>
          <w:noProof w:val="0"/>
        </w:rPr>
      </w:pPr>
      <w:bookmarkStart w:id="122" w:name="_Toc229131300"/>
      <w:r w:rsidRPr="00A839DD">
        <w:rPr>
          <w:noProof w:val="0"/>
        </w:rPr>
        <w:t>L’orientation sexuelle des personnes plaignantes</w:t>
      </w:r>
      <w:bookmarkEnd w:id="122"/>
    </w:p>
    <w:p w14:paraId="0F8A1006" w14:textId="3841B7A3" w:rsidR="00B87F75" w:rsidRPr="00A839DD" w:rsidRDefault="00B87F75" w:rsidP="0006339A">
      <w:pPr>
        <w:pStyle w:val="Paragraphe"/>
      </w:pPr>
      <w:r w:rsidRPr="00A839DD">
        <w:t xml:space="preserve">L’orientation sexuelle des personnes plaignantes a été relevée dans les plaintes du corpus qualitatif à partir des termes qu’elles utilisent pour la décrire. Lorsqu’elle n’était pas explicitement mentionnée, il a dans certains cas été possible d’inférer des faits décrits que la personne n’était pas hétérosexuelle ou encore qu’elle </w:t>
      </w:r>
      <w:r w:rsidR="00F06BC4" w:rsidRPr="00A839DD">
        <w:t>le fût</w:t>
      </w:r>
      <w:r w:rsidRPr="00A839DD">
        <w:t>.</w:t>
      </w:r>
    </w:p>
    <w:p w14:paraId="3E95823B" w14:textId="19F9B0D2" w:rsidR="00B87F75" w:rsidRDefault="00B87F75" w:rsidP="0006339A">
      <w:pPr>
        <w:pStyle w:val="Paragraphe"/>
      </w:pPr>
      <w:r w:rsidRPr="00A839DD">
        <w:t xml:space="preserve">Parmi les plaintes pour discrimination fondée sur l’orientation sexuelle, la plupart des personnes ont mentionné être gaies, homosexuelles, lesbiennes ou non hétérosexuelles. Seulement deux personnes se sont dites bisexuelles, ce qui ne permet pas d’en apprendre beaucoup plus sur la situation de ces personnes que la littérature présente comme étant particulièrement désavantagées en emploi, sans qu’il soit </w:t>
      </w:r>
      <w:r w:rsidR="00221563">
        <w:t xml:space="preserve">encore </w:t>
      </w:r>
      <w:r w:rsidRPr="00A839DD">
        <w:t>bien compris pourquoi. Deux personnes hétérosexuelles ont porté plainte pour ce motif, l’une en raison de rumeurs sur sa prétendue homosexualité et l’autre pour du harcèlement fondé sur l’orientation sexuelle. Peu de personnes ayant porté plainte pour discrimination sur la base de l’identité ou l’expression de genre ont estimé utile de mentionner leur orientation sexuelle.</w:t>
      </w:r>
    </w:p>
    <w:tbl>
      <w:tblPr>
        <w:tblStyle w:val="Grilledutableau"/>
        <w:tblW w:w="966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29"/>
        <w:gridCol w:w="1089"/>
        <w:gridCol w:w="1090"/>
        <w:gridCol w:w="1089"/>
        <w:gridCol w:w="1090"/>
        <w:gridCol w:w="1089"/>
        <w:gridCol w:w="1091"/>
      </w:tblGrid>
      <w:tr w:rsidR="00CC7AC0" w:rsidRPr="00A839DD" w14:paraId="52503DC5" w14:textId="77777777" w:rsidTr="00164333">
        <w:trPr>
          <w:trHeight w:val="977"/>
          <w:jc w:val="center"/>
        </w:trPr>
        <w:tc>
          <w:tcPr>
            <w:tcW w:w="0" w:type="auto"/>
            <w:gridSpan w:val="7"/>
            <w:shd w:val="clear" w:color="auto" w:fill="953D89"/>
            <w:vAlign w:val="center"/>
          </w:tcPr>
          <w:p w14:paraId="6177F71F" w14:textId="461F52DE" w:rsidR="00CC7AC0" w:rsidRPr="00A839DD" w:rsidRDefault="00CC7AC0" w:rsidP="005932E2">
            <w:pPr>
              <w:jc w:val="center"/>
              <w:rPr>
                <w:rFonts w:asciiTheme="minorHAnsi" w:hAnsiTheme="minorHAnsi"/>
                <w:sz w:val="20"/>
                <w:szCs w:val="20"/>
              </w:rPr>
            </w:pPr>
            <w:r w:rsidRPr="00A839DD">
              <w:rPr>
                <w:rFonts w:asciiTheme="minorHAnsi" w:hAnsiTheme="minorHAnsi"/>
                <w:b/>
                <w:color w:val="FFFFFF" w:themeColor="background1"/>
                <w:sz w:val="20"/>
                <w:szCs w:val="20"/>
              </w:rPr>
              <w:lastRenderedPageBreak/>
              <w:t>Tableau 5</w:t>
            </w:r>
            <w:r w:rsidRPr="00A839DD">
              <w:rPr>
                <w:rFonts w:asciiTheme="minorHAnsi" w:hAnsiTheme="minorHAnsi"/>
                <w:color w:val="FFFFFF" w:themeColor="background1"/>
                <w:sz w:val="20"/>
                <w:szCs w:val="20"/>
              </w:rPr>
              <w:br/>
              <w:t>L’orientation sexuelle des personnes plaignantes selon le motif dans le corpus pour l’analyse qualitative (1994 –</w:t>
            </w:r>
            <w:r w:rsidR="00B30485" w:rsidRPr="00A839DD">
              <w:rPr>
                <w:rFonts w:ascii="Arial" w:hAnsi="Arial" w:cs="Arial"/>
                <w:color w:val="FFFFFF" w:themeColor="background1"/>
                <w:sz w:val="20"/>
                <w:szCs w:val="20"/>
              </w:rPr>
              <w:t> </w:t>
            </w:r>
            <w:r w:rsidRPr="00A839DD">
              <w:rPr>
                <w:rFonts w:asciiTheme="minorHAnsi" w:hAnsiTheme="minorHAnsi"/>
                <w:color w:val="FFFFFF" w:themeColor="background1"/>
                <w:sz w:val="20"/>
                <w:szCs w:val="20"/>
              </w:rPr>
              <w:t>2020)</w:t>
            </w:r>
          </w:p>
        </w:tc>
      </w:tr>
      <w:tr w:rsidR="00510BA9" w:rsidRPr="00A839DD" w14:paraId="6C0731A7" w14:textId="77777777" w:rsidTr="00164333">
        <w:trPr>
          <w:trHeight w:val="538"/>
          <w:jc w:val="center"/>
        </w:trPr>
        <w:tc>
          <w:tcPr>
            <w:tcW w:w="0" w:type="auto"/>
            <w:shd w:val="clear" w:color="auto" w:fill="0F243E"/>
            <w:vAlign w:val="center"/>
          </w:tcPr>
          <w:p w14:paraId="7901D5F0" w14:textId="77777777" w:rsidR="00510BA9" w:rsidRPr="00E75A32" w:rsidRDefault="00510BA9" w:rsidP="009D11B0">
            <w:pPr>
              <w:jc w:val="center"/>
              <w:rPr>
                <w:b/>
                <w:bCs/>
                <w:color w:val="FFFFFF" w:themeColor="background1"/>
                <w:sz w:val="20"/>
                <w:szCs w:val="20"/>
              </w:rPr>
            </w:pPr>
            <w:r w:rsidRPr="00E75A32">
              <w:rPr>
                <w:b/>
                <w:bCs/>
                <w:color w:val="FFFFFF" w:themeColor="background1"/>
                <w:sz w:val="20"/>
                <w:szCs w:val="20"/>
              </w:rPr>
              <w:t>Orientation sexuelle des personnes plaignantes</w:t>
            </w:r>
          </w:p>
        </w:tc>
        <w:tc>
          <w:tcPr>
            <w:tcW w:w="2179" w:type="dxa"/>
            <w:gridSpan w:val="2"/>
            <w:shd w:val="clear" w:color="auto" w:fill="0F243E"/>
            <w:vAlign w:val="center"/>
          </w:tcPr>
          <w:p w14:paraId="5679534B" w14:textId="77777777" w:rsidR="00510BA9" w:rsidRPr="00E75A32" w:rsidRDefault="00510BA9" w:rsidP="009D11B0">
            <w:pPr>
              <w:jc w:val="center"/>
              <w:rPr>
                <w:b/>
                <w:bCs/>
                <w:color w:val="FFFFFF" w:themeColor="background1"/>
                <w:sz w:val="20"/>
                <w:szCs w:val="20"/>
              </w:rPr>
            </w:pPr>
            <w:r w:rsidRPr="00E75A32">
              <w:rPr>
                <w:b/>
                <w:bCs/>
                <w:color w:val="FFFFFF" w:themeColor="background1"/>
                <w:sz w:val="20"/>
                <w:szCs w:val="20"/>
              </w:rPr>
              <w:t>Deux motifs combinés</w:t>
            </w:r>
          </w:p>
        </w:tc>
        <w:tc>
          <w:tcPr>
            <w:tcW w:w="2179" w:type="dxa"/>
            <w:gridSpan w:val="2"/>
            <w:shd w:val="clear" w:color="auto" w:fill="0F243E"/>
            <w:vAlign w:val="center"/>
          </w:tcPr>
          <w:p w14:paraId="077D4EDF" w14:textId="789B26F3" w:rsidR="00510BA9" w:rsidRPr="00E75A32" w:rsidRDefault="00510BA9" w:rsidP="009D11B0">
            <w:pPr>
              <w:jc w:val="center"/>
              <w:rPr>
                <w:b/>
                <w:bCs/>
                <w:color w:val="FFFFFF" w:themeColor="background1"/>
                <w:sz w:val="20"/>
                <w:szCs w:val="20"/>
              </w:rPr>
            </w:pPr>
            <w:r w:rsidRPr="00E75A32">
              <w:rPr>
                <w:b/>
                <w:bCs/>
                <w:color w:val="FFFFFF" w:themeColor="background1"/>
                <w:sz w:val="20"/>
                <w:szCs w:val="20"/>
              </w:rPr>
              <w:t>Motif «</w:t>
            </w:r>
            <w:r w:rsidR="00DE533D" w:rsidRPr="00E75A32">
              <w:rPr>
                <w:rFonts w:ascii="Arial" w:hAnsi="Arial" w:cs="Arial"/>
                <w:b/>
                <w:bCs/>
                <w:color w:val="FFFFFF" w:themeColor="background1"/>
                <w:sz w:val="20"/>
                <w:szCs w:val="20"/>
              </w:rPr>
              <w:t> </w:t>
            </w:r>
            <w:r w:rsidRPr="00E75A32">
              <w:rPr>
                <w:b/>
                <w:bCs/>
                <w:color w:val="FFFFFF" w:themeColor="background1"/>
                <w:sz w:val="20"/>
                <w:szCs w:val="20"/>
              </w:rPr>
              <w:t>orientation sexuelle</w:t>
            </w:r>
            <w:r w:rsidR="00DE533D" w:rsidRPr="00E75A32">
              <w:rPr>
                <w:rFonts w:ascii="Arial" w:hAnsi="Arial" w:cs="Arial"/>
                <w:b/>
                <w:bCs/>
                <w:color w:val="FFFFFF" w:themeColor="background1"/>
                <w:sz w:val="20"/>
                <w:szCs w:val="20"/>
              </w:rPr>
              <w:t> </w:t>
            </w:r>
            <w:r w:rsidRPr="00E75A32">
              <w:rPr>
                <w:b/>
                <w:bCs/>
                <w:color w:val="FFFFFF" w:themeColor="background1"/>
                <w:sz w:val="20"/>
                <w:szCs w:val="20"/>
              </w:rPr>
              <w:t>»</w:t>
            </w:r>
          </w:p>
        </w:tc>
        <w:tc>
          <w:tcPr>
            <w:tcW w:w="2180" w:type="dxa"/>
            <w:gridSpan w:val="2"/>
            <w:shd w:val="clear" w:color="auto" w:fill="0F243E"/>
            <w:vAlign w:val="center"/>
          </w:tcPr>
          <w:p w14:paraId="6D4786B1" w14:textId="5E6E2455" w:rsidR="00510BA9" w:rsidRPr="00E75A32" w:rsidRDefault="00510BA9" w:rsidP="009D11B0">
            <w:pPr>
              <w:jc w:val="center"/>
              <w:rPr>
                <w:b/>
                <w:bCs/>
                <w:color w:val="FFFFFF" w:themeColor="background1"/>
                <w:sz w:val="20"/>
                <w:szCs w:val="20"/>
              </w:rPr>
            </w:pPr>
            <w:r w:rsidRPr="00E75A32">
              <w:rPr>
                <w:b/>
                <w:bCs/>
                <w:color w:val="FFFFFF" w:themeColor="background1"/>
                <w:sz w:val="20"/>
                <w:szCs w:val="20"/>
              </w:rPr>
              <w:t>Motif «</w:t>
            </w:r>
            <w:r w:rsidR="00DE533D" w:rsidRPr="00E75A32">
              <w:rPr>
                <w:rFonts w:ascii="Arial" w:hAnsi="Arial" w:cs="Arial"/>
                <w:b/>
                <w:bCs/>
                <w:color w:val="FFFFFF" w:themeColor="background1"/>
                <w:sz w:val="20"/>
                <w:szCs w:val="20"/>
              </w:rPr>
              <w:t> </w:t>
            </w:r>
            <w:r w:rsidRPr="00E75A32">
              <w:rPr>
                <w:b/>
                <w:bCs/>
                <w:color w:val="FFFFFF" w:themeColor="background1"/>
                <w:sz w:val="20"/>
                <w:szCs w:val="20"/>
              </w:rPr>
              <w:t>identité ou expression de genre</w:t>
            </w:r>
            <w:r w:rsidR="00DE533D" w:rsidRPr="00E75A32">
              <w:rPr>
                <w:rFonts w:ascii="Arial" w:hAnsi="Arial" w:cs="Arial"/>
                <w:b/>
                <w:bCs/>
                <w:color w:val="FFFFFF" w:themeColor="background1"/>
                <w:sz w:val="20"/>
                <w:szCs w:val="20"/>
              </w:rPr>
              <w:t> </w:t>
            </w:r>
            <w:r w:rsidRPr="00E75A32">
              <w:rPr>
                <w:b/>
                <w:bCs/>
                <w:color w:val="FFFFFF" w:themeColor="background1"/>
                <w:sz w:val="20"/>
                <w:szCs w:val="20"/>
              </w:rPr>
              <w:t>»</w:t>
            </w:r>
          </w:p>
        </w:tc>
      </w:tr>
      <w:tr w:rsidR="00954FAC" w:rsidRPr="00A839DD" w14:paraId="5449EF72" w14:textId="77777777" w:rsidTr="00164333">
        <w:trPr>
          <w:trHeight w:val="263"/>
          <w:jc w:val="center"/>
        </w:trPr>
        <w:tc>
          <w:tcPr>
            <w:tcW w:w="0" w:type="auto"/>
            <w:shd w:val="clear" w:color="auto" w:fill="E3ECF9"/>
            <w:vAlign w:val="center"/>
          </w:tcPr>
          <w:p w14:paraId="6B08CF86" w14:textId="77777777" w:rsidR="00954FAC" w:rsidRPr="00A839DD" w:rsidRDefault="00954FAC" w:rsidP="009D11B0">
            <w:pPr>
              <w:rPr>
                <w:rFonts w:asciiTheme="minorHAnsi" w:hAnsiTheme="minorHAnsi"/>
                <w:sz w:val="20"/>
                <w:szCs w:val="20"/>
              </w:rPr>
            </w:pPr>
            <w:r w:rsidRPr="00A839DD">
              <w:rPr>
                <w:rFonts w:asciiTheme="minorHAnsi" w:hAnsiTheme="minorHAnsi"/>
                <w:sz w:val="20"/>
                <w:szCs w:val="20"/>
              </w:rPr>
              <w:t>Gai ou gaie</w:t>
            </w:r>
          </w:p>
        </w:tc>
        <w:tc>
          <w:tcPr>
            <w:tcW w:w="1089" w:type="dxa"/>
            <w:shd w:val="clear" w:color="auto" w:fill="E3ECF9"/>
            <w:vAlign w:val="center"/>
          </w:tcPr>
          <w:p w14:paraId="2343241B"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42</w:t>
            </w:r>
          </w:p>
        </w:tc>
        <w:tc>
          <w:tcPr>
            <w:tcW w:w="1090" w:type="dxa"/>
            <w:shd w:val="clear" w:color="auto" w:fill="E3ECF9"/>
            <w:vAlign w:val="center"/>
          </w:tcPr>
          <w:p w14:paraId="4C0E2B42" w14:textId="5B11F314" w:rsidR="00954FAC" w:rsidRPr="00A839DD" w:rsidRDefault="005E6B4B" w:rsidP="009D11B0">
            <w:pPr>
              <w:jc w:val="center"/>
              <w:rPr>
                <w:rFonts w:asciiTheme="minorHAnsi" w:hAnsiTheme="minorHAnsi"/>
                <w:sz w:val="20"/>
                <w:szCs w:val="20"/>
              </w:rPr>
            </w:pPr>
            <w:r w:rsidRPr="00A839DD">
              <w:rPr>
                <w:rFonts w:asciiTheme="minorHAnsi" w:hAnsiTheme="minorHAnsi"/>
                <w:sz w:val="20"/>
                <w:szCs w:val="20"/>
              </w:rPr>
              <w:t>20,9</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74CC4F6C"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42</w:t>
            </w:r>
          </w:p>
        </w:tc>
        <w:tc>
          <w:tcPr>
            <w:tcW w:w="1090" w:type="dxa"/>
            <w:shd w:val="clear" w:color="auto" w:fill="E3ECF9"/>
            <w:vAlign w:val="center"/>
          </w:tcPr>
          <w:p w14:paraId="569E6C40" w14:textId="581482A7" w:rsidR="00954FAC" w:rsidRPr="00A839DD" w:rsidRDefault="00CB14E2" w:rsidP="009D11B0">
            <w:pPr>
              <w:jc w:val="center"/>
              <w:rPr>
                <w:rFonts w:asciiTheme="minorHAnsi" w:hAnsiTheme="minorHAnsi"/>
                <w:sz w:val="20"/>
                <w:szCs w:val="20"/>
              </w:rPr>
            </w:pPr>
            <w:r w:rsidRPr="00A839DD">
              <w:rPr>
                <w:rFonts w:asciiTheme="minorHAnsi" w:hAnsiTheme="minorHAnsi"/>
                <w:sz w:val="20"/>
                <w:szCs w:val="20"/>
              </w:rPr>
              <w:t>25,6</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28C56395"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0</w:t>
            </w:r>
          </w:p>
        </w:tc>
        <w:tc>
          <w:tcPr>
            <w:tcW w:w="1091" w:type="dxa"/>
            <w:shd w:val="clear" w:color="auto" w:fill="E3ECF9"/>
            <w:vAlign w:val="center"/>
          </w:tcPr>
          <w:p w14:paraId="16ABB4F6" w14:textId="62DA6C04" w:rsidR="00954FAC" w:rsidRPr="00A839DD" w:rsidRDefault="00E156D4" w:rsidP="009D11B0">
            <w:pPr>
              <w:jc w:val="center"/>
              <w:rPr>
                <w:rFonts w:asciiTheme="minorHAnsi" w:hAnsiTheme="minorHAnsi"/>
                <w:sz w:val="20"/>
                <w:szCs w:val="20"/>
              </w:rPr>
            </w:pPr>
            <w:r w:rsidRPr="00A839DD">
              <w:rPr>
                <w:rFonts w:asciiTheme="minorHAnsi" w:hAnsiTheme="minorHAnsi"/>
                <w:sz w:val="20"/>
                <w:szCs w:val="20"/>
              </w:rPr>
              <w:t>0</w:t>
            </w:r>
            <w:r w:rsidR="00D228CF">
              <w:rPr>
                <w:rFonts w:asciiTheme="minorHAnsi" w:hAnsiTheme="minorHAnsi"/>
                <w:sz w:val="20"/>
                <w:szCs w:val="20"/>
              </w:rPr>
              <w:t> </w:t>
            </w:r>
            <w:r w:rsidRPr="00A839DD">
              <w:rPr>
                <w:rFonts w:asciiTheme="minorHAnsi" w:hAnsiTheme="minorHAnsi"/>
                <w:sz w:val="20"/>
                <w:szCs w:val="20"/>
              </w:rPr>
              <w:t>%</w:t>
            </w:r>
          </w:p>
        </w:tc>
      </w:tr>
      <w:tr w:rsidR="00954FAC" w:rsidRPr="00A839DD" w14:paraId="1BAF6FB6" w14:textId="77777777" w:rsidTr="00164333">
        <w:trPr>
          <w:trHeight w:val="274"/>
          <w:jc w:val="center"/>
        </w:trPr>
        <w:tc>
          <w:tcPr>
            <w:tcW w:w="0" w:type="auto"/>
            <w:vAlign w:val="center"/>
          </w:tcPr>
          <w:p w14:paraId="3373DD74" w14:textId="77777777" w:rsidR="00954FAC" w:rsidRPr="00A839DD" w:rsidRDefault="00954FAC" w:rsidP="009D11B0">
            <w:pPr>
              <w:rPr>
                <w:rFonts w:asciiTheme="minorHAnsi" w:hAnsiTheme="minorHAnsi"/>
                <w:sz w:val="20"/>
                <w:szCs w:val="20"/>
              </w:rPr>
            </w:pPr>
            <w:r w:rsidRPr="00A839DD">
              <w:rPr>
                <w:rFonts w:asciiTheme="minorHAnsi" w:hAnsiTheme="minorHAnsi"/>
                <w:sz w:val="20"/>
                <w:szCs w:val="20"/>
              </w:rPr>
              <w:t>Homosexuel ou homosexuelle</w:t>
            </w:r>
          </w:p>
        </w:tc>
        <w:tc>
          <w:tcPr>
            <w:tcW w:w="1089" w:type="dxa"/>
            <w:vAlign w:val="center"/>
          </w:tcPr>
          <w:p w14:paraId="2ED5DBBC"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52</w:t>
            </w:r>
          </w:p>
        </w:tc>
        <w:tc>
          <w:tcPr>
            <w:tcW w:w="1090" w:type="dxa"/>
            <w:vAlign w:val="center"/>
          </w:tcPr>
          <w:p w14:paraId="7F037A56" w14:textId="63080DBE" w:rsidR="00954FAC" w:rsidRPr="00A839DD" w:rsidRDefault="00B20402" w:rsidP="009D11B0">
            <w:pPr>
              <w:jc w:val="center"/>
              <w:rPr>
                <w:rFonts w:asciiTheme="minorHAnsi" w:hAnsiTheme="minorHAnsi"/>
                <w:sz w:val="20"/>
                <w:szCs w:val="20"/>
              </w:rPr>
            </w:pPr>
            <w:r w:rsidRPr="00A839DD">
              <w:rPr>
                <w:rFonts w:asciiTheme="minorHAnsi" w:hAnsiTheme="minorHAnsi"/>
                <w:sz w:val="20"/>
                <w:szCs w:val="20"/>
              </w:rPr>
              <w:t>25,9</w:t>
            </w:r>
            <w:r w:rsidR="00D228CF">
              <w:rPr>
                <w:rFonts w:asciiTheme="minorHAnsi" w:hAnsiTheme="minorHAnsi"/>
                <w:sz w:val="20"/>
                <w:szCs w:val="20"/>
              </w:rPr>
              <w:t> </w:t>
            </w:r>
            <w:r w:rsidRPr="00A839DD">
              <w:rPr>
                <w:rFonts w:asciiTheme="minorHAnsi" w:hAnsiTheme="minorHAnsi"/>
                <w:sz w:val="20"/>
                <w:szCs w:val="20"/>
              </w:rPr>
              <w:t>%</w:t>
            </w:r>
          </w:p>
        </w:tc>
        <w:tc>
          <w:tcPr>
            <w:tcW w:w="1089" w:type="dxa"/>
            <w:vAlign w:val="center"/>
          </w:tcPr>
          <w:p w14:paraId="6C67ABE3"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52</w:t>
            </w:r>
          </w:p>
        </w:tc>
        <w:tc>
          <w:tcPr>
            <w:tcW w:w="1090" w:type="dxa"/>
            <w:vAlign w:val="center"/>
          </w:tcPr>
          <w:p w14:paraId="43793538" w14:textId="02A0DF71" w:rsidR="00954FAC" w:rsidRPr="00A839DD" w:rsidRDefault="00D63460" w:rsidP="009D11B0">
            <w:pPr>
              <w:jc w:val="center"/>
              <w:rPr>
                <w:rFonts w:asciiTheme="minorHAnsi" w:hAnsiTheme="minorHAnsi"/>
                <w:sz w:val="20"/>
                <w:szCs w:val="20"/>
              </w:rPr>
            </w:pPr>
            <w:r w:rsidRPr="00A839DD">
              <w:rPr>
                <w:rFonts w:asciiTheme="minorHAnsi" w:hAnsiTheme="minorHAnsi"/>
                <w:sz w:val="20"/>
                <w:szCs w:val="20"/>
              </w:rPr>
              <w:t>31,7</w:t>
            </w:r>
            <w:r w:rsidR="00D228CF">
              <w:rPr>
                <w:rFonts w:asciiTheme="minorHAnsi" w:hAnsiTheme="minorHAnsi"/>
                <w:sz w:val="20"/>
                <w:szCs w:val="20"/>
              </w:rPr>
              <w:t> </w:t>
            </w:r>
            <w:r w:rsidRPr="00A839DD">
              <w:rPr>
                <w:rFonts w:asciiTheme="minorHAnsi" w:hAnsiTheme="minorHAnsi"/>
                <w:sz w:val="20"/>
                <w:szCs w:val="20"/>
              </w:rPr>
              <w:t>%</w:t>
            </w:r>
          </w:p>
        </w:tc>
        <w:tc>
          <w:tcPr>
            <w:tcW w:w="1089" w:type="dxa"/>
            <w:vAlign w:val="center"/>
          </w:tcPr>
          <w:p w14:paraId="56DF0D71"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0</w:t>
            </w:r>
          </w:p>
        </w:tc>
        <w:tc>
          <w:tcPr>
            <w:tcW w:w="1091" w:type="dxa"/>
            <w:vAlign w:val="center"/>
          </w:tcPr>
          <w:p w14:paraId="1BFB887A" w14:textId="1172B741" w:rsidR="00954FAC" w:rsidRPr="00A839DD" w:rsidRDefault="00E156D4" w:rsidP="009D11B0">
            <w:pPr>
              <w:jc w:val="center"/>
              <w:rPr>
                <w:rFonts w:asciiTheme="minorHAnsi" w:hAnsiTheme="minorHAnsi"/>
                <w:sz w:val="20"/>
                <w:szCs w:val="20"/>
              </w:rPr>
            </w:pPr>
            <w:r w:rsidRPr="00A839DD">
              <w:rPr>
                <w:rFonts w:asciiTheme="minorHAnsi" w:hAnsiTheme="minorHAnsi"/>
                <w:sz w:val="20"/>
                <w:szCs w:val="20"/>
              </w:rPr>
              <w:t>0</w:t>
            </w:r>
            <w:r w:rsidR="00D228CF">
              <w:rPr>
                <w:rFonts w:asciiTheme="minorHAnsi" w:hAnsiTheme="minorHAnsi"/>
                <w:sz w:val="20"/>
                <w:szCs w:val="20"/>
              </w:rPr>
              <w:t> </w:t>
            </w:r>
            <w:r w:rsidRPr="00A839DD">
              <w:rPr>
                <w:rFonts w:asciiTheme="minorHAnsi" w:hAnsiTheme="minorHAnsi"/>
                <w:sz w:val="20"/>
                <w:szCs w:val="20"/>
              </w:rPr>
              <w:t>%</w:t>
            </w:r>
          </w:p>
        </w:tc>
      </w:tr>
      <w:tr w:rsidR="00954FAC" w:rsidRPr="00A839DD" w14:paraId="643396DB" w14:textId="77777777" w:rsidTr="00164333">
        <w:trPr>
          <w:trHeight w:val="263"/>
          <w:jc w:val="center"/>
        </w:trPr>
        <w:tc>
          <w:tcPr>
            <w:tcW w:w="0" w:type="auto"/>
            <w:shd w:val="clear" w:color="auto" w:fill="E3ECF9"/>
            <w:vAlign w:val="center"/>
          </w:tcPr>
          <w:p w14:paraId="345D6638" w14:textId="77777777" w:rsidR="00954FAC" w:rsidRPr="00A839DD" w:rsidRDefault="00954FAC" w:rsidP="009D11B0">
            <w:pPr>
              <w:rPr>
                <w:rFonts w:asciiTheme="minorHAnsi" w:hAnsiTheme="minorHAnsi"/>
                <w:sz w:val="20"/>
                <w:szCs w:val="20"/>
              </w:rPr>
            </w:pPr>
            <w:r w:rsidRPr="00A839DD">
              <w:rPr>
                <w:rFonts w:asciiTheme="minorHAnsi" w:hAnsiTheme="minorHAnsi"/>
                <w:sz w:val="20"/>
                <w:szCs w:val="20"/>
              </w:rPr>
              <w:t>Lesbienne</w:t>
            </w:r>
          </w:p>
        </w:tc>
        <w:tc>
          <w:tcPr>
            <w:tcW w:w="1089" w:type="dxa"/>
            <w:shd w:val="clear" w:color="auto" w:fill="E3ECF9"/>
            <w:vAlign w:val="center"/>
          </w:tcPr>
          <w:p w14:paraId="270E9BEB"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16</w:t>
            </w:r>
          </w:p>
        </w:tc>
        <w:tc>
          <w:tcPr>
            <w:tcW w:w="1090" w:type="dxa"/>
            <w:shd w:val="clear" w:color="auto" w:fill="E3ECF9"/>
            <w:vAlign w:val="center"/>
          </w:tcPr>
          <w:p w14:paraId="7E2748A8" w14:textId="356BF18B" w:rsidR="00954FAC" w:rsidRPr="00A839DD" w:rsidRDefault="00B20402" w:rsidP="009D11B0">
            <w:pPr>
              <w:jc w:val="center"/>
              <w:rPr>
                <w:rFonts w:asciiTheme="minorHAnsi" w:hAnsiTheme="minorHAnsi"/>
                <w:sz w:val="20"/>
                <w:szCs w:val="20"/>
              </w:rPr>
            </w:pPr>
            <w:r w:rsidRPr="00A839DD">
              <w:rPr>
                <w:rFonts w:asciiTheme="minorHAnsi" w:hAnsiTheme="minorHAnsi"/>
                <w:sz w:val="20"/>
                <w:szCs w:val="20"/>
              </w:rPr>
              <w:t>8,0</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08A106E7"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16</w:t>
            </w:r>
          </w:p>
        </w:tc>
        <w:tc>
          <w:tcPr>
            <w:tcW w:w="1090" w:type="dxa"/>
            <w:shd w:val="clear" w:color="auto" w:fill="E3ECF9"/>
            <w:vAlign w:val="center"/>
          </w:tcPr>
          <w:p w14:paraId="441B5ED3" w14:textId="679DA680" w:rsidR="00954FAC" w:rsidRPr="00A839DD" w:rsidRDefault="00D63460" w:rsidP="009D11B0">
            <w:pPr>
              <w:jc w:val="center"/>
              <w:rPr>
                <w:rFonts w:asciiTheme="minorHAnsi" w:hAnsiTheme="minorHAnsi"/>
                <w:sz w:val="20"/>
                <w:szCs w:val="20"/>
              </w:rPr>
            </w:pPr>
            <w:r w:rsidRPr="00A839DD">
              <w:rPr>
                <w:rFonts w:asciiTheme="minorHAnsi" w:hAnsiTheme="minorHAnsi"/>
                <w:sz w:val="20"/>
                <w:szCs w:val="20"/>
              </w:rPr>
              <w:t>9,8</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449C520B"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0</w:t>
            </w:r>
          </w:p>
        </w:tc>
        <w:tc>
          <w:tcPr>
            <w:tcW w:w="1091" w:type="dxa"/>
            <w:shd w:val="clear" w:color="auto" w:fill="E3ECF9"/>
            <w:vAlign w:val="center"/>
          </w:tcPr>
          <w:p w14:paraId="69119FFD" w14:textId="500B5039" w:rsidR="00954FAC" w:rsidRPr="00A839DD" w:rsidRDefault="00E156D4" w:rsidP="009D11B0">
            <w:pPr>
              <w:jc w:val="center"/>
              <w:rPr>
                <w:rFonts w:asciiTheme="minorHAnsi" w:hAnsiTheme="minorHAnsi"/>
                <w:sz w:val="20"/>
                <w:szCs w:val="20"/>
              </w:rPr>
            </w:pPr>
            <w:r w:rsidRPr="00A839DD">
              <w:rPr>
                <w:rFonts w:asciiTheme="minorHAnsi" w:hAnsiTheme="minorHAnsi"/>
                <w:sz w:val="20"/>
                <w:szCs w:val="20"/>
              </w:rPr>
              <w:t>0</w:t>
            </w:r>
            <w:r w:rsidR="00D228CF">
              <w:rPr>
                <w:rFonts w:asciiTheme="minorHAnsi" w:hAnsiTheme="minorHAnsi"/>
                <w:sz w:val="20"/>
                <w:szCs w:val="20"/>
              </w:rPr>
              <w:t> </w:t>
            </w:r>
            <w:r w:rsidRPr="00A839DD">
              <w:rPr>
                <w:rFonts w:asciiTheme="minorHAnsi" w:hAnsiTheme="minorHAnsi"/>
                <w:sz w:val="20"/>
                <w:szCs w:val="20"/>
              </w:rPr>
              <w:t>%</w:t>
            </w:r>
          </w:p>
        </w:tc>
      </w:tr>
      <w:tr w:rsidR="00954FAC" w:rsidRPr="00A839DD" w14:paraId="1C69C583" w14:textId="77777777" w:rsidTr="00164333">
        <w:trPr>
          <w:trHeight w:val="263"/>
          <w:jc w:val="center"/>
        </w:trPr>
        <w:tc>
          <w:tcPr>
            <w:tcW w:w="0" w:type="auto"/>
            <w:vAlign w:val="center"/>
          </w:tcPr>
          <w:p w14:paraId="2A2F499E" w14:textId="77777777" w:rsidR="00954FAC" w:rsidRPr="00A839DD" w:rsidRDefault="00954FAC" w:rsidP="009D11B0">
            <w:pPr>
              <w:rPr>
                <w:rFonts w:asciiTheme="minorHAnsi" w:hAnsiTheme="minorHAnsi"/>
                <w:sz w:val="20"/>
                <w:szCs w:val="20"/>
              </w:rPr>
            </w:pPr>
            <w:r w:rsidRPr="00A839DD">
              <w:rPr>
                <w:rFonts w:asciiTheme="minorHAnsi" w:hAnsiTheme="minorHAnsi"/>
                <w:sz w:val="20"/>
                <w:szCs w:val="20"/>
              </w:rPr>
              <w:t>Bisexuel ou bisexuelle</w:t>
            </w:r>
          </w:p>
        </w:tc>
        <w:tc>
          <w:tcPr>
            <w:tcW w:w="1089" w:type="dxa"/>
            <w:vAlign w:val="center"/>
          </w:tcPr>
          <w:p w14:paraId="1FA322D7"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2</w:t>
            </w:r>
          </w:p>
        </w:tc>
        <w:tc>
          <w:tcPr>
            <w:tcW w:w="1090" w:type="dxa"/>
            <w:vAlign w:val="center"/>
          </w:tcPr>
          <w:p w14:paraId="7328081D" w14:textId="0462D17F" w:rsidR="00954FAC" w:rsidRPr="00A839DD" w:rsidRDefault="00B20402" w:rsidP="009D11B0">
            <w:pPr>
              <w:jc w:val="center"/>
              <w:rPr>
                <w:rFonts w:asciiTheme="minorHAnsi" w:hAnsiTheme="minorHAnsi"/>
                <w:sz w:val="20"/>
                <w:szCs w:val="20"/>
              </w:rPr>
            </w:pPr>
            <w:r w:rsidRPr="00A839DD">
              <w:rPr>
                <w:rFonts w:asciiTheme="minorHAnsi" w:hAnsiTheme="minorHAnsi"/>
                <w:sz w:val="20"/>
                <w:szCs w:val="20"/>
              </w:rPr>
              <w:t>1,0</w:t>
            </w:r>
            <w:r w:rsidR="00D228CF">
              <w:rPr>
                <w:rFonts w:asciiTheme="minorHAnsi" w:hAnsiTheme="minorHAnsi"/>
                <w:sz w:val="20"/>
                <w:szCs w:val="20"/>
              </w:rPr>
              <w:t> </w:t>
            </w:r>
            <w:r w:rsidRPr="00A839DD">
              <w:rPr>
                <w:rFonts w:asciiTheme="minorHAnsi" w:hAnsiTheme="minorHAnsi"/>
                <w:sz w:val="20"/>
                <w:szCs w:val="20"/>
              </w:rPr>
              <w:t>%</w:t>
            </w:r>
          </w:p>
        </w:tc>
        <w:tc>
          <w:tcPr>
            <w:tcW w:w="1089" w:type="dxa"/>
            <w:vAlign w:val="center"/>
          </w:tcPr>
          <w:p w14:paraId="463A6E6C"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2</w:t>
            </w:r>
          </w:p>
        </w:tc>
        <w:tc>
          <w:tcPr>
            <w:tcW w:w="1090" w:type="dxa"/>
            <w:vAlign w:val="center"/>
          </w:tcPr>
          <w:p w14:paraId="61CC38F1" w14:textId="01811301" w:rsidR="00954FAC" w:rsidRPr="00A839DD" w:rsidRDefault="00D63460" w:rsidP="009D11B0">
            <w:pPr>
              <w:jc w:val="center"/>
              <w:rPr>
                <w:rFonts w:asciiTheme="minorHAnsi" w:hAnsiTheme="minorHAnsi"/>
                <w:sz w:val="20"/>
                <w:szCs w:val="20"/>
              </w:rPr>
            </w:pPr>
            <w:r w:rsidRPr="00A839DD">
              <w:rPr>
                <w:rFonts w:asciiTheme="minorHAnsi" w:hAnsiTheme="minorHAnsi"/>
                <w:sz w:val="20"/>
                <w:szCs w:val="20"/>
              </w:rPr>
              <w:t>1,2</w:t>
            </w:r>
            <w:r w:rsidR="00D228CF">
              <w:rPr>
                <w:rFonts w:asciiTheme="minorHAnsi" w:hAnsiTheme="minorHAnsi"/>
                <w:sz w:val="20"/>
                <w:szCs w:val="20"/>
              </w:rPr>
              <w:t> </w:t>
            </w:r>
            <w:r w:rsidRPr="00A839DD">
              <w:rPr>
                <w:rFonts w:asciiTheme="minorHAnsi" w:hAnsiTheme="minorHAnsi"/>
                <w:sz w:val="20"/>
                <w:szCs w:val="20"/>
              </w:rPr>
              <w:t>%</w:t>
            </w:r>
          </w:p>
        </w:tc>
        <w:tc>
          <w:tcPr>
            <w:tcW w:w="1089" w:type="dxa"/>
            <w:vAlign w:val="center"/>
          </w:tcPr>
          <w:p w14:paraId="3E36BCBD"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0</w:t>
            </w:r>
          </w:p>
        </w:tc>
        <w:tc>
          <w:tcPr>
            <w:tcW w:w="1091" w:type="dxa"/>
            <w:vAlign w:val="center"/>
          </w:tcPr>
          <w:p w14:paraId="72B171DB" w14:textId="7B226428" w:rsidR="00954FAC" w:rsidRPr="00A839DD" w:rsidRDefault="00E156D4" w:rsidP="009D11B0">
            <w:pPr>
              <w:jc w:val="center"/>
              <w:rPr>
                <w:rFonts w:asciiTheme="minorHAnsi" w:hAnsiTheme="minorHAnsi"/>
                <w:sz w:val="20"/>
                <w:szCs w:val="20"/>
              </w:rPr>
            </w:pPr>
            <w:r w:rsidRPr="00A839DD">
              <w:rPr>
                <w:rFonts w:asciiTheme="minorHAnsi" w:hAnsiTheme="minorHAnsi"/>
                <w:sz w:val="20"/>
                <w:szCs w:val="20"/>
              </w:rPr>
              <w:t>0</w:t>
            </w:r>
            <w:r w:rsidR="00D228CF">
              <w:rPr>
                <w:rFonts w:asciiTheme="minorHAnsi" w:hAnsiTheme="minorHAnsi"/>
                <w:sz w:val="20"/>
                <w:szCs w:val="20"/>
              </w:rPr>
              <w:t> </w:t>
            </w:r>
            <w:r w:rsidRPr="00A839DD">
              <w:rPr>
                <w:rFonts w:asciiTheme="minorHAnsi" w:hAnsiTheme="minorHAnsi"/>
                <w:sz w:val="20"/>
                <w:szCs w:val="20"/>
              </w:rPr>
              <w:t>%</w:t>
            </w:r>
          </w:p>
        </w:tc>
      </w:tr>
      <w:tr w:rsidR="00954FAC" w:rsidRPr="00A839DD" w14:paraId="1523FECD" w14:textId="77777777" w:rsidTr="00164333">
        <w:trPr>
          <w:trHeight w:val="538"/>
          <w:jc w:val="center"/>
        </w:trPr>
        <w:tc>
          <w:tcPr>
            <w:tcW w:w="0" w:type="auto"/>
            <w:shd w:val="clear" w:color="auto" w:fill="E3ECF9"/>
            <w:vAlign w:val="center"/>
          </w:tcPr>
          <w:p w14:paraId="20CAFC3F" w14:textId="77777777" w:rsidR="00954FAC" w:rsidRPr="00A839DD" w:rsidRDefault="00954FAC" w:rsidP="009D11B0">
            <w:pPr>
              <w:rPr>
                <w:rFonts w:asciiTheme="minorHAnsi" w:hAnsiTheme="minorHAnsi"/>
                <w:sz w:val="20"/>
                <w:szCs w:val="20"/>
              </w:rPr>
            </w:pPr>
            <w:r w:rsidRPr="00A839DD">
              <w:rPr>
                <w:rFonts w:asciiTheme="minorHAnsi" w:hAnsiTheme="minorHAnsi"/>
                <w:sz w:val="20"/>
                <w:szCs w:val="20"/>
              </w:rPr>
              <w:t xml:space="preserve">Non </w:t>
            </w:r>
            <w:proofErr w:type="spellStart"/>
            <w:r w:rsidRPr="00A839DD">
              <w:rPr>
                <w:rFonts w:asciiTheme="minorHAnsi" w:hAnsiTheme="minorHAnsi"/>
                <w:sz w:val="20"/>
                <w:szCs w:val="20"/>
              </w:rPr>
              <w:t>hétérosexuel-le</w:t>
            </w:r>
            <w:proofErr w:type="spellEnd"/>
            <w:r w:rsidRPr="00A839DD">
              <w:rPr>
                <w:rFonts w:asciiTheme="minorHAnsi" w:hAnsiTheme="minorHAnsi"/>
                <w:sz w:val="20"/>
                <w:szCs w:val="20"/>
              </w:rPr>
              <w:t xml:space="preserve"> (incluant les inférences)</w:t>
            </w:r>
          </w:p>
        </w:tc>
        <w:tc>
          <w:tcPr>
            <w:tcW w:w="1089" w:type="dxa"/>
            <w:shd w:val="clear" w:color="auto" w:fill="E3ECF9"/>
            <w:vAlign w:val="center"/>
          </w:tcPr>
          <w:p w14:paraId="296B4BC4"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47</w:t>
            </w:r>
          </w:p>
        </w:tc>
        <w:tc>
          <w:tcPr>
            <w:tcW w:w="1090" w:type="dxa"/>
            <w:shd w:val="clear" w:color="auto" w:fill="E3ECF9"/>
            <w:vAlign w:val="center"/>
          </w:tcPr>
          <w:p w14:paraId="263BC592" w14:textId="71BFDACC" w:rsidR="00954FAC" w:rsidRPr="00A839DD" w:rsidRDefault="00B20402" w:rsidP="009D11B0">
            <w:pPr>
              <w:jc w:val="center"/>
              <w:rPr>
                <w:rFonts w:asciiTheme="minorHAnsi" w:hAnsiTheme="minorHAnsi"/>
                <w:sz w:val="20"/>
                <w:szCs w:val="20"/>
              </w:rPr>
            </w:pPr>
            <w:r w:rsidRPr="00A839DD">
              <w:rPr>
                <w:rFonts w:asciiTheme="minorHAnsi" w:hAnsiTheme="minorHAnsi"/>
                <w:sz w:val="20"/>
                <w:szCs w:val="20"/>
              </w:rPr>
              <w:t>23,4</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155A11F6"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43</w:t>
            </w:r>
          </w:p>
        </w:tc>
        <w:tc>
          <w:tcPr>
            <w:tcW w:w="1090" w:type="dxa"/>
            <w:shd w:val="clear" w:color="auto" w:fill="E3ECF9"/>
            <w:vAlign w:val="center"/>
          </w:tcPr>
          <w:p w14:paraId="5E172CDB" w14:textId="0716B1E3" w:rsidR="00954FAC" w:rsidRPr="00A839DD" w:rsidRDefault="00D63460" w:rsidP="009D11B0">
            <w:pPr>
              <w:jc w:val="center"/>
              <w:rPr>
                <w:rFonts w:asciiTheme="minorHAnsi" w:hAnsiTheme="minorHAnsi"/>
                <w:sz w:val="20"/>
                <w:szCs w:val="20"/>
              </w:rPr>
            </w:pPr>
            <w:r w:rsidRPr="00A839DD">
              <w:rPr>
                <w:rFonts w:asciiTheme="minorHAnsi" w:hAnsiTheme="minorHAnsi"/>
                <w:sz w:val="20"/>
                <w:szCs w:val="20"/>
              </w:rPr>
              <w:t>26,2</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07B63E1F"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4</w:t>
            </w:r>
          </w:p>
        </w:tc>
        <w:tc>
          <w:tcPr>
            <w:tcW w:w="1091" w:type="dxa"/>
            <w:shd w:val="clear" w:color="auto" w:fill="E3ECF9"/>
            <w:vAlign w:val="center"/>
          </w:tcPr>
          <w:p w14:paraId="3A20BDF4" w14:textId="4C60F13F" w:rsidR="00954FAC" w:rsidRPr="00A839DD" w:rsidRDefault="003A374D" w:rsidP="009D11B0">
            <w:pPr>
              <w:jc w:val="center"/>
              <w:rPr>
                <w:rFonts w:asciiTheme="minorHAnsi" w:hAnsiTheme="minorHAnsi"/>
                <w:sz w:val="20"/>
                <w:szCs w:val="20"/>
              </w:rPr>
            </w:pPr>
            <w:r w:rsidRPr="00A839DD">
              <w:rPr>
                <w:rFonts w:asciiTheme="minorHAnsi" w:hAnsiTheme="minorHAnsi"/>
                <w:sz w:val="20"/>
                <w:szCs w:val="20"/>
              </w:rPr>
              <w:t>10,8</w:t>
            </w:r>
            <w:r w:rsidR="00D228CF">
              <w:rPr>
                <w:rFonts w:asciiTheme="minorHAnsi" w:hAnsiTheme="minorHAnsi"/>
                <w:sz w:val="20"/>
                <w:szCs w:val="20"/>
              </w:rPr>
              <w:t> </w:t>
            </w:r>
            <w:r w:rsidRPr="00A839DD">
              <w:rPr>
                <w:rFonts w:asciiTheme="minorHAnsi" w:hAnsiTheme="minorHAnsi"/>
                <w:sz w:val="20"/>
                <w:szCs w:val="20"/>
              </w:rPr>
              <w:t>%</w:t>
            </w:r>
          </w:p>
        </w:tc>
      </w:tr>
      <w:tr w:rsidR="00954FAC" w:rsidRPr="00A839DD" w14:paraId="586A2FB2" w14:textId="77777777" w:rsidTr="00164333">
        <w:trPr>
          <w:trHeight w:val="274"/>
          <w:jc w:val="center"/>
        </w:trPr>
        <w:tc>
          <w:tcPr>
            <w:tcW w:w="0" w:type="auto"/>
            <w:vAlign w:val="center"/>
          </w:tcPr>
          <w:p w14:paraId="20F2CB0D" w14:textId="77777777" w:rsidR="00954FAC" w:rsidRPr="00A839DD" w:rsidRDefault="00954FAC" w:rsidP="009D11B0">
            <w:pPr>
              <w:rPr>
                <w:rFonts w:asciiTheme="minorHAnsi" w:hAnsiTheme="minorHAnsi"/>
                <w:sz w:val="20"/>
                <w:szCs w:val="20"/>
              </w:rPr>
            </w:pPr>
            <w:r w:rsidRPr="00A839DD">
              <w:rPr>
                <w:rFonts w:asciiTheme="minorHAnsi" w:hAnsiTheme="minorHAnsi"/>
                <w:sz w:val="20"/>
                <w:szCs w:val="20"/>
              </w:rPr>
              <w:t>En questionnement</w:t>
            </w:r>
          </w:p>
        </w:tc>
        <w:tc>
          <w:tcPr>
            <w:tcW w:w="1089" w:type="dxa"/>
            <w:vAlign w:val="center"/>
          </w:tcPr>
          <w:p w14:paraId="5D8D1125"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1</w:t>
            </w:r>
          </w:p>
        </w:tc>
        <w:tc>
          <w:tcPr>
            <w:tcW w:w="1090" w:type="dxa"/>
            <w:vAlign w:val="center"/>
          </w:tcPr>
          <w:p w14:paraId="1D647DA1" w14:textId="1A9B287F" w:rsidR="00954FAC" w:rsidRPr="00A839DD" w:rsidRDefault="00BA37B0" w:rsidP="009D11B0">
            <w:pPr>
              <w:jc w:val="center"/>
              <w:rPr>
                <w:rFonts w:asciiTheme="minorHAnsi" w:hAnsiTheme="minorHAnsi"/>
                <w:sz w:val="20"/>
                <w:szCs w:val="20"/>
              </w:rPr>
            </w:pPr>
            <w:r w:rsidRPr="00A839DD">
              <w:rPr>
                <w:rFonts w:asciiTheme="minorHAnsi" w:hAnsiTheme="minorHAnsi"/>
                <w:sz w:val="20"/>
                <w:szCs w:val="20"/>
              </w:rPr>
              <w:t>0,5</w:t>
            </w:r>
            <w:r w:rsidR="00D228CF">
              <w:rPr>
                <w:rFonts w:asciiTheme="minorHAnsi" w:hAnsiTheme="minorHAnsi"/>
                <w:sz w:val="20"/>
                <w:szCs w:val="20"/>
              </w:rPr>
              <w:t> </w:t>
            </w:r>
            <w:r w:rsidRPr="00A839DD">
              <w:rPr>
                <w:rFonts w:asciiTheme="minorHAnsi" w:hAnsiTheme="minorHAnsi"/>
                <w:sz w:val="20"/>
                <w:szCs w:val="20"/>
              </w:rPr>
              <w:t>%</w:t>
            </w:r>
          </w:p>
        </w:tc>
        <w:tc>
          <w:tcPr>
            <w:tcW w:w="1089" w:type="dxa"/>
            <w:vAlign w:val="center"/>
          </w:tcPr>
          <w:p w14:paraId="0ECFE6A0"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1</w:t>
            </w:r>
          </w:p>
        </w:tc>
        <w:tc>
          <w:tcPr>
            <w:tcW w:w="1090" w:type="dxa"/>
            <w:vAlign w:val="center"/>
          </w:tcPr>
          <w:p w14:paraId="33343D0A" w14:textId="730CD81C" w:rsidR="00954FAC" w:rsidRPr="00A839DD" w:rsidRDefault="00D63460" w:rsidP="009D11B0">
            <w:pPr>
              <w:jc w:val="center"/>
              <w:rPr>
                <w:rFonts w:asciiTheme="minorHAnsi" w:hAnsiTheme="minorHAnsi"/>
                <w:sz w:val="20"/>
                <w:szCs w:val="20"/>
              </w:rPr>
            </w:pPr>
            <w:r w:rsidRPr="00A839DD">
              <w:rPr>
                <w:rFonts w:asciiTheme="minorHAnsi" w:hAnsiTheme="minorHAnsi"/>
                <w:sz w:val="20"/>
                <w:szCs w:val="20"/>
              </w:rPr>
              <w:t>0,6</w:t>
            </w:r>
            <w:r w:rsidR="00D228CF">
              <w:rPr>
                <w:rFonts w:asciiTheme="minorHAnsi" w:hAnsiTheme="minorHAnsi"/>
                <w:sz w:val="20"/>
                <w:szCs w:val="20"/>
              </w:rPr>
              <w:t> </w:t>
            </w:r>
            <w:r w:rsidRPr="00A839DD">
              <w:rPr>
                <w:rFonts w:asciiTheme="minorHAnsi" w:hAnsiTheme="minorHAnsi"/>
                <w:sz w:val="20"/>
                <w:szCs w:val="20"/>
              </w:rPr>
              <w:t>%</w:t>
            </w:r>
          </w:p>
        </w:tc>
        <w:tc>
          <w:tcPr>
            <w:tcW w:w="1089" w:type="dxa"/>
            <w:vAlign w:val="center"/>
          </w:tcPr>
          <w:p w14:paraId="13F55AFA"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0</w:t>
            </w:r>
          </w:p>
        </w:tc>
        <w:tc>
          <w:tcPr>
            <w:tcW w:w="1091" w:type="dxa"/>
            <w:vAlign w:val="center"/>
          </w:tcPr>
          <w:p w14:paraId="76168145" w14:textId="7628D87C" w:rsidR="00954FAC" w:rsidRPr="00A839DD" w:rsidRDefault="003A374D" w:rsidP="009D11B0">
            <w:pPr>
              <w:jc w:val="center"/>
              <w:rPr>
                <w:rFonts w:asciiTheme="minorHAnsi" w:hAnsiTheme="minorHAnsi"/>
                <w:sz w:val="20"/>
                <w:szCs w:val="20"/>
              </w:rPr>
            </w:pPr>
            <w:r w:rsidRPr="00A839DD">
              <w:rPr>
                <w:rFonts w:asciiTheme="minorHAnsi" w:hAnsiTheme="minorHAnsi"/>
                <w:sz w:val="20"/>
                <w:szCs w:val="20"/>
              </w:rPr>
              <w:t>0</w:t>
            </w:r>
            <w:r w:rsidR="00D228CF">
              <w:rPr>
                <w:rFonts w:asciiTheme="minorHAnsi" w:hAnsiTheme="minorHAnsi"/>
                <w:sz w:val="20"/>
                <w:szCs w:val="20"/>
              </w:rPr>
              <w:t> </w:t>
            </w:r>
            <w:r w:rsidRPr="00A839DD">
              <w:rPr>
                <w:rFonts w:asciiTheme="minorHAnsi" w:hAnsiTheme="minorHAnsi"/>
                <w:sz w:val="20"/>
                <w:szCs w:val="20"/>
              </w:rPr>
              <w:t>%</w:t>
            </w:r>
          </w:p>
        </w:tc>
      </w:tr>
      <w:tr w:rsidR="00954FAC" w:rsidRPr="00A839DD" w14:paraId="6B679642" w14:textId="77777777" w:rsidTr="00164333">
        <w:trPr>
          <w:trHeight w:val="538"/>
          <w:jc w:val="center"/>
        </w:trPr>
        <w:tc>
          <w:tcPr>
            <w:tcW w:w="0" w:type="auto"/>
            <w:shd w:val="clear" w:color="auto" w:fill="E3ECF9"/>
            <w:vAlign w:val="center"/>
          </w:tcPr>
          <w:p w14:paraId="7CB4B4C6" w14:textId="77777777" w:rsidR="00954FAC" w:rsidRPr="00A839DD" w:rsidRDefault="00954FAC" w:rsidP="009D11B0">
            <w:pPr>
              <w:rPr>
                <w:rFonts w:asciiTheme="minorHAnsi" w:hAnsiTheme="minorHAnsi"/>
                <w:sz w:val="20"/>
                <w:szCs w:val="20"/>
              </w:rPr>
            </w:pPr>
            <w:proofErr w:type="spellStart"/>
            <w:r w:rsidRPr="00A839DD">
              <w:rPr>
                <w:rFonts w:asciiTheme="minorHAnsi" w:hAnsiTheme="minorHAnsi"/>
                <w:sz w:val="20"/>
                <w:szCs w:val="20"/>
              </w:rPr>
              <w:t>Hétérosexuel-le</w:t>
            </w:r>
            <w:proofErr w:type="spellEnd"/>
            <w:r w:rsidRPr="00A839DD">
              <w:rPr>
                <w:rFonts w:asciiTheme="minorHAnsi" w:hAnsiTheme="minorHAnsi"/>
                <w:sz w:val="20"/>
                <w:szCs w:val="20"/>
              </w:rPr>
              <w:t xml:space="preserve"> (incluant les inférences)</w:t>
            </w:r>
          </w:p>
        </w:tc>
        <w:tc>
          <w:tcPr>
            <w:tcW w:w="1089" w:type="dxa"/>
            <w:shd w:val="clear" w:color="auto" w:fill="E3ECF9"/>
            <w:vAlign w:val="center"/>
          </w:tcPr>
          <w:p w14:paraId="0ACAA5D6"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2</w:t>
            </w:r>
          </w:p>
        </w:tc>
        <w:tc>
          <w:tcPr>
            <w:tcW w:w="1090" w:type="dxa"/>
            <w:shd w:val="clear" w:color="auto" w:fill="E3ECF9"/>
            <w:vAlign w:val="center"/>
          </w:tcPr>
          <w:p w14:paraId="3B880C76" w14:textId="38E9DC96" w:rsidR="00954FAC" w:rsidRPr="00A839DD" w:rsidRDefault="00BA37B0" w:rsidP="009D11B0">
            <w:pPr>
              <w:jc w:val="center"/>
              <w:rPr>
                <w:rFonts w:asciiTheme="minorHAnsi" w:hAnsiTheme="minorHAnsi"/>
                <w:sz w:val="20"/>
                <w:szCs w:val="20"/>
              </w:rPr>
            </w:pPr>
            <w:r w:rsidRPr="00A839DD">
              <w:rPr>
                <w:rFonts w:asciiTheme="minorHAnsi" w:hAnsiTheme="minorHAnsi"/>
                <w:sz w:val="20"/>
                <w:szCs w:val="20"/>
              </w:rPr>
              <w:t>1,0</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3C525527"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2</w:t>
            </w:r>
          </w:p>
        </w:tc>
        <w:tc>
          <w:tcPr>
            <w:tcW w:w="1090" w:type="dxa"/>
            <w:shd w:val="clear" w:color="auto" w:fill="E3ECF9"/>
            <w:vAlign w:val="center"/>
          </w:tcPr>
          <w:p w14:paraId="6D52E082" w14:textId="2CD61811" w:rsidR="00954FAC" w:rsidRPr="00A839DD" w:rsidRDefault="00E156D4" w:rsidP="009D11B0">
            <w:pPr>
              <w:jc w:val="center"/>
              <w:rPr>
                <w:rFonts w:asciiTheme="minorHAnsi" w:hAnsiTheme="minorHAnsi"/>
                <w:sz w:val="20"/>
                <w:szCs w:val="20"/>
              </w:rPr>
            </w:pPr>
            <w:r w:rsidRPr="00A839DD">
              <w:rPr>
                <w:rFonts w:asciiTheme="minorHAnsi" w:hAnsiTheme="minorHAnsi"/>
                <w:sz w:val="20"/>
                <w:szCs w:val="20"/>
              </w:rPr>
              <w:t>1,2</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0BA1D5A6"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0</w:t>
            </w:r>
          </w:p>
        </w:tc>
        <w:tc>
          <w:tcPr>
            <w:tcW w:w="1091" w:type="dxa"/>
            <w:shd w:val="clear" w:color="auto" w:fill="E3ECF9"/>
            <w:vAlign w:val="center"/>
          </w:tcPr>
          <w:p w14:paraId="1F7BCCAC" w14:textId="6192340B" w:rsidR="003A374D" w:rsidRPr="00A839DD" w:rsidRDefault="003A374D" w:rsidP="003A374D">
            <w:pPr>
              <w:jc w:val="center"/>
              <w:rPr>
                <w:rFonts w:asciiTheme="minorHAnsi" w:hAnsiTheme="minorHAnsi"/>
                <w:sz w:val="20"/>
                <w:szCs w:val="20"/>
              </w:rPr>
            </w:pPr>
            <w:r w:rsidRPr="00A839DD">
              <w:rPr>
                <w:rFonts w:asciiTheme="minorHAnsi" w:hAnsiTheme="minorHAnsi"/>
                <w:sz w:val="20"/>
                <w:szCs w:val="20"/>
              </w:rPr>
              <w:t>0</w:t>
            </w:r>
            <w:r w:rsidR="00D228CF">
              <w:rPr>
                <w:rFonts w:asciiTheme="minorHAnsi" w:hAnsiTheme="minorHAnsi"/>
                <w:sz w:val="20"/>
                <w:szCs w:val="20"/>
              </w:rPr>
              <w:t> </w:t>
            </w:r>
            <w:r w:rsidRPr="00A839DD">
              <w:rPr>
                <w:rFonts w:asciiTheme="minorHAnsi" w:hAnsiTheme="minorHAnsi"/>
                <w:sz w:val="20"/>
                <w:szCs w:val="20"/>
              </w:rPr>
              <w:t>%</w:t>
            </w:r>
          </w:p>
        </w:tc>
      </w:tr>
      <w:tr w:rsidR="00954FAC" w:rsidRPr="00A839DD" w14:paraId="580E87AB" w14:textId="77777777" w:rsidTr="00164333">
        <w:trPr>
          <w:trHeight w:val="263"/>
          <w:jc w:val="center"/>
        </w:trPr>
        <w:tc>
          <w:tcPr>
            <w:tcW w:w="0" w:type="auto"/>
            <w:vAlign w:val="center"/>
          </w:tcPr>
          <w:p w14:paraId="7FFC4F85" w14:textId="77777777" w:rsidR="00954FAC" w:rsidRPr="00A839DD" w:rsidRDefault="00954FAC" w:rsidP="009D11B0">
            <w:pPr>
              <w:rPr>
                <w:rFonts w:asciiTheme="minorHAnsi" w:hAnsiTheme="minorHAnsi"/>
                <w:sz w:val="20"/>
                <w:szCs w:val="20"/>
              </w:rPr>
            </w:pPr>
            <w:r w:rsidRPr="00A839DD">
              <w:rPr>
                <w:rFonts w:asciiTheme="minorHAnsi" w:hAnsiTheme="minorHAnsi"/>
                <w:sz w:val="20"/>
                <w:szCs w:val="20"/>
              </w:rPr>
              <w:t>Non mentionnée</w:t>
            </w:r>
          </w:p>
        </w:tc>
        <w:tc>
          <w:tcPr>
            <w:tcW w:w="1089" w:type="dxa"/>
            <w:vAlign w:val="center"/>
          </w:tcPr>
          <w:p w14:paraId="6B91DEC5"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38</w:t>
            </w:r>
          </w:p>
        </w:tc>
        <w:tc>
          <w:tcPr>
            <w:tcW w:w="1090" w:type="dxa"/>
            <w:vAlign w:val="center"/>
          </w:tcPr>
          <w:p w14:paraId="0D8390BD" w14:textId="6E6E5AEE" w:rsidR="00954FAC" w:rsidRPr="00A839DD" w:rsidRDefault="00BA37B0" w:rsidP="009D11B0">
            <w:pPr>
              <w:jc w:val="center"/>
              <w:rPr>
                <w:rFonts w:asciiTheme="minorHAnsi" w:hAnsiTheme="minorHAnsi"/>
                <w:sz w:val="20"/>
                <w:szCs w:val="20"/>
              </w:rPr>
            </w:pPr>
            <w:r w:rsidRPr="00A839DD">
              <w:rPr>
                <w:rFonts w:asciiTheme="minorHAnsi" w:hAnsiTheme="minorHAnsi"/>
                <w:sz w:val="20"/>
                <w:szCs w:val="20"/>
              </w:rPr>
              <w:t>18,9</w:t>
            </w:r>
            <w:r w:rsidR="00D228CF">
              <w:rPr>
                <w:rFonts w:asciiTheme="minorHAnsi" w:hAnsiTheme="minorHAnsi"/>
                <w:sz w:val="20"/>
                <w:szCs w:val="20"/>
              </w:rPr>
              <w:t> </w:t>
            </w:r>
            <w:r w:rsidRPr="00A839DD">
              <w:rPr>
                <w:rFonts w:asciiTheme="minorHAnsi" w:hAnsiTheme="minorHAnsi"/>
                <w:sz w:val="20"/>
                <w:szCs w:val="20"/>
              </w:rPr>
              <w:t>%</w:t>
            </w:r>
          </w:p>
        </w:tc>
        <w:tc>
          <w:tcPr>
            <w:tcW w:w="1089" w:type="dxa"/>
            <w:vAlign w:val="center"/>
          </w:tcPr>
          <w:p w14:paraId="292987ED"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5</w:t>
            </w:r>
          </w:p>
        </w:tc>
        <w:tc>
          <w:tcPr>
            <w:tcW w:w="1090" w:type="dxa"/>
            <w:vAlign w:val="center"/>
          </w:tcPr>
          <w:p w14:paraId="0B545A09" w14:textId="04CE1E0C" w:rsidR="00954FAC" w:rsidRPr="00A839DD" w:rsidRDefault="00E156D4" w:rsidP="009D11B0">
            <w:pPr>
              <w:jc w:val="center"/>
              <w:rPr>
                <w:rFonts w:asciiTheme="minorHAnsi" w:hAnsiTheme="minorHAnsi"/>
                <w:sz w:val="20"/>
                <w:szCs w:val="20"/>
              </w:rPr>
            </w:pPr>
            <w:r w:rsidRPr="00A839DD">
              <w:rPr>
                <w:rFonts w:asciiTheme="minorHAnsi" w:hAnsiTheme="minorHAnsi"/>
                <w:sz w:val="20"/>
                <w:szCs w:val="20"/>
              </w:rPr>
              <w:t>3,0</w:t>
            </w:r>
            <w:r w:rsidR="00D228CF">
              <w:rPr>
                <w:rFonts w:asciiTheme="minorHAnsi" w:hAnsiTheme="minorHAnsi"/>
                <w:sz w:val="20"/>
                <w:szCs w:val="20"/>
              </w:rPr>
              <w:t> </w:t>
            </w:r>
            <w:r w:rsidRPr="00A839DD">
              <w:rPr>
                <w:rFonts w:asciiTheme="minorHAnsi" w:hAnsiTheme="minorHAnsi"/>
                <w:sz w:val="20"/>
                <w:szCs w:val="20"/>
              </w:rPr>
              <w:t>%</w:t>
            </w:r>
          </w:p>
        </w:tc>
        <w:tc>
          <w:tcPr>
            <w:tcW w:w="1089" w:type="dxa"/>
            <w:vAlign w:val="center"/>
          </w:tcPr>
          <w:p w14:paraId="387FD078"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33</w:t>
            </w:r>
          </w:p>
        </w:tc>
        <w:tc>
          <w:tcPr>
            <w:tcW w:w="1091" w:type="dxa"/>
            <w:vAlign w:val="center"/>
          </w:tcPr>
          <w:p w14:paraId="3E0EC7AA" w14:textId="6B51E862" w:rsidR="00954FAC" w:rsidRPr="00A839DD" w:rsidRDefault="003A374D" w:rsidP="009D11B0">
            <w:pPr>
              <w:jc w:val="center"/>
              <w:rPr>
                <w:rFonts w:asciiTheme="minorHAnsi" w:hAnsiTheme="minorHAnsi"/>
                <w:sz w:val="20"/>
                <w:szCs w:val="20"/>
              </w:rPr>
            </w:pPr>
            <w:r w:rsidRPr="00A839DD">
              <w:rPr>
                <w:rFonts w:asciiTheme="minorHAnsi" w:hAnsiTheme="minorHAnsi"/>
                <w:sz w:val="20"/>
                <w:szCs w:val="20"/>
              </w:rPr>
              <w:t>89,2</w:t>
            </w:r>
            <w:r w:rsidR="00D228CF">
              <w:rPr>
                <w:rFonts w:asciiTheme="minorHAnsi" w:hAnsiTheme="minorHAnsi"/>
                <w:sz w:val="20"/>
                <w:szCs w:val="20"/>
              </w:rPr>
              <w:t> </w:t>
            </w:r>
            <w:r w:rsidRPr="00A839DD">
              <w:rPr>
                <w:rFonts w:asciiTheme="minorHAnsi" w:hAnsiTheme="minorHAnsi"/>
                <w:sz w:val="20"/>
                <w:szCs w:val="20"/>
              </w:rPr>
              <w:t>%</w:t>
            </w:r>
          </w:p>
        </w:tc>
      </w:tr>
      <w:tr w:rsidR="00954FAC" w:rsidRPr="00A839DD" w14:paraId="3A1F2B5B" w14:textId="77777777" w:rsidTr="00164333">
        <w:trPr>
          <w:trHeight w:val="538"/>
          <w:jc w:val="center"/>
        </w:trPr>
        <w:tc>
          <w:tcPr>
            <w:tcW w:w="0" w:type="auto"/>
            <w:shd w:val="clear" w:color="auto" w:fill="E3ECF9"/>
            <w:vAlign w:val="center"/>
          </w:tcPr>
          <w:p w14:paraId="40778CD4" w14:textId="77777777" w:rsidR="00954FAC" w:rsidRPr="00A839DD" w:rsidRDefault="00954FAC" w:rsidP="009D11B0">
            <w:pPr>
              <w:rPr>
                <w:rFonts w:asciiTheme="minorHAnsi" w:hAnsiTheme="minorHAnsi"/>
                <w:sz w:val="20"/>
                <w:szCs w:val="20"/>
              </w:rPr>
            </w:pPr>
            <w:r w:rsidRPr="00A839DD">
              <w:rPr>
                <w:rFonts w:asciiTheme="minorHAnsi" w:hAnsiTheme="minorHAnsi"/>
                <w:sz w:val="20"/>
                <w:szCs w:val="20"/>
              </w:rPr>
              <w:t>Groupe de personnes de différentes orientations sexuelles</w:t>
            </w:r>
          </w:p>
        </w:tc>
        <w:tc>
          <w:tcPr>
            <w:tcW w:w="1089" w:type="dxa"/>
            <w:shd w:val="clear" w:color="auto" w:fill="E3ECF9"/>
            <w:vAlign w:val="center"/>
          </w:tcPr>
          <w:p w14:paraId="7924B6DD"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1</w:t>
            </w:r>
          </w:p>
        </w:tc>
        <w:tc>
          <w:tcPr>
            <w:tcW w:w="1090" w:type="dxa"/>
            <w:shd w:val="clear" w:color="auto" w:fill="E3ECF9"/>
            <w:vAlign w:val="center"/>
          </w:tcPr>
          <w:p w14:paraId="45627576" w14:textId="63CB6B95" w:rsidR="00954FAC" w:rsidRPr="00A839DD" w:rsidRDefault="0049781D" w:rsidP="009D11B0">
            <w:pPr>
              <w:jc w:val="center"/>
              <w:rPr>
                <w:rFonts w:asciiTheme="minorHAnsi" w:hAnsiTheme="minorHAnsi"/>
                <w:sz w:val="20"/>
                <w:szCs w:val="20"/>
              </w:rPr>
            </w:pPr>
            <w:r w:rsidRPr="00A839DD">
              <w:rPr>
                <w:rFonts w:asciiTheme="minorHAnsi" w:hAnsiTheme="minorHAnsi"/>
                <w:sz w:val="20"/>
                <w:szCs w:val="20"/>
              </w:rPr>
              <w:t>0,5</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7519DA86"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1</w:t>
            </w:r>
          </w:p>
        </w:tc>
        <w:tc>
          <w:tcPr>
            <w:tcW w:w="1090" w:type="dxa"/>
            <w:shd w:val="clear" w:color="auto" w:fill="E3ECF9"/>
            <w:vAlign w:val="center"/>
          </w:tcPr>
          <w:p w14:paraId="6D40FE8A" w14:textId="0E576C85" w:rsidR="00954FAC" w:rsidRPr="00A839DD" w:rsidRDefault="00E156D4" w:rsidP="009D11B0">
            <w:pPr>
              <w:jc w:val="center"/>
              <w:rPr>
                <w:rFonts w:asciiTheme="minorHAnsi" w:hAnsiTheme="minorHAnsi"/>
                <w:sz w:val="20"/>
                <w:szCs w:val="20"/>
              </w:rPr>
            </w:pPr>
            <w:r w:rsidRPr="00A839DD">
              <w:rPr>
                <w:rFonts w:asciiTheme="minorHAnsi" w:hAnsiTheme="minorHAnsi"/>
                <w:sz w:val="20"/>
                <w:szCs w:val="20"/>
              </w:rPr>
              <w:t>0,6</w:t>
            </w:r>
            <w:r w:rsidR="00D228CF">
              <w:rPr>
                <w:rFonts w:asciiTheme="minorHAnsi" w:hAnsiTheme="minorHAnsi"/>
                <w:sz w:val="20"/>
                <w:szCs w:val="20"/>
              </w:rPr>
              <w:t> </w:t>
            </w:r>
            <w:r w:rsidRPr="00A839DD">
              <w:rPr>
                <w:rFonts w:asciiTheme="minorHAnsi" w:hAnsiTheme="minorHAnsi"/>
                <w:sz w:val="20"/>
                <w:szCs w:val="20"/>
              </w:rPr>
              <w:t>%</w:t>
            </w:r>
          </w:p>
        </w:tc>
        <w:tc>
          <w:tcPr>
            <w:tcW w:w="1089" w:type="dxa"/>
            <w:shd w:val="clear" w:color="auto" w:fill="E3ECF9"/>
            <w:vAlign w:val="center"/>
          </w:tcPr>
          <w:p w14:paraId="04F913E9" w14:textId="77777777" w:rsidR="00954FAC" w:rsidRPr="00A839DD" w:rsidRDefault="00954FAC" w:rsidP="009D11B0">
            <w:pPr>
              <w:jc w:val="center"/>
              <w:rPr>
                <w:rFonts w:asciiTheme="minorHAnsi" w:hAnsiTheme="minorHAnsi"/>
                <w:sz w:val="20"/>
                <w:szCs w:val="20"/>
              </w:rPr>
            </w:pPr>
            <w:r w:rsidRPr="00A839DD">
              <w:rPr>
                <w:rFonts w:asciiTheme="minorHAnsi" w:hAnsiTheme="minorHAnsi"/>
                <w:sz w:val="20"/>
                <w:szCs w:val="20"/>
              </w:rPr>
              <w:t>0</w:t>
            </w:r>
          </w:p>
        </w:tc>
        <w:tc>
          <w:tcPr>
            <w:tcW w:w="1091" w:type="dxa"/>
            <w:shd w:val="clear" w:color="auto" w:fill="E3ECF9"/>
            <w:vAlign w:val="center"/>
          </w:tcPr>
          <w:p w14:paraId="7171E9B1" w14:textId="2D3D7E16" w:rsidR="00954FAC" w:rsidRPr="00A839DD" w:rsidRDefault="003A374D" w:rsidP="009D11B0">
            <w:pPr>
              <w:jc w:val="center"/>
              <w:rPr>
                <w:rFonts w:asciiTheme="minorHAnsi" w:hAnsiTheme="minorHAnsi"/>
                <w:sz w:val="20"/>
                <w:szCs w:val="20"/>
              </w:rPr>
            </w:pPr>
            <w:r w:rsidRPr="00A839DD">
              <w:rPr>
                <w:rFonts w:asciiTheme="minorHAnsi" w:hAnsiTheme="minorHAnsi"/>
                <w:sz w:val="20"/>
                <w:szCs w:val="20"/>
              </w:rPr>
              <w:t>0</w:t>
            </w:r>
            <w:r w:rsidR="00D228CF">
              <w:rPr>
                <w:rFonts w:asciiTheme="minorHAnsi" w:hAnsiTheme="minorHAnsi"/>
                <w:sz w:val="20"/>
                <w:szCs w:val="20"/>
              </w:rPr>
              <w:t> </w:t>
            </w:r>
            <w:r w:rsidRPr="00A839DD">
              <w:rPr>
                <w:rFonts w:asciiTheme="minorHAnsi" w:hAnsiTheme="minorHAnsi"/>
                <w:sz w:val="20"/>
                <w:szCs w:val="20"/>
              </w:rPr>
              <w:t>%</w:t>
            </w:r>
          </w:p>
        </w:tc>
      </w:tr>
      <w:tr w:rsidR="00954FAC" w:rsidRPr="00A839DD" w14:paraId="58AC48FC" w14:textId="77777777" w:rsidTr="00164333">
        <w:trPr>
          <w:trHeight w:val="480"/>
          <w:jc w:val="center"/>
        </w:trPr>
        <w:tc>
          <w:tcPr>
            <w:tcW w:w="0" w:type="auto"/>
            <w:vAlign w:val="center"/>
          </w:tcPr>
          <w:p w14:paraId="58CF05DE" w14:textId="77777777" w:rsidR="00954FAC" w:rsidRPr="00A839DD" w:rsidRDefault="00954FAC" w:rsidP="009D11B0">
            <w:pPr>
              <w:rPr>
                <w:rFonts w:asciiTheme="minorHAnsi" w:hAnsiTheme="minorHAnsi"/>
                <w:b/>
                <w:bCs/>
                <w:sz w:val="20"/>
                <w:szCs w:val="20"/>
              </w:rPr>
            </w:pPr>
            <w:r w:rsidRPr="00A839DD">
              <w:rPr>
                <w:rFonts w:asciiTheme="minorHAnsi" w:hAnsiTheme="minorHAnsi"/>
                <w:b/>
                <w:bCs/>
                <w:sz w:val="20"/>
                <w:szCs w:val="20"/>
              </w:rPr>
              <w:t>Total</w:t>
            </w:r>
          </w:p>
        </w:tc>
        <w:tc>
          <w:tcPr>
            <w:tcW w:w="1089" w:type="dxa"/>
            <w:vAlign w:val="center"/>
          </w:tcPr>
          <w:p w14:paraId="70B1D6E3" w14:textId="77777777" w:rsidR="00954FAC" w:rsidRPr="00A839DD" w:rsidRDefault="00954FAC" w:rsidP="009D11B0">
            <w:pPr>
              <w:jc w:val="center"/>
              <w:rPr>
                <w:rFonts w:asciiTheme="minorHAnsi" w:hAnsiTheme="minorHAnsi"/>
                <w:b/>
                <w:bCs/>
                <w:sz w:val="20"/>
                <w:szCs w:val="20"/>
              </w:rPr>
            </w:pPr>
            <w:r w:rsidRPr="00A839DD">
              <w:rPr>
                <w:rFonts w:asciiTheme="minorHAnsi" w:hAnsiTheme="minorHAnsi"/>
                <w:b/>
                <w:bCs/>
                <w:sz w:val="20"/>
                <w:szCs w:val="20"/>
              </w:rPr>
              <w:t>201</w:t>
            </w:r>
          </w:p>
        </w:tc>
        <w:tc>
          <w:tcPr>
            <w:tcW w:w="1090" w:type="dxa"/>
            <w:vAlign w:val="center"/>
          </w:tcPr>
          <w:p w14:paraId="1920FE40" w14:textId="40CDD376" w:rsidR="00954FAC" w:rsidRPr="00A839DD" w:rsidRDefault="0049781D" w:rsidP="009D11B0">
            <w:pPr>
              <w:jc w:val="center"/>
              <w:rPr>
                <w:rFonts w:asciiTheme="minorHAnsi" w:hAnsiTheme="minorHAnsi"/>
                <w:b/>
                <w:bCs/>
                <w:sz w:val="20"/>
                <w:szCs w:val="20"/>
              </w:rPr>
            </w:pPr>
            <w:r w:rsidRPr="00A839DD">
              <w:rPr>
                <w:rFonts w:asciiTheme="minorHAnsi" w:hAnsiTheme="minorHAnsi"/>
                <w:b/>
                <w:bCs/>
                <w:sz w:val="20"/>
                <w:szCs w:val="20"/>
              </w:rPr>
              <w:t>100</w:t>
            </w:r>
            <w:r w:rsidR="00D228CF">
              <w:rPr>
                <w:rFonts w:asciiTheme="minorHAnsi" w:hAnsiTheme="minorHAnsi"/>
                <w:b/>
                <w:bCs/>
                <w:sz w:val="20"/>
                <w:szCs w:val="20"/>
              </w:rPr>
              <w:t> </w:t>
            </w:r>
            <w:r w:rsidRPr="00A839DD">
              <w:rPr>
                <w:rFonts w:asciiTheme="minorHAnsi" w:hAnsiTheme="minorHAnsi"/>
                <w:b/>
                <w:bCs/>
                <w:sz w:val="20"/>
                <w:szCs w:val="20"/>
              </w:rPr>
              <w:t>%</w:t>
            </w:r>
          </w:p>
        </w:tc>
        <w:tc>
          <w:tcPr>
            <w:tcW w:w="1089" w:type="dxa"/>
            <w:vAlign w:val="center"/>
          </w:tcPr>
          <w:p w14:paraId="2A816073" w14:textId="77777777" w:rsidR="00954FAC" w:rsidRPr="00A839DD" w:rsidRDefault="00954FAC" w:rsidP="009D11B0">
            <w:pPr>
              <w:jc w:val="center"/>
              <w:rPr>
                <w:rFonts w:asciiTheme="minorHAnsi" w:hAnsiTheme="minorHAnsi"/>
                <w:b/>
                <w:bCs/>
                <w:sz w:val="20"/>
                <w:szCs w:val="20"/>
              </w:rPr>
            </w:pPr>
            <w:r w:rsidRPr="00A839DD">
              <w:rPr>
                <w:rFonts w:asciiTheme="minorHAnsi" w:hAnsiTheme="minorHAnsi"/>
                <w:b/>
                <w:bCs/>
                <w:sz w:val="20"/>
                <w:szCs w:val="20"/>
              </w:rPr>
              <w:t>164</w:t>
            </w:r>
          </w:p>
        </w:tc>
        <w:tc>
          <w:tcPr>
            <w:tcW w:w="1090" w:type="dxa"/>
            <w:vAlign w:val="center"/>
          </w:tcPr>
          <w:p w14:paraId="21C6A69B" w14:textId="3D8C8A0F" w:rsidR="00954FAC" w:rsidRPr="00A839DD" w:rsidRDefault="00E156D4" w:rsidP="009D11B0">
            <w:pPr>
              <w:jc w:val="center"/>
              <w:rPr>
                <w:rFonts w:asciiTheme="minorHAnsi" w:hAnsiTheme="minorHAnsi"/>
                <w:b/>
                <w:bCs/>
                <w:sz w:val="20"/>
                <w:szCs w:val="20"/>
              </w:rPr>
            </w:pPr>
            <w:r w:rsidRPr="00A839DD">
              <w:rPr>
                <w:rFonts w:asciiTheme="minorHAnsi" w:hAnsiTheme="minorHAnsi"/>
                <w:b/>
                <w:bCs/>
                <w:sz w:val="20"/>
                <w:szCs w:val="20"/>
              </w:rPr>
              <w:t>100</w:t>
            </w:r>
            <w:r w:rsidR="00D228CF">
              <w:rPr>
                <w:rFonts w:asciiTheme="minorHAnsi" w:hAnsiTheme="minorHAnsi"/>
                <w:b/>
                <w:bCs/>
                <w:sz w:val="20"/>
                <w:szCs w:val="20"/>
              </w:rPr>
              <w:t> </w:t>
            </w:r>
            <w:r w:rsidRPr="00A839DD">
              <w:rPr>
                <w:rFonts w:asciiTheme="minorHAnsi" w:hAnsiTheme="minorHAnsi"/>
                <w:b/>
                <w:bCs/>
                <w:sz w:val="20"/>
                <w:szCs w:val="20"/>
              </w:rPr>
              <w:t>%</w:t>
            </w:r>
          </w:p>
        </w:tc>
        <w:tc>
          <w:tcPr>
            <w:tcW w:w="1089" w:type="dxa"/>
            <w:vAlign w:val="center"/>
          </w:tcPr>
          <w:p w14:paraId="171C548C" w14:textId="77777777" w:rsidR="00954FAC" w:rsidRPr="00A839DD" w:rsidRDefault="00954FAC" w:rsidP="009D11B0">
            <w:pPr>
              <w:jc w:val="center"/>
              <w:rPr>
                <w:rFonts w:asciiTheme="minorHAnsi" w:hAnsiTheme="minorHAnsi"/>
                <w:b/>
                <w:bCs/>
                <w:sz w:val="20"/>
                <w:szCs w:val="20"/>
              </w:rPr>
            </w:pPr>
            <w:r w:rsidRPr="00A839DD">
              <w:rPr>
                <w:rFonts w:asciiTheme="minorHAnsi" w:hAnsiTheme="minorHAnsi"/>
                <w:b/>
                <w:bCs/>
                <w:sz w:val="20"/>
                <w:szCs w:val="20"/>
              </w:rPr>
              <w:t>37</w:t>
            </w:r>
          </w:p>
        </w:tc>
        <w:tc>
          <w:tcPr>
            <w:tcW w:w="1091" w:type="dxa"/>
            <w:vAlign w:val="center"/>
          </w:tcPr>
          <w:p w14:paraId="5CF25B7A" w14:textId="39F16722" w:rsidR="00954FAC" w:rsidRPr="00A839DD" w:rsidRDefault="003A374D" w:rsidP="009D11B0">
            <w:pPr>
              <w:jc w:val="center"/>
              <w:rPr>
                <w:rFonts w:asciiTheme="minorHAnsi" w:hAnsiTheme="minorHAnsi"/>
                <w:b/>
                <w:bCs/>
                <w:sz w:val="20"/>
                <w:szCs w:val="20"/>
              </w:rPr>
            </w:pPr>
            <w:r w:rsidRPr="00A839DD">
              <w:rPr>
                <w:rFonts w:asciiTheme="minorHAnsi" w:hAnsiTheme="minorHAnsi"/>
                <w:b/>
                <w:bCs/>
                <w:sz w:val="20"/>
                <w:szCs w:val="20"/>
              </w:rPr>
              <w:t>100</w:t>
            </w:r>
            <w:r w:rsidR="00D228CF">
              <w:rPr>
                <w:rFonts w:asciiTheme="minorHAnsi" w:hAnsiTheme="minorHAnsi"/>
                <w:b/>
                <w:bCs/>
                <w:sz w:val="20"/>
                <w:szCs w:val="20"/>
              </w:rPr>
              <w:t> </w:t>
            </w:r>
            <w:r w:rsidRPr="00A839DD">
              <w:rPr>
                <w:rFonts w:asciiTheme="minorHAnsi" w:hAnsiTheme="minorHAnsi"/>
                <w:b/>
                <w:bCs/>
                <w:sz w:val="20"/>
                <w:szCs w:val="20"/>
              </w:rPr>
              <w:t>%</w:t>
            </w:r>
          </w:p>
        </w:tc>
      </w:tr>
    </w:tbl>
    <w:p w14:paraId="4893A657" w14:textId="2ED120F8" w:rsidR="009D3656" w:rsidRPr="00A839DD" w:rsidRDefault="009D3656" w:rsidP="001D3E83">
      <w:pPr>
        <w:pStyle w:val="Titre2"/>
        <w:rPr>
          <w:noProof w:val="0"/>
        </w:rPr>
      </w:pPr>
      <w:bookmarkStart w:id="123" w:name="_Toc229131301"/>
      <w:r w:rsidRPr="00A839DD">
        <w:rPr>
          <w:noProof w:val="0"/>
        </w:rPr>
        <w:t>Le dévoilement de l’orientation sexuelle ou de la transidentité au travail</w:t>
      </w:r>
      <w:bookmarkEnd w:id="123"/>
    </w:p>
    <w:p w14:paraId="753DFA03" w14:textId="77777777" w:rsidR="00197F35" w:rsidRPr="00A839DD" w:rsidRDefault="00197F35" w:rsidP="0006339A">
      <w:pPr>
        <w:pStyle w:val="Paragraphe"/>
      </w:pPr>
      <w:r w:rsidRPr="00A839DD">
        <w:t>À la lecture des plaintes composant le corpus qualitatif, une attention a été portée à la façon dont l’information sur l’orientation sexuelle ou la transidentité des personnes plaignantes a circulé dans leur milieu de travail.</w:t>
      </w:r>
    </w:p>
    <w:p w14:paraId="65AD2EF6" w14:textId="4ACC4180" w:rsidR="00197F35" w:rsidRPr="00A839DD" w:rsidRDefault="00197F35" w:rsidP="0006339A">
      <w:pPr>
        <w:pStyle w:val="Paragraphe"/>
      </w:pPr>
      <w:r w:rsidRPr="00A839DD">
        <w:t>Au terme de l’analyse, il apparaît que les situations varient grandement quant à savoir si les personnes avaient volontairement dévoilé leur orientation sexuelle ou leur transidentité au travail. Dans environ 42</w:t>
      </w:r>
      <w:r w:rsidR="00A2068D" w:rsidRPr="00A839DD">
        <w:t> </w:t>
      </w:r>
      <w:r w:rsidRPr="00A839DD">
        <w:t xml:space="preserve">% des plaintes analysées, l’information n’était pas mentionnée. </w:t>
      </w:r>
      <w:r w:rsidR="00BA2D02" w:rsidRPr="00A839DD">
        <w:t>Dans l’ensemble</w:t>
      </w:r>
      <w:r w:rsidRPr="00A839DD">
        <w:t>,</w:t>
      </w:r>
      <w:r w:rsidR="00A2068D" w:rsidRPr="00A839DD">
        <w:t> </w:t>
      </w:r>
      <w:r w:rsidR="00BA2D02" w:rsidRPr="00A839DD">
        <w:t xml:space="preserve">une </w:t>
      </w:r>
      <w:r w:rsidR="00AA5CE0" w:rsidRPr="00A839DD">
        <w:t xml:space="preserve">plainte </w:t>
      </w:r>
      <w:r w:rsidR="00BA2D02" w:rsidRPr="00A839DD">
        <w:t>sur quatre</w:t>
      </w:r>
      <w:r w:rsidRPr="00A839DD">
        <w:t xml:space="preserve"> </w:t>
      </w:r>
      <w:r w:rsidR="00E15CE2" w:rsidRPr="00A839DD">
        <w:t xml:space="preserve">indiquait </w:t>
      </w:r>
      <w:r w:rsidRPr="00A839DD">
        <w:t>que l</w:t>
      </w:r>
      <w:r w:rsidR="00065A07" w:rsidRPr="00A839DD">
        <w:t>’</w:t>
      </w:r>
      <w:r w:rsidRPr="00A839DD">
        <w:t>orientation sexuelle ou l</w:t>
      </w:r>
      <w:r w:rsidR="00065A07" w:rsidRPr="00A839DD">
        <w:t xml:space="preserve">a </w:t>
      </w:r>
      <w:r w:rsidRPr="00A839DD">
        <w:t>transidentité</w:t>
      </w:r>
      <w:r w:rsidR="00902EE9" w:rsidRPr="00A839DD">
        <w:t xml:space="preserve"> de la personne plaignante</w:t>
      </w:r>
      <w:r w:rsidRPr="00A839DD">
        <w:t xml:space="preserve"> était connue</w:t>
      </w:r>
      <w:r w:rsidR="00065A07" w:rsidRPr="00A839DD">
        <w:t xml:space="preserve"> </w:t>
      </w:r>
      <w:r w:rsidR="008A0875" w:rsidRPr="00A839DD">
        <w:t>de façon générale dans le milieu de travail</w:t>
      </w:r>
      <w:r w:rsidR="00065A07" w:rsidRPr="00A839DD">
        <w:t>, tandis que 6,5</w:t>
      </w:r>
      <w:r w:rsidR="00D228CF">
        <w:t> </w:t>
      </w:r>
      <w:r w:rsidR="00065A07" w:rsidRPr="00A839DD">
        <w:t>%</w:t>
      </w:r>
      <w:r w:rsidR="00DE5B4C" w:rsidRPr="00A839DD">
        <w:t xml:space="preserve"> </w:t>
      </w:r>
      <w:r w:rsidR="00AC45F6" w:rsidRPr="00A839DD">
        <w:t xml:space="preserve">spécifiaient que ces informations </w:t>
      </w:r>
      <w:r w:rsidR="00902EE9" w:rsidRPr="00A839DD">
        <w:t xml:space="preserve">n’étaient partagées </w:t>
      </w:r>
      <w:r w:rsidR="001A76C3" w:rsidRPr="00A839DD">
        <w:t xml:space="preserve">qu’avec </w:t>
      </w:r>
      <w:r w:rsidR="00822491" w:rsidRPr="00A839DD">
        <w:t xml:space="preserve">une </w:t>
      </w:r>
      <w:r w:rsidRPr="00A839DD">
        <w:t>personne</w:t>
      </w:r>
      <w:r w:rsidR="000C5612" w:rsidRPr="00A839DD">
        <w:t xml:space="preserve"> ou</w:t>
      </w:r>
      <w:r w:rsidRPr="00A839DD">
        <w:t xml:space="preserve"> quelques personnes choisies</w:t>
      </w:r>
      <w:r w:rsidR="001A76C3" w:rsidRPr="00A839DD">
        <w:t>,</w:t>
      </w:r>
      <w:r w:rsidR="00822491" w:rsidRPr="00A839DD">
        <w:t xml:space="preserve"> et 1</w:t>
      </w:r>
      <w:r w:rsidR="00D228CF">
        <w:t> </w:t>
      </w:r>
      <w:r w:rsidR="00822491" w:rsidRPr="00A839DD">
        <w:t xml:space="preserve">% </w:t>
      </w:r>
      <w:r w:rsidR="001A76C3" w:rsidRPr="00A839DD">
        <w:t>avec la</w:t>
      </w:r>
      <w:r w:rsidR="006B3985" w:rsidRPr="00A839DD">
        <w:t xml:space="preserve"> direction</w:t>
      </w:r>
      <w:r w:rsidR="00461E17" w:rsidRPr="00A839DD">
        <w:t xml:space="preserve"> uniquement</w:t>
      </w:r>
      <w:r w:rsidRPr="00A839DD">
        <w:t>. Dans ces plaintes, rien n’indiquait que ce dévoilement était involontaire.</w:t>
      </w:r>
    </w:p>
    <w:p w14:paraId="3FEF8688" w14:textId="470888A0" w:rsidR="00197F35" w:rsidRPr="00A839DD" w:rsidRDefault="00197F35" w:rsidP="0006339A">
      <w:pPr>
        <w:pStyle w:val="Paragraphe"/>
      </w:pPr>
      <w:r w:rsidRPr="00A839DD">
        <w:t xml:space="preserve">En revanche, </w:t>
      </w:r>
      <w:r w:rsidR="00670128" w:rsidRPr="00A839DD">
        <w:t xml:space="preserve">une personne </w:t>
      </w:r>
      <w:r w:rsidRPr="00A839DD">
        <w:t>plaignante</w:t>
      </w:r>
      <w:r w:rsidR="00670128" w:rsidRPr="00A839DD">
        <w:t xml:space="preserve"> sur quatre </w:t>
      </w:r>
      <w:r w:rsidRPr="00A839DD">
        <w:t xml:space="preserve">n’avait pas communiqué volontairement ces informations dans </w:t>
      </w:r>
      <w:r w:rsidR="00E15CE2" w:rsidRPr="00A839DD">
        <w:t xml:space="preserve">son </w:t>
      </w:r>
      <w:r w:rsidRPr="00A839DD">
        <w:t xml:space="preserve">milieu de travail. Dans certains cas, les personnes mises en cause ont supposé l’orientation sexuelle ou la transidentité de la personne, souvent sur la base de l’expression de genre. D’autres l’ont </w:t>
      </w:r>
      <w:r w:rsidR="001E79BE" w:rsidRPr="00A839DD">
        <w:t>découvert</w:t>
      </w:r>
      <w:r w:rsidR="003C2F01">
        <w:t>e</w:t>
      </w:r>
      <w:r w:rsidRPr="00A839DD">
        <w:t xml:space="preserve"> par hasard ou dans le cadre de procédures administratives au cours desquelles une personne doit dévoiler des informations sur la personne avec qui elle partage sa vie (assurances, déclaration de conflits d’intérêt</w:t>
      </w:r>
      <w:r w:rsidR="00930995" w:rsidRPr="00A839DD">
        <w:t>s</w:t>
      </w:r>
      <w:r w:rsidRPr="00A839DD">
        <w:t>, etc.). D’autres encore ont provoqué le dévoilement en insistant auprès de la personne plaignante.</w:t>
      </w:r>
    </w:p>
    <w:tbl>
      <w:tblPr>
        <w:tblStyle w:val="Grilledutableau4"/>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992"/>
        <w:gridCol w:w="1134"/>
        <w:gridCol w:w="992"/>
        <w:gridCol w:w="993"/>
        <w:gridCol w:w="992"/>
        <w:gridCol w:w="1045"/>
      </w:tblGrid>
      <w:tr w:rsidR="00CC7AC0" w:rsidRPr="00A839DD" w14:paraId="23013DE4" w14:textId="77777777" w:rsidTr="00164333">
        <w:trPr>
          <w:trHeight w:val="767"/>
          <w:jc w:val="center"/>
        </w:trPr>
        <w:tc>
          <w:tcPr>
            <w:tcW w:w="9262" w:type="dxa"/>
            <w:gridSpan w:val="7"/>
            <w:shd w:val="clear" w:color="auto" w:fill="953D89"/>
            <w:vAlign w:val="center"/>
          </w:tcPr>
          <w:p w14:paraId="3C3D9EC8" w14:textId="27E24352" w:rsidR="00CC7AC0" w:rsidRPr="00A839DD" w:rsidRDefault="00CC7AC0" w:rsidP="000C7D5D">
            <w:pPr>
              <w:jc w:val="center"/>
              <w:rPr>
                <w:rFonts w:asciiTheme="minorHAnsi" w:hAnsiTheme="minorHAnsi"/>
                <w:color w:val="FFFFFF" w:themeColor="background1"/>
                <w:sz w:val="20"/>
                <w:szCs w:val="20"/>
                <w:lang w:eastAsia="ja-JP"/>
              </w:rPr>
            </w:pPr>
            <w:r w:rsidRPr="00A839DD">
              <w:rPr>
                <w:rFonts w:asciiTheme="minorHAnsi" w:hAnsiTheme="minorHAnsi"/>
                <w:b/>
                <w:color w:val="FFFFFF" w:themeColor="background1"/>
                <w:sz w:val="20"/>
                <w:szCs w:val="20"/>
                <w:lang w:eastAsia="ja-JP"/>
              </w:rPr>
              <w:lastRenderedPageBreak/>
              <w:t>Tableau</w:t>
            </w:r>
            <w:r w:rsidR="00291541">
              <w:rPr>
                <w:rFonts w:asciiTheme="minorHAnsi" w:hAnsiTheme="minorHAnsi"/>
                <w:b/>
                <w:color w:val="FFFFFF" w:themeColor="background1"/>
                <w:sz w:val="20"/>
                <w:szCs w:val="20"/>
                <w:lang w:eastAsia="ja-JP"/>
              </w:rPr>
              <w:t> </w:t>
            </w:r>
            <w:r w:rsidRPr="00A839DD">
              <w:rPr>
                <w:rFonts w:asciiTheme="minorHAnsi" w:hAnsiTheme="minorHAnsi"/>
                <w:b/>
                <w:color w:val="FFFFFF" w:themeColor="background1"/>
                <w:sz w:val="20"/>
                <w:szCs w:val="20"/>
                <w:lang w:eastAsia="ja-JP"/>
              </w:rPr>
              <w:t>6</w:t>
            </w:r>
            <w:r w:rsidRPr="00A839DD">
              <w:rPr>
                <w:rFonts w:asciiTheme="minorHAnsi" w:hAnsiTheme="minorHAnsi"/>
                <w:b/>
                <w:color w:val="FFFFFF" w:themeColor="background1"/>
                <w:sz w:val="20"/>
                <w:szCs w:val="20"/>
                <w:lang w:eastAsia="ja-JP"/>
              </w:rPr>
              <w:br/>
            </w:r>
            <w:r w:rsidRPr="00A839DD">
              <w:rPr>
                <w:rFonts w:asciiTheme="minorHAnsi" w:hAnsiTheme="minorHAnsi"/>
                <w:color w:val="FFFFFF" w:themeColor="background1"/>
                <w:sz w:val="20"/>
                <w:szCs w:val="20"/>
                <w:lang w:eastAsia="ja-JP"/>
              </w:rPr>
              <w:t>Le dévoilement de l’orientation sexuelle et de la transidentité au travail</w:t>
            </w:r>
            <w:r w:rsidR="001701B7" w:rsidRPr="00A839DD">
              <w:rPr>
                <w:rFonts w:asciiTheme="minorHAnsi" w:hAnsiTheme="minorHAnsi"/>
                <w:color w:val="FFFFFF" w:themeColor="background1"/>
                <w:sz w:val="20"/>
                <w:szCs w:val="20"/>
                <w:lang w:eastAsia="ja-JP"/>
              </w:rPr>
              <w:br/>
            </w:r>
            <w:r w:rsidRPr="00A839DD">
              <w:rPr>
                <w:rFonts w:asciiTheme="minorHAnsi" w:hAnsiTheme="minorHAnsi"/>
                <w:color w:val="FFFFFF" w:themeColor="background1"/>
                <w:sz w:val="20"/>
                <w:szCs w:val="20"/>
                <w:lang w:eastAsia="ja-JP"/>
              </w:rPr>
              <w:t xml:space="preserve"> selon le motif dans le corpus pour l’analyse qualitative (199</w:t>
            </w:r>
            <w:r w:rsidR="006C72AF" w:rsidRPr="00A839DD">
              <w:rPr>
                <w:rFonts w:asciiTheme="minorHAnsi" w:hAnsiTheme="minorHAnsi"/>
                <w:color w:val="FFFFFF" w:themeColor="background1"/>
                <w:sz w:val="20"/>
                <w:szCs w:val="20"/>
                <w:lang w:eastAsia="ja-JP"/>
              </w:rPr>
              <w:t>4</w:t>
            </w:r>
            <w:r w:rsidRPr="00A839DD">
              <w:rPr>
                <w:rFonts w:asciiTheme="minorHAnsi" w:hAnsiTheme="minorHAnsi"/>
                <w:color w:val="FFFFFF" w:themeColor="background1"/>
                <w:sz w:val="20"/>
                <w:szCs w:val="20"/>
                <w:lang w:eastAsia="ja-JP"/>
              </w:rPr>
              <w:t xml:space="preserve"> –</w:t>
            </w:r>
            <w:r w:rsidR="00B30485" w:rsidRPr="00A839DD">
              <w:rPr>
                <w:rFonts w:ascii="Arial" w:hAnsi="Arial" w:cs="Arial"/>
                <w:color w:val="FFFFFF" w:themeColor="background1"/>
                <w:sz w:val="20"/>
                <w:szCs w:val="20"/>
                <w:lang w:eastAsia="ja-JP"/>
              </w:rPr>
              <w:t> </w:t>
            </w:r>
            <w:r w:rsidRPr="00A839DD">
              <w:rPr>
                <w:rFonts w:asciiTheme="minorHAnsi" w:hAnsiTheme="minorHAnsi"/>
                <w:color w:val="FFFFFF" w:themeColor="background1"/>
                <w:sz w:val="20"/>
                <w:szCs w:val="20"/>
                <w:lang w:eastAsia="ja-JP"/>
              </w:rPr>
              <w:t>2020)</w:t>
            </w:r>
          </w:p>
        </w:tc>
      </w:tr>
      <w:tr w:rsidR="00AD20BD" w:rsidRPr="00A839DD" w14:paraId="4D3B45E5" w14:textId="77777777" w:rsidTr="00164333">
        <w:trPr>
          <w:trHeight w:val="1284"/>
          <w:jc w:val="center"/>
        </w:trPr>
        <w:tc>
          <w:tcPr>
            <w:tcW w:w="3114" w:type="dxa"/>
            <w:shd w:val="clear" w:color="auto" w:fill="0F243E"/>
            <w:vAlign w:val="center"/>
          </w:tcPr>
          <w:p w14:paraId="25CDBD52" w14:textId="77777777" w:rsidR="00AD20BD" w:rsidRPr="00AD3859" w:rsidRDefault="00AD20BD" w:rsidP="000C7D5D">
            <w:pPr>
              <w:jc w:val="center"/>
              <w:rPr>
                <w:rFonts w:asciiTheme="minorHAnsi" w:hAnsiTheme="minorHAnsi"/>
                <w:b/>
                <w:bCs/>
                <w:color w:val="FFFFFF" w:themeColor="background1"/>
                <w:sz w:val="20"/>
                <w:szCs w:val="20"/>
                <w:lang w:eastAsia="ja-JP"/>
              </w:rPr>
            </w:pPr>
            <w:r w:rsidRPr="00AD3859">
              <w:rPr>
                <w:rFonts w:asciiTheme="minorHAnsi" w:hAnsiTheme="minorHAnsi"/>
                <w:b/>
                <w:bCs/>
                <w:color w:val="FFFFFF" w:themeColor="background1"/>
                <w:sz w:val="20"/>
                <w:szCs w:val="20"/>
                <w:lang w:eastAsia="ja-JP"/>
              </w:rPr>
              <w:t>Dévoilement volontaire de l’orientation sexuelle ou de la transidentité au travail</w:t>
            </w:r>
          </w:p>
        </w:tc>
        <w:tc>
          <w:tcPr>
            <w:tcW w:w="2126" w:type="dxa"/>
            <w:gridSpan w:val="2"/>
            <w:shd w:val="clear" w:color="auto" w:fill="0F243E"/>
            <w:vAlign w:val="center"/>
          </w:tcPr>
          <w:p w14:paraId="60E4B03B" w14:textId="77777777" w:rsidR="00AD20BD" w:rsidRPr="00AD3859" w:rsidRDefault="00AD20BD" w:rsidP="000C7D5D">
            <w:pPr>
              <w:jc w:val="center"/>
              <w:rPr>
                <w:rFonts w:asciiTheme="minorHAnsi" w:hAnsiTheme="minorHAnsi"/>
                <w:b/>
                <w:bCs/>
                <w:color w:val="FFFFFF" w:themeColor="background1"/>
                <w:sz w:val="20"/>
                <w:szCs w:val="20"/>
                <w:lang w:eastAsia="ja-JP"/>
              </w:rPr>
            </w:pPr>
            <w:r w:rsidRPr="00AD3859">
              <w:rPr>
                <w:rFonts w:asciiTheme="minorHAnsi" w:hAnsiTheme="minorHAnsi"/>
                <w:b/>
                <w:bCs/>
                <w:color w:val="FFFFFF" w:themeColor="background1"/>
                <w:sz w:val="20"/>
                <w:szCs w:val="20"/>
                <w:lang w:eastAsia="ja-JP"/>
              </w:rPr>
              <w:t>Deux motifs combinés</w:t>
            </w:r>
          </w:p>
        </w:tc>
        <w:tc>
          <w:tcPr>
            <w:tcW w:w="1985" w:type="dxa"/>
            <w:gridSpan w:val="2"/>
            <w:shd w:val="clear" w:color="auto" w:fill="0F243E"/>
            <w:vAlign w:val="center"/>
          </w:tcPr>
          <w:p w14:paraId="40499F2D" w14:textId="2E43A8CA" w:rsidR="00AD20BD" w:rsidRPr="00AD3859" w:rsidRDefault="00AD20BD" w:rsidP="000C7D5D">
            <w:pPr>
              <w:jc w:val="center"/>
              <w:rPr>
                <w:rFonts w:asciiTheme="minorHAnsi" w:hAnsiTheme="minorHAnsi"/>
                <w:b/>
                <w:bCs/>
                <w:color w:val="FFFFFF" w:themeColor="background1"/>
                <w:sz w:val="20"/>
                <w:szCs w:val="20"/>
                <w:lang w:eastAsia="ja-JP"/>
              </w:rPr>
            </w:pPr>
            <w:r w:rsidRPr="00AD3859">
              <w:rPr>
                <w:rFonts w:asciiTheme="minorHAnsi" w:hAnsiTheme="minorHAnsi"/>
                <w:b/>
                <w:bCs/>
                <w:color w:val="FFFFFF" w:themeColor="background1"/>
                <w:sz w:val="20"/>
                <w:szCs w:val="20"/>
                <w:lang w:eastAsia="ja-JP"/>
              </w:rPr>
              <w:t>Motif «</w:t>
            </w:r>
            <w:r w:rsidR="00DE533D" w:rsidRPr="00AD3859">
              <w:rPr>
                <w:rFonts w:ascii="Arial" w:hAnsi="Arial" w:cs="Arial"/>
                <w:b/>
                <w:bCs/>
                <w:color w:val="FFFFFF" w:themeColor="background1"/>
                <w:sz w:val="20"/>
                <w:szCs w:val="20"/>
                <w:lang w:eastAsia="ja-JP"/>
              </w:rPr>
              <w:t> </w:t>
            </w:r>
            <w:r w:rsidRPr="00AD3859">
              <w:rPr>
                <w:rFonts w:asciiTheme="minorHAnsi" w:hAnsiTheme="minorHAnsi"/>
                <w:b/>
                <w:bCs/>
                <w:color w:val="FFFFFF" w:themeColor="background1"/>
                <w:sz w:val="20"/>
                <w:szCs w:val="20"/>
                <w:lang w:eastAsia="ja-JP"/>
              </w:rPr>
              <w:t>orientation sexuelle</w:t>
            </w:r>
            <w:r w:rsidR="00DE533D" w:rsidRPr="00AD3859">
              <w:rPr>
                <w:rFonts w:ascii="Arial" w:hAnsi="Arial" w:cs="Arial"/>
                <w:b/>
                <w:bCs/>
                <w:color w:val="FFFFFF" w:themeColor="background1"/>
                <w:sz w:val="20"/>
                <w:szCs w:val="20"/>
                <w:lang w:eastAsia="ja-JP"/>
              </w:rPr>
              <w:t> </w:t>
            </w:r>
            <w:r w:rsidRPr="00AD3859">
              <w:rPr>
                <w:rFonts w:asciiTheme="minorHAnsi" w:hAnsiTheme="minorHAnsi"/>
                <w:b/>
                <w:bCs/>
                <w:color w:val="FFFFFF" w:themeColor="background1"/>
                <w:sz w:val="20"/>
                <w:szCs w:val="20"/>
                <w:lang w:eastAsia="ja-JP"/>
              </w:rPr>
              <w:t>»</w:t>
            </w:r>
          </w:p>
        </w:tc>
        <w:tc>
          <w:tcPr>
            <w:tcW w:w="2037" w:type="dxa"/>
            <w:gridSpan w:val="2"/>
            <w:shd w:val="clear" w:color="auto" w:fill="0F243E"/>
            <w:vAlign w:val="center"/>
          </w:tcPr>
          <w:p w14:paraId="636C4FB9" w14:textId="4CAA8519" w:rsidR="00AD20BD" w:rsidRPr="00AD3859" w:rsidRDefault="00AD20BD" w:rsidP="000C7D5D">
            <w:pPr>
              <w:jc w:val="center"/>
              <w:rPr>
                <w:rFonts w:asciiTheme="minorHAnsi" w:hAnsiTheme="minorHAnsi"/>
                <w:b/>
                <w:bCs/>
                <w:color w:val="FFFFFF" w:themeColor="background1"/>
                <w:sz w:val="20"/>
                <w:szCs w:val="20"/>
                <w:lang w:eastAsia="ja-JP"/>
              </w:rPr>
            </w:pPr>
            <w:r w:rsidRPr="00AD3859">
              <w:rPr>
                <w:rFonts w:asciiTheme="minorHAnsi" w:hAnsiTheme="minorHAnsi"/>
                <w:b/>
                <w:bCs/>
                <w:color w:val="FFFFFF" w:themeColor="background1"/>
                <w:sz w:val="20"/>
                <w:szCs w:val="20"/>
                <w:lang w:eastAsia="ja-JP"/>
              </w:rPr>
              <w:t>Motif «</w:t>
            </w:r>
            <w:r w:rsidR="00DE533D" w:rsidRPr="00AD3859">
              <w:rPr>
                <w:rFonts w:ascii="Arial" w:hAnsi="Arial" w:cs="Arial"/>
                <w:b/>
                <w:bCs/>
                <w:color w:val="FFFFFF" w:themeColor="background1"/>
                <w:sz w:val="20"/>
                <w:szCs w:val="20"/>
                <w:lang w:eastAsia="ja-JP"/>
              </w:rPr>
              <w:t> </w:t>
            </w:r>
            <w:r w:rsidRPr="00AD3859">
              <w:rPr>
                <w:rFonts w:asciiTheme="minorHAnsi" w:hAnsiTheme="minorHAnsi"/>
                <w:b/>
                <w:bCs/>
                <w:color w:val="FFFFFF" w:themeColor="background1"/>
                <w:sz w:val="20"/>
                <w:szCs w:val="20"/>
                <w:lang w:eastAsia="ja-JP"/>
              </w:rPr>
              <w:t>identité ou expression de genre</w:t>
            </w:r>
            <w:r w:rsidR="00DE533D" w:rsidRPr="00AD3859">
              <w:rPr>
                <w:rFonts w:ascii="Arial" w:hAnsi="Arial" w:cs="Arial"/>
                <w:b/>
                <w:bCs/>
                <w:color w:val="FFFFFF" w:themeColor="background1"/>
                <w:sz w:val="20"/>
                <w:szCs w:val="20"/>
                <w:lang w:eastAsia="ja-JP"/>
              </w:rPr>
              <w:t> </w:t>
            </w:r>
            <w:r w:rsidRPr="00AD3859">
              <w:rPr>
                <w:rFonts w:asciiTheme="minorHAnsi" w:hAnsiTheme="minorHAnsi"/>
                <w:b/>
                <w:bCs/>
                <w:color w:val="FFFFFF" w:themeColor="background1"/>
                <w:sz w:val="20"/>
                <w:szCs w:val="20"/>
                <w:lang w:eastAsia="ja-JP"/>
              </w:rPr>
              <w:t>»</w:t>
            </w:r>
          </w:p>
        </w:tc>
      </w:tr>
      <w:tr w:rsidR="005B12D8" w:rsidRPr="00A839DD" w14:paraId="6A4E8257" w14:textId="77777777" w:rsidTr="00164333">
        <w:trPr>
          <w:trHeight w:val="263"/>
          <w:jc w:val="center"/>
        </w:trPr>
        <w:tc>
          <w:tcPr>
            <w:tcW w:w="3114" w:type="dxa"/>
            <w:vAlign w:val="center"/>
          </w:tcPr>
          <w:p w14:paraId="75F54C49" w14:textId="77777777" w:rsidR="005B12D8" w:rsidRPr="00A839DD" w:rsidRDefault="005B12D8" w:rsidP="00846991">
            <w:pPr>
              <w:rPr>
                <w:rFonts w:asciiTheme="minorHAnsi" w:hAnsiTheme="minorHAnsi"/>
                <w:sz w:val="20"/>
                <w:szCs w:val="20"/>
                <w:lang w:eastAsia="ja-JP"/>
              </w:rPr>
            </w:pPr>
            <w:r w:rsidRPr="00A839DD">
              <w:rPr>
                <w:rFonts w:asciiTheme="minorHAnsi" w:hAnsiTheme="minorHAnsi"/>
                <w:sz w:val="20"/>
                <w:szCs w:val="20"/>
                <w:lang w:eastAsia="ja-JP"/>
              </w:rPr>
              <w:t>Oui</w:t>
            </w:r>
          </w:p>
        </w:tc>
        <w:tc>
          <w:tcPr>
            <w:tcW w:w="992" w:type="dxa"/>
            <w:vAlign w:val="center"/>
          </w:tcPr>
          <w:p w14:paraId="534C1EB0"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50</w:t>
            </w:r>
          </w:p>
        </w:tc>
        <w:tc>
          <w:tcPr>
            <w:tcW w:w="1134" w:type="dxa"/>
            <w:vAlign w:val="center"/>
          </w:tcPr>
          <w:p w14:paraId="5E7C9483" w14:textId="3DE0F9EA" w:rsidR="005B12D8" w:rsidRPr="00A839DD" w:rsidRDefault="00ED451D" w:rsidP="000C7D5D">
            <w:pPr>
              <w:jc w:val="center"/>
              <w:rPr>
                <w:rFonts w:asciiTheme="minorHAnsi" w:hAnsiTheme="minorHAnsi"/>
                <w:sz w:val="20"/>
                <w:szCs w:val="20"/>
                <w:lang w:eastAsia="ja-JP"/>
              </w:rPr>
            </w:pPr>
            <w:r w:rsidRPr="00A839DD">
              <w:rPr>
                <w:rFonts w:asciiTheme="minorHAnsi" w:hAnsiTheme="minorHAnsi"/>
                <w:sz w:val="20"/>
                <w:szCs w:val="20"/>
                <w:lang w:eastAsia="ja-JP"/>
              </w:rPr>
              <w:t>24,9</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vAlign w:val="center"/>
          </w:tcPr>
          <w:p w14:paraId="277B8259"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42</w:t>
            </w:r>
          </w:p>
        </w:tc>
        <w:tc>
          <w:tcPr>
            <w:tcW w:w="993" w:type="dxa"/>
            <w:vAlign w:val="center"/>
          </w:tcPr>
          <w:p w14:paraId="6C5A5980" w14:textId="0B42EB19" w:rsidR="005B12D8" w:rsidRPr="00A839DD" w:rsidRDefault="00155195" w:rsidP="000C7D5D">
            <w:pPr>
              <w:jc w:val="center"/>
              <w:rPr>
                <w:rFonts w:asciiTheme="minorHAnsi" w:hAnsiTheme="minorHAnsi"/>
                <w:sz w:val="20"/>
                <w:szCs w:val="20"/>
                <w:lang w:eastAsia="ja-JP"/>
              </w:rPr>
            </w:pPr>
            <w:r w:rsidRPr="00A839DD">
              <w:rPr>
                <w:rFonts w:asciiTheme="minorHAnsi" w:hAnsiTheme="minorHAnsi"/>
                <w:sz w:val="20"/>
                <w:szCs w:val="20"/>
                <w:lang w:eastAsia="ja-JP"/>
              </w:rPr>
              <w:t>25,6</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vAlign w:val="center"/>
          </w:tcPr>
          <w:p w14:paraId="25CB5B64"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8</w:t>
            </w:r>
          </w:p>
        </w:tc>
        <w:tc>
          <w:tcPr>
            <w:tcW w:w="1045" w:type="dxa"/>
            <w:vAlign w:val="center"/>
          </w:tcPr>
          <w:p w14:paraId="612883A0" w14:textId="72C6C700" w:rsidR="005B12D8" w:rsidRPr="00A839DD" w:rsidRDefault="00762514" w:rsidP="000C7D5D">
            <w:pPr>
              <w:jc w:val="center"/>
              <w:rPr>
                <w:rFonts w:asciiTheme="minorHAnsi" w:hAnsiTheme="minorHAnsi"/>
                <w:sz w:val="20"/>
                <w:szCs w:val="20"/>
                <w:lang w:eastAsia="ja-JP"/>
              </w:rPr>
            </w:pPr>
            <w:r w:rsidRPr="00A839DD">
              <w:rPr>
                <w:rFonts w:asciiTheme="minorHAnsi" w:hAnsiTheme="minorHAnsi"/>
                <w:sz w:val="20"/>
                <w:szCs w:val="20"/>
                <w:lang w:eastAsia="ja-JP"/>
              </w:rPr>
              <w:t>21,6</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r>
      <w:tr w:rsidR="005B12D8" w:rsidRPr="00A839DD" w14:paraId="0605EA90" w14:textId="77777777" w:rsidTr="00164333">
        <w:trPr>
          <w:trHeight w:val="515"/>
          <w:jc w:val="center"/>
        </w:trPr>
        <w:tc>
          <w:tcPr>
            <w:tcW w:w="3114" w:type="dxa"/>
            <w:shd w:val="clear" w:color="auto" w:fill="E3ECF9"/>
            <w:vAlign w:val="center"/>
          </w:tcPr>
          <w:p w14:paraId="60EB2F0D" w14:textId="77777777" w:rsidR="005B12D8" w:rsidRPr="00A839DD" w:rsidRDefault="005B12D8" w:rsidP="00846991">
            <w:pPr>
              <w:rPr>
                <w:rFonts w:asciiTheme="minorHAnsi" w:hAnsiTheme="minorHAnsi"/>
                <w:sz w:val="20"/>
                <w:szCs w:val="20"/>
                <w:lang w:eastAsia="ja-JP"/>
              </w:rPr>
            </w:pPr>
            <w:r w:rsidRPr="00A839DD">
              <w:rPr>
                <w:rFonts w:asciiTheme="minorHAnsi" w:hAnsiTheme="minorHAnsi"/>
                <w:sz w:val="20"/>
                <w:szCs w:val="20"/>
                <w:lang w:eastAsia="ja-JP"/>
              </w:rPr>
              <w:t>Oui, auprès d’une ou quelques personnes</w:t>
            </w:r>
          </w:p>
        </w:tc>
        <w:tc>
          <w:tcPr>
            <w:tcW w:w="992" w:type="dxa"/>
            <w:shd w:val="clear" w:color="auto" w:fill="E3ECF9"/>
            <w:vAlign w:val="center"/>
          </w:tcPr>
          <w:p w14:paraId="1FCBEE4E"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13</w:t>
            </w:r>
          </w:p>
        </w:tc>
        <w:tc>
          <w:tcPr>
            <w:tcW w:w="1134" w:type="dxa"/>
            <w:shd w:val="clear" w:color="auto" w:fill="E3ECF9"/>
            <w:vAlign w:val="center"/>
          </w:tcPr>
          <w:p w14:paraId="3978F1B2" w14:textId="343B221B" w:rsidR="005B12D8" w:rsidRPr="00A839DD" w:rsidRDefault="00155195" w:rsidP="000C7D5D">
            <w:pPr>
              <w:jc w:val="center"/>
              <w:rPr>
                <w:rFonts w:asciiTheme="minorHAnsi" w:hAnsiTheme="minorHAnsi"/>
                <w:sz w:val="20"/>
                <w:szCs w:val="20"/>
                <w:lang w:eastAsia="ja-JP"/>
              </w:rPr>
            </w:pPr>
            <w:r w:rsidRPr="00A839DD">
              <w:rPr>
                <w:rFonts w:asciiTheme="minorHAnsi" w:hAnsiTheme="minorHAnsi"/>
                <w:sz w:val="20"/>
                <w:szCs w:val="20"/>
                <w:lang w:eastAsia="ja-JP"/>
              </w:rPr>
              <w:t>6,5</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shd w:val="clear" w:color="auto" w:fill="E3ECF9"/>
            <w:vAlign w:val="center"/>
          </w:tcPr>
          <w:p w14:paraId="203FC5F2"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12</w:t>
            </w:r>
          </w:p>
        </w:tc>
        <w:tc>
          <w:tcPr>
            <w:tcW w:w="993" w:type="dxa"/>
            <w:shd w:val="clear" w:color="auto" w:fill="E3ECF9"/>
            <w:vAlign w:val="center"/>
          </w:tcPr>
          <w:p w14:paraId="6FDD09AF" w14:textId="782B135D" w:rsidR="005B12D8" w:rsidRPr="00A839DD" w:rsidRDefault="009A49E9" w:rsidP="000C7D5D">
            <w:pPr>
              <w:jc w:val="center"/>
              <w:rPr>
                <w:rFonts w:asciiTheme="minorHAnsi" w:hAnsiTheme="minorHAnsi"/>
                <w:sz w:val="20"/>
                <w:szCs w:val="20"/>
                <w:lang w:eastAsia="ja-JP"/>
              </w:rPr>
            </w:pPr>
            <w:r w:rsidRPr="00A839DD">
              <w:rPr>
                <w:rFonts w:asciiTheme="minorHAnsi" w:hAnsiTheme="minorHAnsi"/>
                <w:sz w:val="20"/>
                <w:szCs w:val="20"/>
                <w:lang w:eastAsia="ja-JP"/>
              </w:rPr>
              <w:t>7,3</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shd w:val="clear" w:color="auto" w:fill="E3ECF9"/>
            <w:vAlign w:val="center"/>
          </w:tcPr>
          <w:p w14:paraId="021DB295"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1</w:t>
            </w:r>
          </w:p>
        </w:tc>
        <w:tc>
          <w:tcPr>
            <w:tcW w:w="1045" w:type="dxa"/>
            <w:shd w:val="clear" w:color="auto" w:fill="E3ECF9"/>
            <w:vAlign w:val="center"/>
          </w:tcPr>
          <w:p w14:paraId="0DC97E7B" w14:textId="48A48A58" w:rsidR="005B12D8" w:rsidRPr="00A839DD" w:rsidRDefault="00574805" w:rsidP="000C7D5D">
            <w:pPr>
              <w:jc w:val="center"/>
              <w:rPr>
                <w:rFonts w:asciiTheme="minorHAnsi" w:hAnsiTheme="minorHAnsi"/>
                <w:sz w:val="20"/>
                <w:szCs w:val="20"/>
                <w:lang w:eastAsia="ja-JP"/>
              </w:rPr>
            </w:pPr>
            <w:r w:rsidRPr="00A839DD">
              <w:rPr>
                <w:rFonts w:asciiTheme="minorHAnsi" w:hAnsiTheme="minorHAnsi"/>
                <w:sz w:val="20"/>
                <w:szCs w:val="20"/>
                <w:lang w:eastAsia="ja-JP"/>
              </w:rPr>
              <w:t>2,7</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r>
      <w:tr w:rsidR="005B12D8" w:rsidRPr="00A839DD" w14:paraId="08F85BF9" w14:textId="77777777" w:rsidTr="00164333">
        <w:trPr>
          <w:trHeight w:val="504"/>
          <w:jc w:val="center"/>
        </w:trPr>
        <w:tc>
          <w:tcPr>
            <w:tcW w:w="3114" w:type="dxa"/>
            <w:vAlign w:val="center"/>
          </w:tcPr>
          <w:p w14:paraId="2C043A6E" w14:textId="77777777" w:rsidR="005B12D8" w:rsidRPr="00A839DD" w:rsidRDefault="005B12D8" w:rsidP="00846991">
            <w:pPr>
              <w:rPr>
                <w:rFonts w:asciiTheme="minorHAnsi" w:hAnsiTheme="minorHAnsi"/>
                <w:sz w:val="20"/>
                <w:szCs w:val="20"/>
                <w:lang w:eastAsia="ja-JP"/>
              </w:rPr>
            </w:pPr>
            <w:r w:rsidRPr="00A839DD">
              <w:rPr>
                <w:rFonts w:asciiTheme="minorHAnsi" w:hAnsiTheme="minorHAnsi"/>
                <w:sz w:val="20"/>
                <w:szCs w:val="20"/>
                <w:lang w:eastAsia="ja-JP"/>
              </w:rPr>
              <w:t>Oui, auprès de la direction</w:t>
            </w:r>
          </w:p>
        </w:tc>
        <w:tc>
          <w:tcPr>
            <w:tcW w:w="992" w:type="dxa"/>
            <w:vAlign w:val="center"/>
          </w:tcPr>
          <w:p w14:paraId="7F5E9A91"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2</w:t>
            </w:r>
          </w:p>
        </w:tc>
        <w:tc>
          <w:tcPr>
            <w:tcW w:w="1134" w:type="dxa"/>
            <w:vAlign w:val="center"/>
          </w:tcPr>
          <w:p w14:paraId="39425691" w14:textId="478E3274" w:rsidR="005B12D8" w:rsidRPr="00A839DD" w:rsidRDefault="00155195" w:rsidP="000C7D5D">
            <w:pPr>
              <w:jc w:val="center"/>
              <w:rPr>
                <w:rFonts w:asciiTheme="minorHAnsi" w:hAnsiTheme="minorHAnsi"/>
                <w:sz w:val="20"/>
                <w:szCs w:val="20"/>
                <w:lang w:eastAsia="ja-JP"/>
              </w:rPr>
            </w:pPr>
            <w:r w:rsidRPr="00A839DD">
              <w:rPr>
                <w:rFonts w:asciiTheme="minorHAnsi" w:hAnsiTheme="minorHAnsi"/>
                <w:sz w:val="20"/>
                <w:szCs w:val="20"/>
                <w:lang w:eastAsia="ja-JP"/>
              </w:rPr>
              <w:t>1,0</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vAlign w:val="center"/>
          </w:tcPr>
          <w:p w14:paraId="38AC0F39"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0</w:t>
            </w:r>
          </w:p>
        </w:tc>
        <w:tc>
          <w:tcPr>
            <w:tcW w:w="993" w:type="dxa"/>
            <w:vAlign w:val="center"/>
          </w:tcPr>
          <w:p w14:paraId="40FFD2E4" w14:textId="67F271B3" w:rsidR="005B12D8" w:rsidRPr="00A839DD" w:rsidRDefault="009A49E9" w:rsidP="000C7D5D">
            <w:pPr>
              <w:jc w:val="center"/>
              <w:rPr>
                <w:rFonts w:asciiTheme="minorHAnsi" w:hAnsiTheme="minorHAnsi"/>
                <w:sz w:val="20"/>
                <w:szCs w:val="20"/>
                <w:lang w:eastAsia="ja-JP"/>
              </w:rPr>
            </w:pPr>
            <w:r w:rsidRPr="00A839DD">
              <w:rPr>
                <w:rFonts w:asciiTheme="minorHAnsi" w:hAnsiTheme="minorHAnsi"/>
                <w:sz w:val="20"/>
                <w:szCs w:val="20"/>
                <w:lang w:eastAsia="ja-JP"/>
              </w:rPr>
              <w:t>0</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vAlign w:val="center"/>
          </w:tcPr>
          <w:p w14:paraId="79BFC847"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2</w:t>
            </w:r>
          </w:p>
        </w:tc>
        <w:tc>
          <w:tcPr>
            <w:tcW w:w="1045" w:type="dxa"/>
            <w:vAlign w:val="center"/>
          </w:tcPr>
          <w:p w14:paraId="314A42FB" w14:textId="4A931585" w:rsidR="005B12D8" w:rsidRPr="00A839DD" w:rsidRDefault="00574805" w:rsidP="000C7D5D">
            <w:pPr>
              <w:jc w:val="center"/>
              <w:rPr>
                <w:rFonts w:asciiTheme="minorHAnsi" w:hAnsiTheme="minorHAnsi"/>
                <w:sz w:val="20"/>
                <w:szCs w:val="20"/>
                <w:lang w:eastAsia="ja-JP"/>
              </w:rPr>
            </w:pPr>
            <w:r w:rsidRPr="00A839DD">
              <w:rPr>
                <w:rFonts w:asciiTheme="minorHAnsi" w:hAnsiTheme="minorHAnsi"/>
                <w:sz w:val="20"/>
                <w:szCs w:val="20"/>
                <w:lang w:eastAsia="ja-JP"/>
              </w:rPr>
              <w:t>5,4</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r>
      <w:tr w:rsidR="005B12D8" w:rsidRPr="00A839DD" w14:paraId="7E318EFF" w14:textId="77777777" w:rsidTr="00164333">
        <w:trPr>
          <w:trHeight w:val="263"/>
          <w:jc w:val="center"/>
        </w:trPr>
        <w:tc>
          <w:tcPr>
            <w:tcW w:w="3114" w:type="dxa"/>
            <w:shd w:val="clear" w:color="auto" w:fill="E3ECF9"/>
            <w:vAlign w:val="center"/>
          </w:tcPr>
          <w:p w14:paraId="3AED0931" w14:textId="77777777" w:rsidR="005B12D8" w:rsidRPr="00A839DD" w:rsidRDefault="005B12D8" w:rsidP="00846991">
            <w:pPr>
              <w:rPr>
                <w:rFonts w:asciiTheme="minorHAnsi" w:hAnsiTheme="minorHAnsi"/>
                <w:sz w:val="20"/>
                <w:szCs w:val="20"/>
                <w:lang w:eastAsia="ja-JP"/>
              </w:rPr>
            </w:pPr>
            <w:r w:rsidRPr="00A839DD">
              <w:rPr>
                <w:rFonts w:asciiTheme="minorHAnsi" w:hAnsiTheme="minorHAnsi"/>
                <w:sz w:val="20"/>
                <w:szCs w:val="20"/>
                <w:lang w:eastAsia="ja-JP"/>
              </w:rPr>
              <w:t>Non</w:t>
            </w:r>
          </w:p>
        </w:tc>
        <w:tc>
          <w:tcPr>
            <w:tcW w:w="992" w:type="dxa"/>
            <w:shd w:val="clear" w:color="auto" w:fill="E3ECF9"/>
            <w:vAlign w:val="center"/>
          </w:tcPr>
          <w:p w14:paraId="23B57833"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50</w:t>
            </w:r>
          </w:p>
        </w:tc>
        <w:tc>
          <w:tcPr>
            <w:tcW w:w="1134" w:type="dxa"/>
            <w:shd w:val="clear" w:color="auto" w:fill="E3ECF9"/>
            <w:vAlign w:val="center"/>
          </w:tcPr>
          <w:p w14:paraId="32867D4F" w14:textId="2462A14A" w:rsidR="005B12D8" w:rsidRPr="00A839DD" w:rsidRDefault="00155195" w:rsidP="000C7D5D">
            <w:pPr>
              <w:jc w:val="center"/>
              <w:rPr>
                <w:rFonts w:asciiTheme="minorHAnsi" w:hAnsiTheme="minorHAnsi"/>
                <w:sz w:val="20"/>
                <w:szCs w:val="20"/>
                <w:lang w:eastAsia="ja-JP"/>
              </w:rPr>
            </w:pPr>
            <w:r w:rsidRPr="00A839DD">
              <w:rPr>
                <w:rFonts w:asciiTheme="minorHAnsi" w:hAnsiTheme="minorHAnsi"/>
                <w:sz w:val="20"/>
                <w:szCs w:val="20"/>
                <w:lang w:eastAsia="ja-JP"/>
              </w:rPr>
              <w:t>24,9</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shd w:val="clear" w:color="auto" w:fill="E3ECF9"/>
            <w:vAlign w:val="center"/>
          </w:tcPr>
          <w:p w14:paraId="51560216"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38</w:t>
            </w:r>
          </w:p>
        </w:tc>
        <w:tc>
          <w:tcPr>
            <w:tcW w:w="993" w:type="dxa"/>
            <w:shd w:val="clear" w:color="auto" w:fill="E3ECF9"/>
            <w:vAlign w:val="center"/>
          </w:tcPr>
          <w:p w14:paraId="6C8217BD" w14:textId="7E97C89B" w:rsidR="005B12D8" w:rsidRPr="00A839DD" w:rsidRDefault="009A49E9" w:rsidP="000C7D5D">
            <w:pPr>
              <w:jc w:val="center"/>
              <w:rPr>
                <w:rFonts w:asciiTheme="minorHAnsi" w:hAnsiTheme="minorHAnsi"/>
                <w:sz w:val="20"/>
                <w:szCs w:val="20"/>
                <w:lang w:eastAsia="ja-JP"/>
              </w:rPr>
            </w:pPr>
            <w:r w:rsidRPr="00A839DD">
              <w:rPr>
                <w:rFonts w:asciiTheme="minorHAnsi" w:hAnsiTheme="minorHAnsi"/>
                <w:sz w:val="20"/>
                <w:szCs w:val="20"/>
                <w:lang w:eastAsia="ja-JP"/>
              </w:rPr>
              <w:t>23,2</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shd w:val="clear" w:color="auto" w:fill="E3ECF9"/>
            <w:vAlign w:val="center"/>
          </w:tcPr>
          <w:p w14:paraId="5E39D192"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12</w:t>
            </w:r>
          </w:p>
        </w:tc>
        <w:tc>
          <w:tcPr>
            <w:tcW w:w="1045" w:type="dxa"/>
            <w:shd w:val="clear" w:color="auto" w:fill="E3ECF9"/>
            <w:vAlign w:val="center"/>
          </w:tcPr>
          <w:p w14:paraId="55D597E8" w14:textId="00D9AE73" w:rsidR="005B12D8" w:rsidRPr="00A839DD" w:rsidRDefault="00574805" w:rsidP="000C7D5D">
            <w:pPr>
              <w:jc w:val="center"/>
              <w:rPr>
                <w:rFonts w:asciiTheme="minorHAnsi" w:hAnsiTheme="minorHAnsi"/>
                <w:sz w:val="20"/>
                <w:szCs w:val="20"/>
                <w:lang w:eastAsia="ja-JP"/>
              </w:rPr>
            </w:pPr>
            <w:r w:rsidRPr="00A839DD">
              <w:rPr>
                <w:rFonts w:asciiTheme="minorHAnsi" w:hAnsiTheme="minorHAnsi"/>
                <w:sz w:val="20"/>
                <w:szCs w:val="20"/>
                <w:lang w:eastAsia="ja-JP"/>
              </w:rPr>
              <w:t>32,4</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r>
      <w:tr w:rsidR="005B12D8" w:rsidRPr="00A839DD" w14:paraId="536ACBDD" w14:textId="77777777" w:rsidTr="00164333">
        <w:trPr>
          <w:trHeight w:val="251"/>
          <w:jc w:val="center"/>
        </w:trPr>
        <w:tc>
          <w:tcPr>
            <w:tcW w:w="3114" w:type="dxa"/>
            <w:vAlign w:val="center"/>
          </w:tcPr>
          <w:p w14:paraId="4E47C62B" w14:textId="77777777" w:rsidR="005B12D8" w:rsidRPr="00A839DD" w:rsidRDefault="005B12D8" w:rsidP="00846991">
            <w:pPr>
              <w:rPr>
                <w:rFonts w:asciiTheme="minorHAnsi" w:hAnsiTheme="minorHAnsi"/>
                <w:sz w:val="20"/>
                <w:szCs w:val="20"/>
                <w:lang w:eastAsia="ja-JP"/>
              </w:rPr>
            </w:pPr>
            <w:r w:rsidRPr="00A839DD">
              <w:rPr>
                <w:rFonts w:asciiTheme="minorHAnsi" w:hAnsiTheme="minorHAnsi"/>
                <w:sz w:val="20"/>
                <w:szCs w:val="20"/>
                <w:lang w:eastAsia="ja-JP"/>
              </w:rPr>
              <w:t>Non mentionné</w:t>
            </w:r>
          </w:p>
        </w:tc>
        <w:tc>
          <w:tcPr>
            <w:tcW w:w="992" w:type="dxa"/>
            <w:vAlign w:val="center"/>
          </w:tcPr>
          <w:p w14:paraId="241E149F"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84</w:t>
            </w:r>
          </w:p>
        </w:tc>
        <w:tc>
          <w:tcPr>
            <w:tcW w:w="1134" w:type="dxa"/>
            <w:vAlign w:val="center"/>
          </w:tcPr>
          <w:p w14:paraId="328A5170" w14:textId="16EA3625" w:rsidR="005B12D8" w:rsidRPr="00A839DD" w:rsidRDefault="00155195" w:rsidP="000C7D5D">
            <w:pPr>
              <w:jc w:val="center"/>
              <w:rPr>
                <w:rFonts w:asciiTheme="minorHAnsi" w:hAnsiTheme="minorHAnsi"/>
                <w:sz w:val="20"/>
                <w:szCs w:val="20"/>
                <w:lang w:eastAsia="ja-JP"/>
              </w:rPr>
            </w:pPr>
            <w:r w:rsidRPr="00A839DD">
              <w:rPr>
                <w:rFonts w:asciiTheme="minorHAnsi" w:hAnsiTheme="minorHAnsi"/>
                <w:sz w:val="20"/>
                <w:szCs w:val="20"/>
                <w:lang w:eastAsia="ja-JP"/>
              </w:rPr>
              <w:t>41,8</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vAlign w:val="center"/>
          </w:tcPr>
          <w:p w14:paraId="70B9D4B5"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71</w:t>
            </w:r>
          </w:p>
        </w:tc>
        <w:tc>
          <w:tcPr>
            <w:tcW w:w="993" w:type="dxa"/>
            <w:vAlign w:val="center"/>
          </w:tcPr>
          <w:p w14:paraId="7F630C27" w14:textId="5A5097D0" w:rsidR="005B12D8" w:rsidRPr="00A839DD" w:rsidRDefault="009A49E9" w:rsidP="000C7D5D">
            <w:pPr>
              <w:jc w:val="center"/>
              <w:rPr>
                <w:rFonts w:asciiTheme="minorHAnsi" w:hAnsiTheme="minorHAnsi"/>
                <w:sz w:val="20"/>
                <w:szCs w:val="20"/>
                <w:lang w:eastAsia="ja-JP"/>
              </w:rPr>
            </w:pPr>
            <w:r w:rsidRPr="00A839DD">
              <w:rPr>
                <w:rFonts w:asciiTheme="minorHAnsi" w:hAnsiTheme="minorHAnsi"/>
                <w:sz w:val="20"/>
                <w:szCs w:val="20"/>
                <w:lang w:eastAsia="ja-JP"/>
              </w:rPr>
              <w:t>43,3</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vAlign w:val="center"/>
          </w:tcPr>
          <w:p w14:paraId="07677FA7"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13</w:t>
            </w:r>
          </w:p>
        </w:tc>
        <w:tc>
          <w:tcPr>
            <w:tcW w:w="1045" w:type="dxa"/>
            <w:vAlign w:val="center"/>
          </w:tcPr>
          <w:p w14:paraId="15D6258A" w14:textId="18AFF205" w:rsidR="005B12D8" w:rsidRPr="00A839DD" w:rsidRDefault="00574805" w:rsidP="000C7D5D">
            <w:pPr>
              <w:jc w:val="center"/>
              <w:rPr>
                <w:rFonts w:asciiTheme="minorHAnsi" w:hAnsiTheme="minorHAnsi"/>
                <w:sz w:val="20"/>
                <w:szCs w:val="20"/>
                <w:lang w:eastAsia="ja-JP"/>
              </w:rPr>
            </w:pPr>
            <w:r w:rsidRPr="00A839DD">
              <w:rPr>
                <w:rFonts w:asciiTheme="minorHAnsi" w:hAnsiTheme="minorHAnsi"/>
                <w:sz w:val="20"/>
                <w:szCs w:val="20"/>
                <w:lang w:eastAsia="ja-JP"/>
              </w:rPr>
              <w:t>35,1</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r>
      <w:tr w:rsidR="005B12D8" w:rsidRPr="00A839DD" w14:paraId="57FFF9D9" w14:textId="77777777" w:rsidTr="00164333">
        <w:trPr>
          <w:trHeight w:val="437"/>
          <w:jc w:val="center"/>
        </w:trPr>
        <w:tc>
          <w:tcPr>
            <w:tcW w:w="3114" w:type="dxa"/>
            <w:shd w:val="clear" w:color="auto" w:fill="E3ECF9"/>
            <w:vAlign w:val="center"/>
          </w:tcPr>
          <w:p w14:paraId="431BC7FC" w14:textId="77777777" w:rsidR="005B12D8" w:rsidRPr="00A839DD" w:rsidRDefault="005B12D8" w:rsidP="00846991">
            <w:pPr>
              <w:rPr>
                <w:rFonts w:asciiTheme="minorHAnsi" w:hAnsiTheme="minorHAnsi"/>
                <w:sz w:val="20"/>
                <w:szCs w:val="20"/>
                <w:lang w:eastAsia="ja-JP"/>
              </w:rPr>
            </w:pPr>
            <w:r w:rsidRPr="00A839DD">
              <w:rPr>
                <w:rFonts w:asciiTheme="minorHAnsi" w:hAnsiTheme="minorHAnsi"/>
                <w:sz w:val="20"/>
                <w:szCs w:val="20"/>
                <w:lang w:eastAsia="ja-JP"/>
              </w:rPr>
              <w:t>Non applicable</w:t>
            </w:r>
          </w:p>
        </w:tc>
        <w:tc>
          <w:tcPr>
            <w:tcW w:w="992" w:type="dxa"/>
            <w:shd w:val="clear" w:color="auto" w:fill="E3ECF9"/>
            <w:vAlign w:val="center"/>
          </w:tcPr>
          <w:p w14:paraId="08CBDB0C"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2</w:t>
            </w:r>
          </w:p>
        </w:tc>
        <w:tc>
          <w:tcPr>
            <w:tcW w:w="1134" w:type="dxa"/>
            <w:shd w:val="clear" w:color="auto" w:fill="E3ECF9"/>
            <w:vAlign w:val="center"/>
          </w:tcPr>
          <w:p w14:paraId="1BD3DB33" w14:textId="43351F6B" w:rsidR="005B12D8" w:rsidRPr="00A839DD" w:rsidRDefault="00155195" w:rsidP="000C7D5D">
            <w:pPr>
              <w:jc w:val="center"/>
              <w:rPr>
                <w:rFonts w:asciiTheme="minorHAnsi" w:hAnsiTheme="minorHAnsi"/>
                <w:sz w:val="20"/>
                <w:szCs w:val="20"/>
                <w:lang w:eastAsia="ja-JP"/>
              </w:rPr>
            </w:pPr>
            <w:r w:rsidRPr="00A839DD">
              <w:rPr>
                <w:rFonts w:asciiTheme="minorHAnsi" w:hAnsiTheme="minorHAnsi"/>
                <w:sz w:val="20"/>
                <w:szCs w:val="20"/>
                <w:lang w:eastAsia="ja-JP"/>
              </w:rPr>
              <w:t>1,0</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shd w:val="clear" w:color="auto" w:fill="E3ECF9"/>
            <w:vAlign w:val="center"/>
          </w:tcPr>
          <w:p w14:paraId="32BE530C"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1</w:t>
            </w:r>
          </w:p>
        </w:tc>
        <w:tc>
          <w:tcPr>
            <w:tcW w:w="993" w:type="dxa"/>
            <w:shd w:val="clear" w:color="auto" w:fill="E3ECF9"/>
            <w:vAlign w:val="center"/>
          </w:tcPr>
          <w:p w14:paraId="298D0666" w14:textId="5D0C7A4E" w:rsidR="005B12D8" w:rsidRPr="00A839DD" w:rsidRDefault="009A49E9" w:rsidP="000C7D5D">
            <w:pPr>
              <w:jc w:val="center"/>
              <w:rPr>
                <w:rFonts w:asciiTheme="minorHAnsi" w:hAnsiTheme="minorHAnsi"/>
                <w:sz w:val="20"/>
                <w:szCs w:val="20"/>
                <w:lang w:eastAsia="ja-JP"/>
              </w:rPr>
            </w:pPr>
            <w:r w:rsidRPr="00A839DD">
              <w:rPr>
                <w:rFonts w:asciiTheme="minorHAnsi" w:hAnsiTheme="minorHAnsi"/>
                <w:sz w:val="20"/>
                <w:szCs w:val="20"/>
                <w:lang w:eastAsia="ja-JP"/>
              </w:rPr>
              <w:t>0,6</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c>
          <w:tcPr>
            <w:tcW w:w="992" w:type="dxa"/>
            <w:shd w:val="clear" w:color="auto" w:fill="E3ECF9"/>
            <w:vAlign w:val="center"/>
          </w:tcPr>
          <w:p w14:paraId="4D5A85B9" w14:textId="77777777" w:rsidR="005B12D8" w:rsidRPr="00A839DD" w:rsidRDefault="005B12D8" w:rsidP="000C7D5D">
            <w:pPr>
              <w:jc w:val="center"/>
              <w:rPr>
                <w:rFonts w:asciiTheme="minorHAnsi" w:hAnsiTheme="minorHAnsi"/>
                <w:sz w:val="20"/>
                <w:szCs w:val="20"/>
                <w:lang w:eastAsia="ja-JP"/>
              </w:rPr>
            </w:pPr>
            <w:r w:rsidRPr="00A839DD">
              <w:rPr>
                <w:rFonts w:asciiTheme="minorHAnsi" w:hAnsiTheme="minorHAnsi"/>
                <w:sz w:val="20"/>
                <w:szCs w:val="20"/>
                <w:lang w:eastAsia="ja-JP"/>
              </w:rPr>
              <w:t>1</w:t>
            </w:r>
          </w:p>
        </w:tc>
        <w:tc>
          <w:tcPr>
            <w:tcW w:w="1045" w:type="dxa"/>
            <w:shd w:val="clear" w:color="auto" w:fill="E3ECF9"/>
            <w:vAlign w:val="center"/>
          </w:tcPr>
          <w:p w14:paraId="223B4CDA" w14:textId="62183EDD" w:rsidR="005B12D8" w:rsidRPr="00A839DD" w:rsidRDefault="00574805" w:rsidP="000C7D5D">
            <w:pPr>
              <w:jc w:val="center"/>
              <w:rPr>
                <w:rFonts w:asciiTheme="minorHAnsi" w:hAnsiTheme="minorHAnsi"/>
                <w:sz w:val="20"/>
                <w:szCs w:val="20"/>
                <w:lang w:eastAsia="ja-JP"/>
              </w:rPr>
            </w:pPr>
            <w:r w:rsidRPr="00A839DD">
              <w:rPr>
                <w:rFonts w:asciiTheme="minorHAnsi" w:hAnsiTheme="minorHAnsi"/>
                <w:sz w:val="20"/>
                <w:szCs w:val="20"/>
                <w:lang w:eastAsia="ja-JP"/>
              </w:rPr>
              <w:t>2,7</w:t>
            </w:r>
            <w:r w:rsidR="00D228CF">
              <w:rPr>
                <w:rFonts w:asciiTheme="minorHAnsi" w:hAnsiTheme="minorHAnsi"/>
                <w:sz w:val="20"/>
                <w:szCs w:val="20"/>
                <w:lang w:eastAsia="ja-JP"/>
              </w:rPr>
              <w:t> </w:t>
            </w:r>
            <w:r w:rsidRPr="00A839DD">
              <w:rPr>
                <w:rFonts w:asciiTheme="minorHAnsi" w:hAnsiTheme="minorHAnsi"/>
                <w:sz w:val="20"/>
                <w:szCs w:val="20"/>
                <w:lang w:eastAsia="ja-JP"/>
              </w:rPr>
              <w:t>%</w:t>
            </w:r>
          </w:p>
        </w:tc>
      </w:tr>
      <w:tr w:rsidR="005B12D8" w:rsidRPr="00A839DD" w14:paraId="41F07645" w14:textId="77777777" w:rsidTr="00164333">
        <w:trPr>
          <w:trHeight w:val="379"/>
          <w:jc w:val="center"/>
        </w:trPr>
        <w:tc>
          <w:tcPr>
            <w:tcW w:w="3114" w:type="dxa"/>
            <w:vAlign w:val="center"/>
          </w:tcPr>
          <w:p w14:paraId="1220CB95" w14:textId="77777777" w:rsidR="005B12D8" w:rsidRPr="00A839DD" w:rsidRDefault="005B12D8" w:rsidP="00846991">
            <w:pPr>
              <w:rPr>
                <w:rFonts w:asciiTheme="minorHAnsi" w:hAnsiTheme="minorHAnsi"/>
                <w:b/>
                <w:bCs/>
                <w:sz w:val="20"/>
                <w:szCs w:val="20"/>
                <w:lang w:eastAsia="ja-JP"/>
              </w:rPr>
            </w:pPr>
            <w:r w:rsidRPr="00A839DD">
              <w:rPr>
                <w:rFonts w:asciiTheme="minorHAnsi" w:hAnsiTheme="minorHAnsi"/>
                <w:b/>
                <w:bCs/>
                <w:sz w:val="20"/>
                <w:szCs w:val="20"/>
                <w:lang w:eastAsia="ja-JP"/>
              </w:rPr>
              <w:t>Total</w:t>
            </w:r>
          </w:p>
        </w:tc>
        <w:tc>
          <w:tcPr>
            <w:tcW w:w="992" w:type="dxa"/>
            <w:vAlign w:val="center"/>
          </w:tcPr>
          <w:p w14:paraId="7CFA75E0" w14:textId="77777777" w:rsidR="005B12D8" w:rsidRPr="00A839DD" w:rsidRDefault="005B12D8" w:rsidP="000C7D5D">
            <w:pPr>
              <w:jc w:val="center"/>
              <w:rPr>
                <w:rFonts w:asciiTheme="minorHAnsi" w:hAnsiTheme="minorHAnsi"/>
                <w:b/>
                <w:bCs/>
                <w:sz w:val="20"/>
                <w:szCs w:val="20"/>
                <w:lang w:eastAsia="ja-JP"/>
              </w:rPr>
            </w:pPr>
            <w:r w:rsidRPr="00A839DD">
              <w:rPr>
                <w:rFonts w:asciiTheme="minorHAnsi" w:hAnsiTheme="minorHAnsi"/>
                <w:b/>
                <w:bCs/>
                <w:sz w:val="20"/>
                <w:szCs w:val="20"/>
                <w:lang w:eastAsia="ja-JP"/>
              </w:rPr>
              <w:t>201</w:t>
            </w:r>
          </w:p>
        </w:tc>
        <w:tc>
          <w:tcPr>
            <w:tcW w:w="1134" w:type="dxa"/>
            <w:vAlign w:val="center"/>
          </w:tcPr>
          <w:p w14:paraId="0F2ECD20" w14:textId="7C68CC04" w:rsidR="005B12D8" w:rsidRPr="00A839DD" w:rsidRDefault="00155195" w:rsidP="000C7D5D">
            <w:pPr>
              <w:jc w:val="center"/>
              <w:rPr>
                <w:rFonts w:asciiTheme="minorHAnsi" w:hAnsiTheme="minorHAnsi"/>
                <w:b/>
                <w:bCs/>
                <w:sz w:val="20"/>
                <w:szCs w:val="20"/>
                <w:lang w:eastAsia="ja-JP"/>
              </w:rPr>
            </w:pPr>
            <w:r w:rsidRPr="00A839DD">
              <w:rPr>
                <w:rFonts w:asciiTheme="minorHAnsi" w:hAnsiTheme="minorHAnsi"/>
                <w:b/>
                <w:bCs/>
                <w:sz w:val="20"/>
                <w:szCs w:val="20"/>
                <w:lang w:eastAsia="ja-JP"/>
              </w:rPr>
              <w:t>100</w:t>
            </w:r>
            <w:r w:rsidR="00D228CF">
              <w:rPr>
                <w:rFonts w:asciiTheme="minorHAnsi" w:hAnsiTheme="minorHAnsi"/>
                <w:b/>
                <w:bCs/>
                <w:sz w:val="20"/>
                <w:szCs w:val="20"/>
                <w:lang w:eastAsia="ja-JP"/>
              </w:rPr>
              <w:t> </w:t>
            </w:r>
            <w:r w:rsidRPr="00A839DD">
              <w:rPr>
                <w:rFonts w:asciiTheme="minorHAnsi" w:hAnsiTheme="minorHAnsi"/>
                <w:b/>
                <w:bCs/>
                <w:sz w:val="20"/>
                <w:szCs w:val="20"/>
                <w:lang w:eastAsia="ja-JP"/>
              </w:rPr>
              <w:t>%</w:t>
            </w:r>
          </w:p>
        </w:tc>
        <w:tc>
          <w:tcPr>
            <w:tcW w:w="992" w:type="dxa"/>
            <w:vAlign w:val="center"/>
          </w:tcPr>
          <w:p w14:paraId="53711C78" w14:textId="77777777" w:rsidR="005B12D8" w:rsidRPr="00A839DD" w:rsidRDefault="005B12D8" w:rsidP="000C7D5D">
            <w:pPr>
              <w:jc w:val="center"/>
              <w:rPr>
                <w:rFonts w:asciiTheme="minorHAnsi" w:hAnsiTheme="minorHAnsi"/>
                <w:b/>
                <w:bCs/>
                <w:sz w:val="20"/>
                <w:szCs w:val="20"/>
                <w:lang w:eastAsia="ja-JP"/>
              </w:rPr>
            </w:pPr>
            <w:r w:rsidRPr="00A839DD">
              <w:rPr>
                <w:rFonts w:asciiTheme="minorHAnsi" w:hAnsiTheme="minorHAnsi"/>
                <w:b/>
                <w:bCs/>
                <w:sz w:val="20"/>
                <w:szCs w:val="20"/>
                <w:lang w:eastAsia="ja-JP"/>
              </w:rPr>
              <w:t>164</w:t>
            </w:r>
          </w:p>
        </w:tc>
        <w:tc>
          <w:tcPr>
            <w:tcW w:w="993" w:type="dxa"/>
            <w:vAlign w:val="center"/>
          </w:tcPr>
          <w:p w14:paraId="11800EBB" w14:textId="32B116CD" w:rsidR="005B12D8" w:rsidRPr="00A839DD" w:rsidRDefault="009A49E9" w:rsidP="000C7D5D">
            <w:pPr>
              <w:jc w:val="center"/>
              <w:rPr>
                <w:rFonts w:asciiTheme="minorHAnsi" w:hAnsiTheme="minorHAnsi"/>
                <w:b/>
                <w:bCs/>
                <w:sz w:val="20"/>
                <w:szCs w:val="20"/>
                <w:lang w:eastAsia="ja-JP"/>
              </w:rPr>
            </w:pPr>
            <w:r w:rsidRPr="00A839DD">
              <w:rPr>
                <w:rFonts w:asciiTheme="minorHAnsi" w:hAnsiTheme="minorHAnsi"/>
                <w:b/>
                <w:bCs/>
                <w:sz w:val="20"/>
                <w:szCs w:val="20"/>
                <w:lang w:eastAsia="ja-JP"/>
              </w:rPr>
              <w:t>100</w:t>
            </w:r>
            <w:r w:rsidR="00D228CF">
              <w:rPr>
                <w:rFonts w:asciiTheme="minorHAnsi" w:hAnsiTheme="minorHAnsi"/>
                <w:b/>
                <w:bCs/>
                <w:sz w:val="20"/>
                <w:szCs w:val="20"/>
                <w:lang w:eastAsia="ja-JP"/>
              </w:rPr>
              <w:t> </w:t>
            </w:r>
            <w:r w:rsidRPr="00A839DD">
              <w:rPr>
                <w:rFonts w:asciiTheme="minorHAnsi" w:hAnsiTheme="minorHAnsi"/>
                <w:b/>
                <w:bCs/>
                <w:sz w:val="20"/>
                <w:szCs w:val="20"/>
                <w:lang w:eastAsia="ja-JP"/>
              </w:rPr>
              <w:t>%</w:t>
            </w:r>
          </w:p>
        </w:tc>
        <w:tc>
          <w:tcPr>
            <w:tcW w:w="992" w:type="dxa"/>
            <w:vAlign w:val="center"/>
          </w:tcPr>
          <w:p w14:paraId="38B0A25B" w14:textId="77777777" w:rsidR="005B12D8" w:rsidRPr="00A839DD" w:rsidRDefault="005B12D8" w:rsidP="000C7D5D">
            <w:pPr>
              <w:jc w:val="center"/>
              <w:rPr>
                <w:rFonts w:asciiTheme="minorHAnsi" w:hAnsiTheme="minorHAnsi"/>
                <w:b/>
                <w:bCs/>
                <w:sz w:val="20"/>
                <w:szCs w:val="20"/>
                <w:lang w:eastAsia="ja-JP"/>
              </w:rPr>
            </w:pPr>
            <w:r w:rsidRPr="00A839DD">
              <w:rPr>
                <w:rFonts w:asciiTheme="minorHAnsi" w:hAnsiTheme="minorHAnsi"/>
                <w:b/>
                <w:bCs/>
                <w:sz w:val="20"/>
                <w:szCs w:val="20"/>
                <w:lang w:eastAsia="ja-JP"/>
              </w:rPr>
              <w:t>37</w:t>
            </w:r>
          </w:p>
        </w:tc>
        <w:tc>
          <w:tcPr>
            <w:tcW w:w="1045" w:type="dxa"/>
            <w:vAlign w:val="center"/>
          </w:tcPr>
          <w:p w14:paraId="78C1E80F" w14:textId="61CDADAE" w:rsidR="005B12D8" w:rsidRPr="00A839DD" w:rsidRDefault="00574805" w:rsidP="000C7D5D">
            <w:pPr>
              <w:jc w:val="center"/>
              <w:rPr>
                <w:rFonts w:asciiTheme="minorHAnsi" w:hAnsiTheme="minorHAnsi"/>
                <w:b/>
                <w:bCs/>
                <w:sz w:val="20"/>
                <w:szCs w:val="20"/>
                <w:lang w:eastAsia="ja-JP"/>
              </w:rPr>
            </w:pPr>
            <w:r w:rsidRPr="00A839DD">
              <w:rPr>
                <w:rFonts w:asciiTheme="minorHAnsi" w:hAnsiTheme="minorHAnsi"/>
                <w:b/>
                <w:bCs/>
                <w:sz w:val="20"/>
                <w:szCs w:val="20"/>
                <w:lang w:eastAsia="ja-JP"/>
              </w:rPr>
              <w:t>100</w:t>
            </w:r>
            <w:r w:rsidR="00D228CF">
              <w:rPr>
                <w:rFonts w:asciiTheme="minorHAnsi" w:hAnsiTheme="minorHAnsi"/>
                <w:b/>
                <w:bCs/>
                <w:sz w:val="20"/>
                <w:szCs w:val="20"/>
                <w:lang w:eastAsia="ja-JP"/>
              </w:rPr>
              <w:t> </w:t>
            </w:r>
            <w:r w:rsidRPr="00A839DD">
              <w:rPr>
                <w:rFonts w:asciiTheme="minorHAnsi" w:hAnsiTheme="minorHAnsi"/>
                <w:b/>
                <w:bCs/>
                <w:sz w:val="20"/>
                <w:szCs w:val="20"/>
                <w:lang w:eastAsia="ja-JP"/>
              </w:rPr>
              <w:t>%</w:t>
            </w:r>
          </w:p>
        </w:tc>
      </w:tr>
    </w:tbl>
    <w:p w14:paraId="289B9EF5" w14:textId="76EEEAAC" w:rsidR="00167ED0" w:rsidRPr="00A839DD" w:rsidRDefault="00167ED0" w:rsidP="001D3E83">
      <w:pPr>
        <w:pStyle w:val="Titre2"/>
        <w:rPr>
          <w:noProof w:val="0"/>
        </w:rPr>
      </w:pPr>
      <w:bookmarkStart w:id="124" w:name="_Toc229131302"/>
      <w:r w:rsidRPr="00A839DD">
        <w:rPr>
          <w:noProof w:val="0"/>
        </w:rPr>
        <w:t>D’autres caractéristiques des personnes plaignantes</w:t>
      </w:r>
      <w:bookmarkEnd w:id="124"/>
    </w:p>
    <w:p w14:paraId="486C1271" w14:textId="3702A8C3" w:rsidR="00F912ED" w:rsidRPr="00A839DD" w:rsidRDefault="00F912ED" w:rsidP="0006339A">
      <w:pPr>
        <w:pStyle w:val="Paragraphe"/>
      </w:pPr>
      <w:r w:rsidRPr="00A839DD">
        <w:t xml:space="preserve">Dans la plupart des plaintes du corpus qualitatif, les personnes plaignantes n’ont pas révélé d’autres renseignements sur leur identité, encore une fois probablement parce qu’elles ne les estimaient pas nécessaires au traitement de leur plainte. À la lecture des plaintes, certaines caractéristiques ont cependant pu être identifiées, bien que cela n’implique pas qu’elles aient joué un rôle dans la situation de discrimination alléguée. </w:t>
      </w:r>
    </w:p>
    <w:tbl>
      <w:tblPr>
        <w:tblStyle w:val="Grilledutableau5"/>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3873"/>
        <w:gridCol w:w="1435"/>
        <w:gridCol w:w="1148"/>
        <w:gridCol w:w="1723"/>
        <w:gridCol w:w="1043"/>
      </w:tblGrid>
      <w:tr w:rsidR="001701B7" w:rsidRPr="00A839DD" w14:paraId="46355A44" w14:textId="77777777" w:rsidTr="005D6E7B">
        <w:trPr>
          <w:trHeight w:val="741"/>
          <w:jc w:val="center"/>
        </w:trPr>
        <w:tc>
          <w:tcPr>
            <w:tcW w:w="9222" w:type="dxa"/>
            <w:gridSpan w:val="5"/>
            <w:tcBorders>
              <w:top w:val="single" w:sz="4" w:space="0" w:color="BFBFBF" w:themeColor="background1" w:themeShade="BF"/>
              <w:bottom w:val="nil"/>
            </w:tcBorders>
            <w:shd w:val="clear" w:color="auto" w:fill="953D89"/>
            <w:vAlign w:val="center"/>
          </w:tcPr>
          <w:p w14:paraId="40382D79" w14:textId="0765665D" w:rsidR="001701B7" w:rsidRPr="00A839DD" w:rsidRDefault="001701B7" w:rsidP="000C7D5D">
            <w:pPr>
              <w:jc w:val="center"/>
              <w:rPr>
                <w:rFonts w:ascii="Aptos" w:hAnsi="Aptos"/>
                <w:sz w:val="20"/>
                <w:szCs w:val="20"/>
                <w:lang w:eastAsia="ja-JP"/>
              </w:rPr>
            </w:pPr>
            <w:r w:rsidRPr="00A839DD">
              <w:rPr>
                <w:rFonts w:ascii="Aptos" w:hAnsi="Aptos"/>
                <w:b/>
                <w:color w:val="FFFFFF" w:themeColor="background1"/>
                <w:sz w:val="20"/>
                <w:szCs w:val="20"/>
                <w:lang w:eastAsia="ja-JP"/>
              </w:rPr>
              <w:t>Tableau</w:t>
            </w:r>
            <w:r w:rsidR="00291541">
              <w:rPr>
                <w:rFonts w:ascii="Aptos" w:hAnsi="Aptos"/>
                <w:b/>
                <w:color w:val="FFFFFF" w:themeColor="background1"/>
                <w:sz w:val="20"/>
                <w:szCs w:val="20"/>
                <w:lang w:eastAsia="ja-JP"/>
              </w:rPr>
              <w:t> </w:t>
            </w:r>
            <w:r w:rsidRPr="00A839DD">
              <w:rPr>
                <w:rFonts w:ascii="Aptos" w:hAnsi="Aptos"/>
                <w:b/>
                <w:color w:val="FFFFFF" w:themeColor="background1"/>
                <w:sz w:val="20"/>
                <w:szCs w:val="20"/>
                <w:lang w:eastAsia="ja-JP"/>
              </w:rPr>
              <w:t>7</w:t>
            </w:r>
            <w:r w:rsidRPr="00A839DD">
              <w:rPr>
                <w:rFonts w:ascii="Aptos" w:hAnsi="Aptos"/>
                <w:color w:val="FFFFFF" w:themeColor="background1"/>
                <w:sz w:val="20"/>
                <w:szCs w:val="20"/>
                <w:lang w:eastAsia="ja-JP"/>
              </w:rPr>
              <w:br/>
              <w:t>D’autres caractéristiques de personnes plaignantes mentionnées</w:t>
            </w:r>
            <w:r w:rsidRPr="00A839DD">
              <w:rPr>
                <w:rFonts w:ascii="Aptos" w:hAnsi="Aptos"/>
                <w:color w:val="FFFFFF" w:themeColor="background1"/>
                <w:sz w:val="20"/>
                <w:szCs w:val="20"/>
                <w:lang w:eastAsia="ja-JP"/>
              </w:rPr>
              <w:br/>
              <w:t>dans les plaintes du corpus pour l’analyse qualitative (1994 –</w:t>
            </w:r>
            <w:r w:rsidR="00B30485" w:rsidRPr="00A839DD">
              <w:rPr>
                <w:rFonts w:ascii="Arial" w:hAnsi="Arial" w:cs="Arial"/>
                <w:color w:val="FFFFFF" w:themeColor="background1"/>
                <w:sz w:val="20"/>
                <w:szCs w:val="20"/>
                <w:lang w:eastAsia="ja-JP"/>
              </w:rPr>
              <w:t> </w:t>
            </w:r>
            <w:r w:rsidRPr="00A839DD">
              <w:rPr>
                <w:rFonts w:ascii="Aptos" w:hAnsi="Aptos"/>
                <w:color w:val="FFFFFF" w:themeColor="background1"/>
                <w:sz w:val="20"/>
                <w:szCs w:val="20"/>
                <w:lang w:eastAsia="ja-JP"/>
              </w:rPr>
              <w:t>2020), n = 201</w:t>
            </w:r>
          </w:p>
        </w:tc>
      </w:tr>
      <w:tr w:rsidR="00BD7F9E" w:rsidRPr="002A7E42" w14:paraId="5B925830" w14:textId="77777777" w:rsidTr="005D6E7B">
        <w:trPr>
          <w:trHeight w:val="497"/>
          <w:jc w:val="center"/>
        </w:trPr>
        <w:tc>
          <w:tcPr>
            <w:tcW w:w="3873" w:type="dxa"/>
            <w:tcBorders>
              <w:top w:val="nil"/>
              <w:bottom w:val="nil"/>
            </w:tcBorders>
            <w:shd w:val="clear" w:color="auto" w:fill="0F243E"/>
            <w:vAlign w:val="center"/>
          </w:tcPr>
          <w:p w14:paraId="23F663FE" w14:textId="77777777" w:rsidR="00BD7F9E" w:rsidRPr="002A7E42" w:rsidRDefault="00BD7F9E" w:rsidP="002A7E42">
            <w:pPr>
              <w:jc w:val="center"/>
              <w:rPr>
                <w:rFonts w:asciiTheme="minorHAnsi" w:hAnsiTheme="minorHAnsi"/>
                <w:b/>
                <w:color w:val="FFFFFF" w:themeColor="background1"/>
                <w:sz w:val="20"/>
                <w:szCs w:val="20"/>
                <w:lang w:eastAsia="ja-JP"/>
              </w:rPr>
            </w:pPr>
            <w:r w:rsidRPr="002A7E42">
              <w:rPr>
                <w:rFonts w:asciiTheme="minorHAnsi" w:hAnsiTheme="minorHAnsi"/>
                <w:b/>
                <w:color w:val="FFFFFF" w:themeColor="background1"/>
                <w:sz w:val="20"/>
                <w:szCs w:val="20"/>
                <w:lang w:eastAsia="ja-JP"/>
              </w:rPr>
              <w:t>Autres caractéristiques des personnes plaignantes</w:t>
            </w:r>
          </w:p>
        </w:tc>
        <w:tc>
          <w:tcPr>
            <w:tcW w:w="1435" w:type="dxa"/>
            <w:tcBorders>
              <w:top w:val="nil"/>
              <w:bottom w:val="nil"/>
            </w:tcBorders>
            <w:shd w:val="clear" w:color="auto" w:fill="0F243E"/>
            <w:vAlign w:val="center"/>
          </w:tcPr>
          <w:p w14:paraId="3E66D6EC" w14:textId="77777777" w:rsidR="00BD7F9E" w:rsidRPr="002A7E42" w:rsidRDefault="00BD7F9E" w:rsidP="000C7D5D">
            <w:pPr>
              <w:jc w:val="center"/>
              <w:rPr>
                <w:rFonts w:asciiTheme="minorHAnsi" w:hAnsiTheme="minorHAnsi"/>
                <w:b/>
                <w:color w:val="FFFFFF" w:themeColor="background1"/>
                <w:sz w:val="20"/>
                <w:szCs w:val="20"/>
                <w:lang w:eastAsia="ja-JP"/>
              </w:rPr>
            </w:pPr>
            <w:r w:rsidRPr="002A7E42">
              <w:rPr>
                <w:rFonts w:asciiTheme="minorHAnsi" w:hAnsiTheme="minorHAnsi"/>
                <w:b/>
                <w:color w:val="FFFFFF" w:themeColor="background1"/>
                <w:sz w:val="20"/>
                <w:szCs w:val="20"/>
                <w:lang w:eastAsia="ja-JP"/>
              </w:rPr>
              <w:t>Oui</w:t>
            </w:r>
          </w:p>
        </w:tc>
        <w:tc>
          <w:tcPr>
            <w:tcW w:w="1148" w:type="dxa"/>
            <w:tcBorders>
              <w:top w:val="nil"/>
              <w:bottom w:val="nil"/>
            </w:tcBorders>
            <w:shd w:val="clear" w:color="auto" w:fill="0F243E"/>
            <w:vAlign w:val="center"/>
          </w:tcPr>
          <w:p w14:paraId="0A4FF8CD" w14:textId="77777777" w:rsidR="00BD7F9E" w:rsidRPr="002A7E42" w:rsidRDefault="00BD7F9E" w:rsidP="000C7D5D">
            <w:pPr>
              <w:jc w:val="center"/>
              <w:rPr>
                <w:rFonts w:asciiTheme="minorHAnsi" w:hAnsiTheme="minorHAnsi"/>
                <w:b/>
                <w:color w:val="FFFFFF" w:themeColor="background1"/>
                <w:sz w:val="20"/>
                <w:szCs w:val="20"/>
                <w:lang w:eastAsia="ja-JP"/>
              </w:rPr>
            </w:pPr>
            <w:r w:rsidRPr="002A7E42">
              <w:rPr>
                <w:rFonts w:asciiTheme="minorHAnsi" w:hAnsiTheme="minorHAnsi"/>
                <w:b/>
                <w:color w:val="FFFFFF" w:themeColor="background1"/>
                <w:sz w:val="20"/>
                <w:szCs w:val="20"/>
                <w:lang w:eastAsia="ja-JP"/>
              </w:rPr>
              <w:t>Non</w:t>
            </w:r>
          </w:p>
        </w:tc>
        <w:tc>
          <w:tcPr>
            <w:tcW w:w="1723" w:type="dxa"/>
            <w:tcBorders>
              <w:top w:val="nil"/>
              <w:bottom w:val="nil"/>
            </w:tcBorders>
            <w:shd w:val="clear" w:color="auto" w:fill="0F243E"/>
            <w:vAlign w:val="center"/>
          </w:tcPr>
          <w:p w14:paraId="39087484" w14:textId="77777777" w:rsidR="00BD7F9E" w:rsidRPr="002A7E42" w:rsidRDefault="00BD7F9E" w:rsidP="000C7D5D">
            <w:pPr>
              <w:jc w:val="center"/>
              <w:rPr>
                <w:rFonts w:asciiTheme="minorHAnsi" w:hAnsiTheme="minorHAnsi"/>
                <w:b/>
                <w:color w:val="FFFFFF" w:themeColor="background1"/>
                <w:sz w:val="20"/>
                <w:szCs w:val="20"/>
                <w:lang w:eastAsia="ja-JP"/>
              </w:rPr>
            </w:pPr>
            <w:r w:rsidRPr="002A7E42">
              <w:rPr>
                <w:rFonts w:asciiTheme="minorHAnsi" w:hAnsiTheme="minorHAnsi"/>
                <w:b/>
                <w:color w:val="FFFFFF" w:themeColor="background1"/>
                <w:sz w:val="20"/>
                <w:szCs w:val="20"/>
                <w:lang w:eastAsia="ja-JP"/>
              </w:rPr>
              <w:t>Non mentionné</w:t>
            </w:r>
          </w:p>
        </w:tc>
        <w:tc>
          <w:tcPr>
            <w:tcW w:w="1040" w:type="dxa"/>
            <w:tcBorders>
              <w:top w:val="nil"/>
              <w:bottom w:val="nil"/>
            </w:tcBorders>
            <w:shd w:val="clear" w:color="auto" w:fill="0F243E"/>
            <w:vAlign w:val="center"/>
          </w:tcPr>
          <w:p w14:paraId="146AAD98" w14:textId="77777777" w:rsidR="00BD7F9E" w:rsidRPr="002A7E42" w:rsidRDefault="00BD7F9E" w:rsidP="000C7D5D">
            <w:pPr>
              <w:jc w:val="center"/>
              <w:rPr>
                <w:rFonts w:asciiTheme="minorHAnsi" w:hAnsiTheme="minorHAnsi"/>
                <w:b/>
                <w:color w:val="FFFFFF" w:themeColor="background1"/>
                <w:sz w:val="20"/>
                <w:szCs w:val="20"/>
                <w:lang w:eastAsia="ja-JP"/>
              </w:rPr>
            </w:pPr>
            <w:r w:rsidRPr="002A7E42">
              <w:rPr>
                <w:rFonts w:asciiTheme="minorHAnsi" w:hAnsiTheme="minorHAnsi"/>
                <w:b/>
                <w:color w:val="FFFFFF" w:themeColor="background1"/>
                <w:sz w:val="20"/>
                <w:szCs w:val="20"/>
                <w:lang w:eastAsia="ja-JP"/>
              </w:rPr>
              <w:t>Groupe</w:t>
            </w:r>
          </w:p>
        </w:tc>
      </w:tr>
      <w:tr w:rsidR="00BD7F9E" w:rsidRPr="00A839DD" w14:paraId="2D74DDE6" w14:textId="77777777" w:rsidTr="005D6E7B">
        <w:trPr>
          <w:trHeight w:val="243"/>
          <w:jc w:val="center"/>
        </w:trPr>
        <w:tc>
          <w:tcPr>
            <w:tcW w:w="3873" w:type="dxa"/>
            <w:tcBorders>
              <w:top w:val="nil"/>
              <w:bottom w:val="nil"/>
            </w:tcBorders>
            <w:shd w:val="clear" w:color="auto" w:fill="E3ECF9"/>
            <w:vAlign w:val="center"/>
          </w:tcPr>
          <w:p w14:paraId="184E1D94" w14:textId="77777777" w:rsidR="00BD7F9E" w:rsidRPr="00846991" w:rsidRDefault="00BD7F9E" w:rsidP="000C7D5D">
            <w:pPr>
              <w:rPr>
                <w:rFonts w:ascii="Aptos" w:hAnsi="Aptos"/>
                <w:sz w:val="20"/>
                <w:szCs w:val="20"/>
                <w:lang w:eastAsia="ja-JP"/>
              </w:rPr>
            </w:pPr>
            <w:r w:rsidRPr="00846991">
              <w:rPr>
                <w:rFonts w:ascii="Aptos" w:hAnsi="Aptos"/>
                <w:sz w:val="20"/>
                <w:szCs w:val="20"/>
                <w:lang w:eastAsia="ja-JP"/>
              </w:rPr>
              <w:t>Personnes racisées</w:t>
            </w:r>
          </w:p>
        </w:tc>
        <w:tc>
          <w:tcPr>
            <w:tcW w:w="1435" w:type="dxa"/>
            <w:tcBorders>
              <w:top w:val="nil"/>
              <w:bottom w:val="nil"/>
            </w:tcBorders>
            <w:shd w:val="clear" w:color="auto" w:fill="E3ECF9"/>
            <w:vAlign w:val="center"/>
          </w:tcPr>
          <w:p w14:paraId="07D17F13" w14:textId="757CD38E" w:rsidR="00BD7F9E" w:rsidRPr="00A839DD" w:rsidRDefault="00D865F7" w:rsidP="000C7D5D">
            <w:pPr>
              <w:jc w:val="center"/>
              <w:rPr>
                <w:rFonts w:ascii="Aptos" w:hAnsi="Aptos"/>
                <w:sz w:val="20"/>
                <w:szCs w:val="20"/>
                <w:lang w:eastAsia="ja-JP"/>
              </w:rPr>
            </w:pPr>
            <w:r w:rsidRPr="00A839DD">
              <w:rPr>
                <w:rFonts w:ascii="Aptos" w:hAnsi="Aptos"/>
                <w:sz w:val="20"/>
                <w:szCs w:val="20"/>
                <w:lang w:eastAsia="ja-JP"/>
              </w:rPr>
              <w:t>4</w:t>
            </w:r>
            <w:r w:rsidR="00D228CF">
              <w:rPr>
                <w:rFonts w:ascii="Aptos" w:hAnsi="Aptos"/>
                <w:sz w:val="20"/>
                <w:szCs w:val="20"/>
                <w:lang w:eastAsia="ja-JP"/>
              </w:rPr>
              <w:t> </w:t>
            </w:r>
            <w:r w:rsidRPr="00A839DD">
              <w:rPr>
                <w:rFonts w:ascii="Aptos" w:hAnsi="Aptos"/>
                <w:sz w:val="20"/>
                <w:szCs w:val="20"/>
                <w:lang w:eastAsia="ja-JP"/>
              </w:rPr>
              <w:t>%</w:t>
            </w:r>
          </w:p>
        </w:tc>
        <w:tc>
          <w:tcPr>
            <w:tcW w:w="1148" w:type="dxa"/>
            <w:tcBorders>
              <w:top w:val="nil"/>
              <w:bottom w:val="nil"/>
            </w:tcBorders>
            <w:shd w:val="clear" w:color="auto" w:fill="E3ECF9"/>
            <w:vAlign w:val="center"/>
          </w:tcPr>
          <w:p w14:paraId="0B04BA3F" w14:textId="60AF7007" w:rsidR="00BD7F9E" w:rsidRPr="00A839DD" w:rsidRDefault="00124650" w:rsidP="000C7D5D">
            <w:pPr>
              <w:jc w:val="center"/>
              <w:rPr>
                <w:rFonts w:ascii="Aptos" w:hAnsi="Aptos"/>
                <w:sz w:val="20"/>
                <w:szCs w:val="20"/>
                <w:lang w:eastAsia="ja-JP"/>
              </w:rPr>
            </w:pPr>
            <w:r w:rsidRPr="00A839DD">
              <w:rPr>
                <w:rFonts w:ascii="Aptos" w:hAnsi="Aptos"/>
                <w:sz w:val="20"/>
                <w:szCs w:val="20"/>
                <w:lang w:eastAsia="ja-JP"/>
              </w:rPr>
              <w:t>1,5</w:t>
            </w:r>
            <w:r w:rsidR="00D228CF">
              <w:rPr>
                <w:rFonts w:ascii="Aptos" w:hAnsi="Aptos"/>
                <w:sz w:val="20"/>
                <w:szCs w:val="20"/>
                <w:lang w:eastAsia="ja-JP"/>
              </w:rPr>
              <w:t> </w:t>
            </w:r>
            <w:r w:rsidRPr="00A839DD">
              <w:rPr>
                <w:rFonts w:ascii="Aptos" w:hAnsi="Aptos"/>
                <w:sz w:val="20"/>
                <w:szCs w:val="20"/>
                <w:lang w:eastAsia="ja-JP"/>
              </w:rPr>
              <w:t>%</w:t>
            </w:r>
          </w:p>
        </w:tc>
        <w:tc>
          <w:tcPr>
            <w:tcW w:w="1723" w:type="dxa"/>
            <w:tcBorders>
              <w:top w:val="nil"/>
              <w:bottom w:val="nil"/>
            </w:tcBorders>
            <w:shd w:val="clear" w:color="auto" w:fill="E3ECF9"/>
            <w:vAlign w:val="center"/>
          </w:tcPr>
          <w:p w14:paraId="4F69BB28" w14:textId="015E80E3" w:rsidR="00BD7F9E" w:rsidRPr="00A839DD" w:rsidRDefault="00E13C34" w:rsidP="000C7D5D">
            <w:pPr>
              <w:jc w:val="center"/>
              <w:rPr>
                <w:rFonts w:ascii="Aptos" w:hAnsi="Aptos"/>
                <w:sz w:val="20"/>
                <w:szCs w:val="20"/>
                <w:lang w:eastAsia="ja-JP"/>
              </w:rPr>
            </w:pPr>
            <w:r w:rsidRPr="00A839DD">
              <w:rPr>
                <w:rFonts w:ascii="Aptos" w:hAnsi="Aptos"/>
                <w:sz w:val="20"/>
                <w:szCs w:val="20"/>
                <w:lang w:eastAsia="ja-JP"/>
              </w:rPr>
              <w:t>94</w:t>
            </w:r>
            <w:r w:rsidR="00D228CF">
              <w:rPr>
                <w:rFonts w:ascii="Aptos" w:hAnsi="Aptos"/>
                <w:sz w:val="20"/>
                <w:szCs w:val="20"/>
                <w:lang w:eastAsia="ja-JP"/>
              </w:rPr>
              <w:t> </w:t>
            </w:r>
            <w:r w:rsidRPr="00A839DD">
              <w:rPr>
                <w:rFonts w:ascii="Aptos" w:hAnsi="Aptos"/>
                <w:sz w:val="20"/>
                <w:szCs w:val="20"/>
                <w:lang w:eastAsia="ja-JP"/>
              </w:rPr>
              <w:t>%</w:t>
            </w:r>
          </w:p>
        </w:tc>
        <w:tc>
          <w:tcPr>
            <w:tcW w:w="1040" w:type="dxa"/>
            <w:tcBorders>
              <w:top w:val="nil"/>
              <w:bottom w:val="nil"/>
            </w:tcBorders>
            <w:shd w:val="clear" w:color="auto" w:fill="E3ECF9"/>
            <w:vAlign w:val="center"/>
          </w:tcPr>
          <w:p w14:paraId="263DD72F" w14:textId="408D5B2A" w:rsidR="00BD7F9E" w:rsidRPr="00A839DD" w:rsidRDefault="00E13C34" w:rsidP="000C7D5D">
            <w:pPr>
              <w:jc w:val="center"/>
              <w:rPr>
                <w:rFonts w:ascii="Aptos" w:hAnsi="Aptos"/>
                <w:sz w:val="20"/>
                <w:szCs w:val="20"/>
                <w:lang w:eastAsia="ja-JP"/>
              </w:rPr>
            </w:pPr>
            <w:r w:rsidRPr="00A839DD">
              <w:rPr>
                <w:rFonts w:ascii="Aptos" w:hAnsi="Aptos"/>
                <w:sz w:val="20"/>
                <w:szCs w:val="20"/>
                <w:lang w:eastAsia="ja-JP"/>
              </w:rPr>
              <w:t>0,5</w:t>
            </w:r>
            <w:r w:rsidR="00D228CF">
              <w:rPr>
                <w:rFonts w:ascii="Aptos" w:hAnsi="Aptos"/>
                <w:sz w:val="20"/>
                <w:szCs w:val="20"/>
                <w:lang w:eastAsia="ja-JP"/>
              </w:rPr>
              <w:t> </w:t>
            </w:r>
            <w:r w:rsidRPr="00A839DD">
              <w:rPr>
                <w:rFonts w:ascii="Aptos" w:hAnsi="Aptos"/>
                <w:sz w:val="20"/>
                <w:szCs w:val="20"/>
                <w:lang w:eastAsia="ja-JP"/>
              </w:rPr>
              <w:t>%</w:t>
            </w:r>
          </w:p>
        </w:tc>
      </w:tr>
      <w:tr w:rsidR="00BD7F9E" w:rsidRPr="00A839DD" w14:paraId="553FB040" w14:textId="77777777" w:rsidTr="005D6E7B">
        <w:trPr>
          <w:trHeight w:val="253"/>
          <w:jc w:val="center"/>
        </w:trPr>
        <w:tc>
          <w:tcPr>
            <w:tcW w:w="3873" w:type="dxa"/>
            <w:tcBorders>
              <w:top w:val="nil"/>
              <w:bottom w:val="nil"/>
            </w:tcBorders>
            <w:vAlign w:val="center"/>
          </w:tcPr>
          <w:p w14:paraId="77718064" w14:textId="77777777" w:rsidR="00BD7F9E" w:rsidRPr="00846991" w:rsidRDefault="00BD7F9E" w:rsidP="000C7D5D">
            <w:pPr>
              <w:rPr>
                <w:rFonts w:ascii="Aptos" w:hAnsi="Aptos"/>
                <w:sz w:val="20"/>
                <w:szCs w:val="20"/>
                <w:lang w:eastAsia="ja-JP"/>
              </w:rPr>
            </w:pPr>
            <w:r w:rsidRPr="00846991">
              <w:rPr>
                <w:rFonts w:ascii="Aptos" w:hAnsi="Aptos"/>
                <w:sz w:val="20"/>
                <w:szCs w:val="20"/>
                <w:lang w:eastAsia="ja-JP"/>
              </w:rPr>
              <w:t>Personnes autochtones</w:t>
            </w:r>
          </w:p>
        </w:tc>
        <w:tc>
          <w:tcPr>
            <w:tcW w:w="1435" w:type="dxa"/>
            <w:tcBorders>
              <w:top w:val="nil"/>
              <w:bottom w:val="nil"/>
            </w:tcBorders>
            <w:vAlign w:val="center"/>
          </w:tcPr>
          <w:p w14:paraId="5857733D" w14:textId="3AC0CCDB" w:rsidR="00BD7F9E" w:rsidRPr="00A839DD" w:rsidRDefault="00BD7F9E" w:rsidP="000C7D5D">
            <w:pPr>
              <w:jc w:val="center"/>
              <w:rPr>
                <w:rFonts w:ascii="Aptos" w:hAnsi="Aptos"/>
                <w:sz w:val="20"/>
                <w:szCs w:val="20"/>
                <w:lang w:eastAsia="ja-JP"/>
              </w:rPr>
            </w:pPr>
            <w:r w:rsidRPr="00A839DD">
              <w:rPr>
                <w:rFonts w:ascii="Aptos" w:hAnsi="Aptos"/>
                <w:sz w:val="20"/>
                <w:szCs w:val="20"/>
                <w:lang w:eastAsia="ja-JP"/>
              </w:rPr>
              <w:t>0</w:t>
            </w:r>
            <w:r w:rsidR="00D228CF">
              <w:rPr>
                <w:rFonts w:ascii="Aptos" w:hAnsi="Aptos"/>
                <w:sz w:val="20"/>
                <w:szCs w:val="20"/>
                <w:lang w:eastAsia="ja-JP"/>
              </w:rPr>
              <w:t> </w:t>
            </w:r>
            <w:r w:rsidR="00E13C34" w:rsidRPr="00A839DD">
              <w:rPr>
                <w:rFonts w:ascii="Aptos" w:hAnsi="Aptos"/>
                <w:sz w:val="20"/>
                <w:szCs w:val="20"/>
                <w:lang w:eastAsia="ja-JP"/>
              </w:rPr>
              <w:t>%</w:t>
            </w:r>
          </w:p>
        </w:tc>
        <w:tc>
          <w:tcPr>
            <w:tcW w:w="1148" w:type="dxa"/>
            <w:tcBorders>
              <w:top w:val="nil"/>
              <w:bottom w:val="nil"/>
            </w:tcBorders>
            <w:vAlign w:val="center"/>
          </w:tcPr>
          <w:p w14:paraId="2DECCF31" w14:textId="6E84608D" w:rsidR="00BD7F9E" w:rsidRPr="00A839DD" w:rsidRDefault="00AF4DB4" w:rsidP="000C7D5D">
            <w:pPr>
              <w:jc w:val="center"/>
              <w:rPr>
                <w:rFonts w:ascii="Aptos" w:hAnsi="Aptos"/>
                <w:sz w:val="20"/>
                <w:szCs w:val="20"/>
                <w:lang w:eastAsia="ja-JP"/>
              </w:rPr>
            </w:pPr>
            <w:r w:rsidRPr="00A839DD">
              <w:rPr>
                <w:rFonts w:ascii="Aptos" w:hAnsi="Aptos"/>
                <w:sz w:val="20"/>
                <w:szCs w:val="20"/>
                <w:lang w:eastAsia="ja-JP"/>
              </w:rPr>
              <w:t>5,5</w:t>
            </w:r>
            <w:r w:rsidR="00D228CF">
              <w:rPr>
                <w:rFonts w:ascii="Aptos" w:hAnsi="Aptos"/>
                <w:sz w:val="20"/>
                <w:szCs w:val="20"/>
                <w:lang w:eastAsia="ja-JP"/>
              </w:rPr>
              <w:t> </w:t>
            </w:r>
            <w:r w:rsidRPr="00A839DD">
              <w:rPr>
                <w:rFonts w:ascii="Aptos" w:hAnsi="Aptos"/>
                <w:sz w:val="20"/>
                <w:szCs w:val="20"/>
                <w:lang w:eastAsia="ja-JP"/>
              </w:rPr>
              <w:t>%</w:t>
            </w:r>
          </w:p>
        </w:tc>
        <w:tc>
          <w:tcPr>
            <w:tcW w:w="1723" w:type="dxa"/>
            <w:tcBorders>
              <w:top w:val="nil"/>
              <w:bottom w:val="nil"/>
            </w:tcBorders>
            <w:vAlign w:val="center"/>
          </w:tcPr>
          <w:p w14:paraId="70D55115" w14:textId="267258C8" w:rsidR="00BD7F9E" w:rsidRPr="00A839DD" w:rsidRDefault="00AF4DB4" w:rsidP="00AF4DB4">
            <w:pPr>
              <w:jc w:val="center"/>
              <w:rPr>
                <w:rFonts w:ascii="Aptos" w:hAnsi="Aptos"/>
                <w:sz w:val="20"/>
                <w:szCs w:val="20"/>
                <w:lang w:eastAsia="ja-JP"/>
              </w:rPr>
            </w:pPr>
            <w:r w:rsidRPr="00A839DD">
              <w:rPr>
                <w:rFonts w:ascii="Aptos" w:hAnsi="Aptos"/>
                <w:sz w:val="20"/>
                <w:szCs w:val="20"/>
                <w:lang w:eastAsia="ja-JP"/>
              </w:rPr>
              <w:t>94,5</w:t>
            </w:r>
            <w:r w:rsidR="00D228CF">
              <w:rPr>
                <w:rFonts w:ascii="Aptos" w:hAnsi="Aptos"/>
                <w:sz w:val="20"/>
                <w:szCs w:val="20"/>
                <w:lang w:eastAsia="ja-JP"/>
              </w:rPr>
              <w:t> </w:t>
            </w:r>
            <w:r w:rsidRPr="00A839DD">
              <w:rPr>
                <w:rFonts w:ascii="Aptos" w:hAnsi="Aptos"/>
                <w:sz w:val="20"/>
                <w:szCs w:val="20"/>
                <w:lang w:eastAsia="ja-JP"/>
              </w:rPr>
              <w:t>%</w:t>
            </w:r>
          </w:p>
        </w:tc>
        <w:tc>
          <w:tcPr>
            <w:tcW w:w="1040" w:type="dxa"/>
            <w:tcBorders>
              <w:top w:val="nil"/>
              <w:bottom w:val="nil"/>
            </w:tcBorders>
            <w:vAlign w:val="center"/>
          </w:tcPr>
          <w:p w14:paraId="42947B01" w14:textId="12AB5496" w:rsidR="00BD7F9E" w:rsidRPr="00A839DD" w:rsidRDefault="00BD7F9E" w:rsidP="000C7D5D">
            <w:pPr>
              <w:jc w:val="center"/>
              <w:rPr>
                <w:rFonts w:ascii="Aptos" w:hAnsi="Aptos"/>
                <w:sz w:val="20"/>
                <w:szCs w:val="20"/>
                <w:lang w:eastAsia="ja-JP"/>
              </w:rPr>
            </w:pPr>
            <w:r w:rsidRPr="00A839DD">
              <w:rPr>
                <w:rFonts w:ascii="Aptos" w:hAnsi="Aptos"/>
                <w:sz w:val="20"/>
                <w:szCs w:val="20"/>
                <w:lang w:eastAsia="ja-JP"/>
              </w:rPr>
              <w:t>0</w:t>
            </w:r>
            <w:r w:rsidR="00D228CF">
              <w:rPr>
                <w:rFonts w:ascii="Aptos" w:hAnsi="Aptos"/>
                <w:sz w:val="20"/>
                <w:szCs w:val="20"/>
                <w:lang w:eastAsia="ja-JP"/>
              </w:rPr>
              <w:t> </w:t>
            </w:r>
            <w:r w:rsidR="00AF4DB4" w:rsidRPr="00A839DD">
              <w:rPr>
                <w:rFonts w:ascii="Aptos" w:hAnsi="Aptos"/>
                <w:sz w:val="20"/>
                <w:szCs w:val="20"/>
                <w:lang w:eastAsia="ja-JP"/>
              </w:rPr>
              <w:t>%</w:t>
            </w:r>
          </w:p>
        </w:tc>
      </w:tr>
      <w:tr w:rsidR="00BD7F9E" w:rsidRPr="00A839DD" w14:paraId="6E8BE67C" w14:textId="77777777" w:rsidTr="005D6E7B">
        <w:trPr>
          <w:trHeight w:val="497"/>
          <w:jc w:val="center"/>
        </w:trPr>
        <w:tc>
          <w:tcPr>
            <w:tcW w:w="3873" w:type="dxa"/>
            <w:tcBorders>
              <w:top w:val="nil"/>
              <w:bottom w:val="nil"/>
            </w:tcBorders>
            <w:shd w:val="clear" w:color="auto" w:fill="E3ECF9"/>
            <w:vAlign w:val="center"/>
          </w:tcPr>
          <w:p w14:paraId="07596DC1" w14:textId="77777777" w:rsidR="00BD7F9E" w:rsidRPr="00846991" w:rsidRDefault="00BD7F9E" w:rsidP="000C7D5D">
            <w:pPr>
              <w:rPr>
                <w:rFonts w:ascii="Aptos" w:hAnsi="Aptos"/>
                <w:sz w:val="20"/>
                <w:szCs w:val="20"/>
                <w:lang w:eastAsia="ja-JP"/>
              </w:rPr>
            </w:pPr>
            <w:r w:rsidRPr="00846991">
              <w:rPr>
                <w:rFonts w:ascii="Aptos" w:hAnsi="Aptos"/>
                <w:sz w:val="20"/>
                <w:szCs w:val="20"/>
                <w:lang w:eastAsia="ja-JP"/>
              </w:rPr>
              <w:t>Personnes appartenant à une minorité ethnique</w:t>
            </w:r>
          </w:p>
        </w:tc>
        <w:tc>
          <w:tcPr>
            <w:tcW w:w="1435" w:type="dxa"/>
            <w:tcBorders>
              <w:top w:val="nil"/>
              <w:bottom w:val="nil"/>
            </w:tcBorders>
            <w:shd w:val="clear" w:color="auto" w:fill="E3ECF9"/>
            <w:vAlign w:val="center"/>
          </w:tcPr>
          <w:p w14:paraId="0CD44B2D" w14:textId="0207DF12" w:rsidR="00BD7F9E" w:rsidRPr="00A839DD" w:rsidRDefault="008F288C" w:rsidP="000C7D5D">
            <w:pPr>
              <w:jc w:val="center"/>
              <w:rPr>
                <w:rFonts w:ascii="Aptos" w:hAnsi="Aptos"/>
                <w:sz w:val="20"/>
                <w:szCs w:val="20"/>
                <w:lang w:eastAsia="ja-JP"/>
              </w:rPr>
            </w:pPr>
            <w:r w:rsidRPr="00A839DD">
              <w:rPr>
                <w:rFonts w:ascii="Aptos" w:hAnsi="Aptos"/>
                <w:sz w:val="20"/>
                <w:szCs w:val="20"/>
                <w:lang w:eastAsia="ja-JP"/>
              </w:rPr>
              <w:t>3,5</w:t>
            </w:r>
            <w:r w:rsidR="00D228CF">
              <w:rPr>
                <w:rFonts w:ascii="Aptos" w:hAnsi="Aptos"/>
                <w:sz w:val="20"/>
                <w:szCs w:val="20"/>
                <w:lang w:eastAsia="ja-JP"/>
              </w:rPr>
              <w:t> </w:t>
            </w:r>
            <w:r w:rsidRPr="00A839DD">
              <w:rPr>
                <w:rFonts w:ascii="Aptos" w:hAnsi="Aptos"/>
                <w:sz w:val="20"/>
                <w:szCs w:val="20"/>
                <w:lang w:eastAsia="ja-JP"/>
              </w:rPr>
              <w:t>%</w:t>
            </w:r>
          </w:p>
        </w:tc>
        <w:tc>
          <w:tcPr>
            <w:tcW w:w="1148" w:type="dxa"/>
            <w:tcBorders>
              <w:top w:val="nil"/>
              <w:bottom w:val="nil"/>
            </w:tcBorders>
            <w:shd w:val="clear" w:color="auto" w:fill="E3ECF9"/>
            <w:vAlign w:val="center"/>
          </w:tcPr>
          <w:p w14:paraId="4754AA74" w14:textId="0135F4A8" w:rsidR="00BD7F9E" w:rsidRPr="00A839DD" w:rsidRDefault="008F288C" w:rsidP="000C7D5D">
            <w:pPr>
              <w:jc w:val="center"/>
              <w:rPr>
                <w:rFonts w:ascii="Aptos" w:hAnsi="Aptos"/>
                <w:sz w:val="20"/>
                <w:szCs w:val="20"/>
                <w:lang w:eastAsia="ja-JP"/>
              </w:rPr>
            </w:pPr>
            <w:r w:rsidRPr="00A839DD">
              <w:rPr>
                <w:rFonts w:ascii="Aptos" w:hAnsi="Aptos"/>
                <w:sz w:val="20"/>
                <w:szCs w:val="20"/>
                <w:lang w:eastAsia="ja-JP"/>
              </w:rPr>
              <w:t>3</w:t>
            </w:r>
            <w:r w:rsidR="00D228CF">
              <w:rPr>
                <w:rFonts w:ascii="Aptos" w:hAnsi="Aptos"/>
                <w:sz w:val="20"/>
                <w:szCs w:val="20"/>
                <w:lang w:eastAsia="ja-JP"/>
              </w:rPr>
              <w:t> </w:t>
            </w:r>
            <w:r w:rsidRPr="00A839DD">
              <w:rPr>
                <w:rFonts w:ascii="Aptos" w:hAnsi="Aptos"/>
                <w:sz w:val="20"/>
                <w:szCs w:val="20"/>
                <w:lang w:eastAsia="ja-JP"/>
              </w:rPr>
              <w:t>%</w:t>
            </w:r>
          </w:p>
        </w:tc>
        <w:tc>
          <w:tcPr>
            <w:tcW w:w="1723" w:type="dxa"/>
            <w:tcBorders>
              <w:top w:val="nil"/>
              <w:bottom w:val="nil"/>
            </w:tcBorders>
            <w:shd w:val="clear" w:color="auto" w:fill="E3ECF9"/>
            <w:vAlign w:val="center"/>
          </w:tcPr>
          <w:p w14:paraId="161C0B52" w14:textId="6DA2BBE3" w:rsidR="00BD7F9E" w:rsidRPr="00A839DD" w:rsidRDefault="00F232D8" w:rsidP="000C7D5D">
            <w:pPr>
              <w:jc w:val="center"/>
              <w:rPr>
                <w:rFonts w:ascii="Aptos" w:hAnsi="Aptos"/>
                <w:sz w:val="20"/>
                <w:szCs w:val="20"/>
                <w:lang w:eastAsia="ja-JP"/>
              </w:rPr>
            </w:pPr>
            <w:r w:rsidRPr="00A839DD">
              <w:rPr>
                <w:rFonts w:ascii="Aptos" w:hAnsi="Aptos"/>
                <w:sz w:val="20"/>
                <w:szCs w:val="20"/>
                <w:lang w:eastAsia="ja-JP"/>
              </w:rPr>
              <w:t>93,5</w:t>
            </w:r>
            <w:r w:rsidR="00D228CF">
              <w:rPr>
                <w:rFonts w:ascii="Aptos" w:hAnsi="Aptos"/>
                <w:sz w:val="20"/>
                <w:szCs w:val="20"/>
                <w:lang w:eastAsia="ja-JP"/>
              </w:rPr>
              <w:t> </w:t>
            </w:r>
            <w:r w:rsidRPr="00A839DD">
              <w:rPr>
                <w:rFonts w:ascii="Aptos" w:hAnsi="Aptos"/>
                <w:sz w:val="20"/>
                <w:szCs w:val="20"/>
                <w:lang w:eastAsia="ja-JP"/>
              </w:rPr>
              <w:t>%</w:t>
            </w:r>
          </w:p>
        </w:tc>
        <w:tc>
          <w:tcPr>
            <w:tcW w:w="1040" w:type="dxa"/>
            <w:tcBorders>
              <w:top w:val="nil"/>
              <w:bottom w:val="nil"/>
            </w:tcBorders>
            <w:shd w:val="clear" w:color="auto" w:fill="E3ECF9"/>
            <w:vAlign w:val="center"/>
          </w:tcPr>
          <w:p w14:paraId="4CEB00D6" w14:textId="2F42CB5C" w:rsidR="00BD7F9E" w:rsidRPr="00A839DD" w:rsidRDefault="00BD7F9E" w:rsidP="000C7D5D">
            <w:pPr>
              <w:jc w:val="center"/>
              <w:rPr>
                <w:rFonts w:ascii="Aptos" w:hAnsi="Aptos"/>
                <w:sz w:val="20"/>
                <w:szCs w:val="20"/>
                <w:lang w:eastAsia="ja-JP"/>
              </w:rPr>
            </w:pPr>
            <w:r w:rsidRPr="00A839DD">
              <w:rPr>
                <w:rFonts w:ascii="Aptos" w:hAnsi="Aptos"/>
                <w:sz w:val="20"/>
                <w:szCs w:val="20"/>
                <w:lang w:eastAsia="ja-JP"/>
              </w:rPr>
              <w:t>0</w:t>
            </w:r>
            <w:r w:rsidR="00D228CF">
              <w:rPr>
                <w:rFonts w:ascii="Aptos" w:hAnsi="Aptos"/>
                <w:sz w:val="20"/>
                <w:szCs w:val="20"/>
                <w:lang w:eastAsia="ja-JP"/>
              </w:rPr>
              <w:t> </w:t>
            </w:r>
            <w:r w:rsidR="00F232D8" w:rsidRPr="00A839DD">
              <w:rPr>
                <w:rFonts w:ascii="Aptos" w:hAnsi="Aptos"/>
                <w:sz w:val="20"/>
                <w:szCs w:val="20"/>
                <w:lang w:eastAsia="ja-JP"/>
              </w:rPr>
              <w:t>%</w:t>
            </w:r>
          </w:p>
        </w:tc>
      </w:tr>
      <w:tr w:rsidR="00BD7F9E" w:rsidRPr="00A839DD" w14:paraId="230DBE09" w14:textId="77777777" w:rsidTr="005D6E7B">
        <w:trPr>
          <w:trHeight w:val="596"/>
          <w:jc w:val="center"/>
        </w:trPr>
        <w:tc>
          <w:tcPr>
            <w:tcW w:w="3873" w:type="dxa"/>
            <w:tcBorders>
              <w:top w:val="nil"/>
              <w:bottom w:val="single" w:sz="4" w:space="0" w:color="BFBFBF" w:themeColor="background1" w:themeShade="BF"/>
            </w:tcBorders>
            <w:vAlign w:val="center"/>
          </w:tcPr>
          <w:p w14:paraId="08160D99" w14:textId="77777777" w:rsidR="00BD7F9E" w:rsidRPr="00846991" w:rsidRDefault="00BD7F9E" w:rsidP="000C7D5D">
            <w:pPr>
              <w:rPr>
                <w:rFonts w:ascii="Aptos" w:hAnsi="Aptos"/>
                <w:sz w:val="20"/>
                <w:szCs w:val="20"/>
                <w:lang w:eastAsia="ja-JP"/>
              </w:rPr>
            </w:pPr>
            <w:r w:rsidRPr="00846991">
              <w:rPr>
                <w:rFonts w:ascii="Aptos" w:hAnsi="Aptos"/>
                <w:sz w:val="20"/>
                <w:szCs w:val="20"/>
                <w:lang w:eastAsia="ja-JP"/>
              </w:rPr>
              <w:t xml:space="preserve">Personnes en situation de handicap (préexistante aux faits </w:t>
            </w:r>
            <w:proofErr w:type="gramStart"/>
            <w:r w:rsidRPr="00846991">
              <w:rPr>
                <w:rFonts w:ascii="Aptos" w:hAnsi="Aptos"/>
                <w:sz w:val="20"/>
                <w:szCs w:val="20"/>
                <w:lang w:eastAsia="ja-JP"/>
              </w:rPr>
              <w:t>allégués)*</w:t>
            </w:r>
            <w:proofErr w:type="gramEnd"/>
          </w:p>
        </w:tc>
        <w:tc>
          <w:tcPr>
            <w:tcW w:w="1435" w:type="dxa"/>
            <w:tcBorders>
              <w:top w:val="nil"/>
              <w:bottom w:val="single" w:sz="4" w:space="0" w:color="BFBFBF" w:themeColor="background1" w:themeShade="BF"/>
            </w:tcBorders>
            <w:vAlign w:val="center"/>
          </w:tcPr>
          <w:p w14:paraId="51146572" w14:textId="483816A8" w:rsidR="00BD7F9E" w:rsidRPr="00A839DD" w:rsidRDefault="00F232D8" w:rsidP="000C7D5D">
            <w:pPr>
              <w:jc w:val="center"/>
              <w:rPr>
                <w:rFonts w:ascii="Aptos" w:hAnsi="Aptos"/>
                <w:sz w:val="20"/>
                <w:szCs w:val="20"/>
                <w:lang w:eastAsia="ja-JP"/>
              </w:rPr>
            </w:pPr>
            <w:r w:rsidRPr="00A839DD">
              <w:rPr>
                <w:rFonts w:ascii="Aptos" w:hAnsi="Aptos"/>
                <w:sz w:val="20"/>
                <w:szCs w:val="20"/>
                <w:lang w:eastAsia="ja-JP"/>
              </w:rPr>
              <w:t>5,5</w:t>
            </w:r>
            <w:r w:rsidR="00D228CF">
              <w:rPr>
                <w:rFonts w:ascii="Aptos" w:hAnsi="Aptos"/>
                <w:sz w:val="20"/>
                <w:szCs w:val="20"/>
                <w:lang w:eastAsia="ja-JP"/>
              </w:rPr>
              <w:t> </w:t>
            </w:r>
            <w:r w:rsidRPr="00A839DD">
              <w:rPr>
                <w:rFonts w:ascii="Aptos" w:hAnsi="Aptos"/>
                <w:sz w:val="20"/>
                <w:szCs w:val="20"/>
                <w:lang w:eastAsia="ja-JP"/>
              </w:rPr>
              <w:t>%</w:t>
            </w:r>
          </w:p>
        </w:tc>
        <w:tc>
          <w:tcPr>
            <w:tcW w:w="1148" w:type="dxa"/>
            <w:tcBorders>
              <w:top w:val="nil"/>
              <w:bottom w:val="single" w:sz="4" w:space="0" w:color="BFBFBF" w:themeColor="background1" w:themeShade="BF"/>
            </w:tcBorders>
            <w:vAlign w:val="center"/>
          </w:tcPr>
          <w:p w14:paraId="1684AF77" w14:textId="05FAE52E" w:rsidR="00BD7F9E" w:rsidRPr="00A839DD" w:rsidRDefault="00BD7F9E" w:rsidP="000C7D5D">
            <w:pPr>
              <w:jc w:val="center"/>
              <w:rPr>
                <w:rFonts w:ascii="Aptos" w:hAnsi="Aptos"/>
                <w:sz w:val="20"/>
                <w:szCs w:val="20"/>
                <w:lang w:eastAsia="ja-JP"/>
              </w:rPr>
            </w:pPr>
            <w:r w:rsidRPr="00A839DD">
              <w:rPr>
                <w:rFonts w:ascii="Aptos" w:hAnsi="Aptos"/>
                <w:sz w:val="20"/>
                <w:szCs w:val="20"/>
                <w:lang w:eastAsia="ja-JP"/>
              </w:rPr>
              <w:t>0</w:t>
            </w:r>
            <w:r w:rsidR="00750B1D">
              <w:rPr>
                <w:rFonts w:ascii="Aptos" w:hAnsi="Aptos"/>
                <w:sz w:val="20"/>
                <w:szCs w:val="20"/>
                <w:lang w:eastAsia="ja-JP"/>
              </w:rPr>
              <w:t> </w:t>
            </w:r>
            <w:r w:rsidR="00F232D8" w:rsidRPr="00A839DD">
              <w:rPr>
                <w:rFonts w:ascii="Aptos" w:hAnsi="Aptos"/>
                <w:sz w:val="20"/>
                <w:szCs w:val="20"/>
                <w:lang w:eastAsia="ja-JP"/>
              </w:rPr>
              <w:t>%</w:t>
            </w:r>
          </w:p>
        </w:tc>
        <w:tc>
          <w:tcPr>
            <w:tcW w:w="1723" w:type="dxa"/>
            <w:tcBorders>
              <w:top w:val="nil"/>
              <w:bottom w:val="single" w:sz="4" w:space="0" w:color="BFBFBF" w:themeColor="background1" w:themeShade="BF"/>
            </w:tcBorders>
            <w:vAlign w:val="center"/>
          </w:tcPr>
          <w:p w14:paraId="7B4C3507" w14:textId="1F8F421B" w:rsidR="00BD7F9E" w:rsidRPr="00A839DD" w:rsidRDefault="001A3D19" w:rsidP="000C7D5D">
            <w:pPr>
              <w:jc w:val="center"/>
              <w:rPr>
                <w:rFonts w:ascii="Aptos" w:hAnsi="Aptos"/>
                <w:sz w:val="20"/>
                <w:szCs w:val="20"/>
                <w:lang w:eastAsia="ja-JP"/>
              </w:rPr>
            </w:pPr>
            <w:r w:rsidRPr="00A839DD">
              <w:rPr>
                <w:rFonts w:ascii="Aptos" w:hAnsi="Aptos"/>
                <w:sz w:val="20"/>
                <w:szCs w:val="20"/>
                <w:lang w:eastAsia="ja-JP"/>
              </w:rPr>
              <w:t>94,5</w:t>
            </w:r>
            <w:r w:rsidR="00750B1D">
              <w:rPr>
                <w:rFonts w:ascii="Aptos" w:hAnsi="Aptos"/>
                <w:sz w:val="20"/>
                <w:szCs w:val="20"/>
                <w:lang w:eastAsia="ja-JP"/>
              </w:rPr>
              <w:t> </w:t>
            </w:r>
            <w:r w:rsidRPr="00A839DD">
              <w:rPr>
                <w:rFonts w:ascii="Aptos" w:hAnsi="Aptos"/>
                <w:sz w:val="20"/>
                <w:szCs w:val="20"/>
                <w:lang w:eastAsia="ja-JP"/>
              </w:rPr>
              <w:t>%</w:t>
            </w:r>
          </w:p>
        </w:tc>
        <w:tc>
          <w:tcPr>
            <w:tcW w:w="1040" w:type="dxa"/>
            <w:tcBorders>
              <w:top w:val="nil"/>
              <w:bottom w:val="single" w:sz="4" w:space="0" w:color="BFBFBF" w:themeColor="background1" w:themeShade="BF"/>
            </w:tcBorders>
            <w:vAlign w:val="center"/>
          </w:tcPr>
          <w:p w14:paraId="359B54B7" w14:textId="3911B0C8" w:rsidR="00BD7F9E" w:rsidRPr="00A839DD" w:rsidRDefault="001A3D19" w:rsidP="000C7D5D">
            <w:pPr>
              <w:jc w:val="center"/>
              <w:rPr>
                <w:rFonts w:ascii="Aptos" w:hAnsi="Aptos"/>
                <w:sz w:val="20"/>
                <w:szCs w:val="20"/>
                <w:lang w:eastAsia="ja-JP"/>
              </w:rPr>
            </w:pPr>
            <w:r w:rsidRPr="00A839DD">
              <w:rPr>
                <w:rFonts w:ascii="Aptos" w:hAnsi="Aptos"/>
                <w:sz w:val="20"/>
                <w:szCs w:val="20"/>
                <w:lang w:eastAsia="ja-JP"/>
              </w:rPr>
              <w:t>0,5</w:t>
            </w:r>
            <w:r w:rsidR="00750B1D">
              <w:rPr>
                <w:rFonts w:ascii="Aptos" w:hAnsi="Aptos"/>
                <w:sz w:val="20"/>
                <w:szCs w:val="20"/>
                <w:lang w:eastAsia="ja-JP"/>
              </w:rPr>
              <w:t> </w:t>
            </w:r>
            <w:r w:rsidRPr="00A839DD">
              <w:rPr>
                <w:rFonts w:ascii="Aptos" w:hAnsi="Aptos"/>
                <w:sz w:val="20"/>
                <w:szCs w:val="20"/>
                <w:lang w:eastAsia="ja-JP"/>
              </w:rPr>
              <w:t>%</w:t>
            </w:r>
          </w:p>
        </w:tc>
      </w:tr>
      <w:tr w:rsidR="00072789" w:rsidRPr="00A839DD" w14:paraId="5D903E22" w14:textId="77777777" w:rsidTr="005D6E7B">
        <w:trPr>
          <w:trHeight w:val="996"/>
          <w:jc w:val="center"/>
        </w:trPr>
        <w:tc>
          <w:tcPr>
            <w:tcW w:w="9222" w:type="dxa"/>
            <w:gridSpan w:val="5"/>
            <w:tcBorders>
              <w:top w:val="single" w:sz="4" w:space="0" w:color="BFBFBF" w:themeColor="background1" w:themeShade="BF"/>
              <w:left w:val="nil"/>
              <w:bottom w:val="nil"/>
              <w:right w:val="nil"/>
            </w:tcBorders>
          </w:tcPr>
          <w:p w14:paraId="740421C3" w14:textId="4FDB3860" w:rsidR="00072789" w:rsidRPr="00A839DD" w:rsidRDefault="00072789" w:rsidP="000C7D5D">
            <w:pPr>
              <w:rPr>
                <w:rFonts w:ascii="Aptos" w:hAnsi="Aptos"/>
                <w:sz w:val="20"/>
                <w:szCs w:val="20"/>
                <w:lang w:eastAsia="ja-JP"/>
              </w:rPr>
            </w:pPr>
            <w:r w:rsidRPr="00A839DD">
              <w:rPr>
                <w:rFonts w:ascii="Aptos" w:hAnsi="Aptos"/>
                <w:sz w:val="20"/>
                <w:szCs w:val="20"/>
                <w:lang w:eastAsia="ja-JP"/>
              </w:rPr>
              <w:t xml:space="preserve">* </w:t>
            </w:r>
            <w:r w:rsidRPr="00164333">
              <w:rPr>
                <w:rFonts w:ascii="Aptos" w:hAnsi="Aptos"/>
                <w:lang w:eastAsia="ja-JP"/>
              </w:rPr>
              <w:t>Dans plusieurs cas, la situation dénoncée a pu placer la personne plaignante en situation de handicap, notamment en raison des conséquences sur sa santé mentale. Cet aspect sera plutôt traité dans la section sur les effets des situations dénoncées sur les personnes plaignantes.</w:t>
            </w:r>
          </w:p>
        </w:tc>
      </w:tr>
    </w:tbl>
    <w:p w14:paraId="20F0B66F" w14:textId="555AB919" w:rsidR="00167ED0" w:rsidRPr="00A839DD" w:rsidRDefault="0009200A" w:rsidP="0006339A">
      <w:pPr>
        <w:pStyle w:val="Paragraphe"/>
      </w:pPr>
      <w:r w:rsidRPr="00A839DD">
        <w:t>Quant à l’âge des personnes plaignantes, celui-ci n’est pas mentionné dans 83</w:t>
      </w:r>
      <w:r w:rsidR="00A2068D" w:rsidRPr="00A839DD">
        <w:t> </w:t>
      </w:r>
      <w:r w:rsidRPr="00A839DD">
        <w:t>% des cas. Parmi les autres, 19 ont entre 18 et 35</w:t>
      </w:r>
      <w:r w:rsidR="005516C0" w:rsidRPr="00A839DD">
        <w:t> </w:t>
      </w:r>
      <w:r w:rsidRPr="00A839DD">
        <w:t>ans, 14 entre 35 et 55</w:t>
      </w:r>
      <w:r w:rsidR="005516C0" w:rsidRPr="00A839DD">
        <w:t> </w:t>
      </w:r>
      <w:r w:rsidRPr="00A839DD">
        <w:t>ans et 2</w:t>
      </w:r>
      <w:r w:rsidR="00F468CA" w:rsidRPr="00A839DD">
        <w:t>,</w:t>
      </w:r>
      <w:r w:rsidRPr="00A839DD">
        <w:t xml:space="preserve"> plus de 55</w:t>
      </w:r>
      <w:r w:rsidR="005516C0" w:rsidRPr="00A839DD">
        <w:t> </w:t>
      </w:r>
      <w:r w:rsidRPr="00A839DD">
        <w:t>ans.</w:t>
      </w:r>
    </w:p>
    <w:p w14:paraId="2855E65A" w14:textId="77777777" w:rsidR="00175F15" w:rsidRPr="00A839DD" w:rsidRDefault="00175F15" w:rsidP="001D3E83">
      <w:pPr>
        <w:pStyle w:val="Titre2"/>
        <w:rPr>
          <w:noProof w:val="0"/>
        </w:rPr>
      </w:pPr>
      <w:bookmarkStart w:id="125" w:name="_Toc215748709"/>
      <w:bookmarkStart w:id="126" w:name="_Toc229131303"/>
      <w:r w:rsidRPr="00A839DD">
        <w:rPr>
          <w:noProof w:val="0"/>
        </w:rPr>
        <w:lastRenderedPageBreak/>
        <w:t>Les autres motifs de discrimination contribuant aux situations dénoncées</w:t>
      </w:r>
      <w:bookmarkEnd w:id="125"/>
      <w:bookmarkEnd w:id="126"/>
    </w:p>
    <w:p w14:paraId="33F7E79D" w14:textId="39C9BCEE" w:rsidR="007F2081" w:rsidRPr="00A839DD" w:rsidRDefault="007F2081" w:rsidP="0006339A">
      <w:pPr>
        <w:pStyle w:val="Paragraphe"/>
      </w:pPr>
      <w:r w:rsidRPr="00A839DD">
        <w:t>Dans le formulaire de plaintes, les personnes peuvent cocher plus d’un motif de discrimination. Lors de l’analyse, d’autres motifs jouant manifestement un rôle dans la situation décrite ont aussi été relevés, même s’ils n’étaient pas identifiés par la personne concernée ou dans le traitement de la plainte. Ainsi, dans environ le quart des plaintes analysées (23</w:t>
      </w:r>
      <w:r w:rsidR="00A2068D" w:rsidRPr="00A839DD">
        <w:t> </w:t>
      </w:r>
      <w:r w:rsidRPr="00A839DD">
        <w:t>%), au moins un autre motif apparaît contribuer à la discrimination alléguée. Dans 12</w:t>
      </w:r>
      <w:r w:rsidR="005516C0" w:rsidRPr="00A839DD">
        <w:t> </w:t>
      </w:r>
      <w:r w:rsidRPr="00A839DD">
        <w:t>plaintes, un troisième motif entre aussi en jeu. Les motifs «</w:t>
      </w:r>
      <w:r w:rsidR="00DE533D" w:rsidRPr="00A839DD">
        <w:rPr>
          <w:rFonts w:ascii="Arial" w:hAnsi="Arial" w:cs="Arial"/>
        </w:rPr>
        <w:t> </w:t>
      </w:r>
      <w:r w:rsidRPr="00A839DD">
        <w:t>identité de genre</w:t>
      </w:r>
      <w:r w:rsidR="00DE533D" w:rsidRPr="00A839DD">
        <w:rPr>
          <w:rFonts w:ascii="Arial" w:hAnsi="Arial" w:cs="Arial"/>
        </w:rPr>
        <w:t> </w:t>
      </w:r>
      <w:r w:rsidRPr="00A839DD">
        <w:t>» et «</w:t>
      </w:r>
      <w:r w:rsidR="00DE533D" w:rsidRPr="00A839DD">
        <w:rPr>
          <w:rFonts w:ascii="Arial" w:hAnsi="Arial" w:cs="Arial"/>
        </w:rPr>
        <w:t> </w:t>
      </w:r>
      <w:r w:rsidRPr="00A839DD">
        <w:t>expression de genre</w:t>
      </w:r>
      <w:r w:rsidR="00DE533D" w:rsidRPr="00A839DD">
        <w:rPr>
          <w:rFonts w:ascii="Arial" w:hAnsi="Arial" w:cs="Arial"/>
        </w:rPr>
        <w:t> </w:t>
      </w:r>
      <w:r w:rsidRPr="00A839DD">
        <w:t>» ont été décomposés pour refléter plus finement chacune de ces dimensions. Faute d’informations suffisantes dans les plaintes, un traitement plus approfondi de ces données n’a pas été possible.</w:t>
      </w:r>
    </w:p>
    <w:tbl>
      <w:tblPr>
        <w:tblStyle w:val="Grilledutableau6"/>
        <w:tblW w:w="967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1733"/>
        <w:gridCol w:w="2485"/>
        <w:gridCol w:w="2489"/>
      </w:tblGrid>
      <w:tr w:rsidR="001701B7" w:rsidRPr="00A839DD" w14:paraId="2B1B8A64" w14:textId="77777777" w:rsidTr="00164333">
        <w:trPr>
          <w:trHeight w:val="724"/>
          <w:jc w:val="center"/>
        </w:trPr>
        <w:tc>
          <w:tcPr>
            <w:tcW w:w="9679" w:type="dxa"/>
            <w:gridSpan w:val="4"/>
            <w:shd w:val="clear" w:color="auto" w:fill="953D89"/>
          </w:tcPr>
          <w:p w14:paraId="640190C4" w14:textId="2BD0154D" w:rsidR="001701B7" w:rsidRPr="00A839DD" w:rsidRDefault="001701B7" w:rsidP="00D20BAE">
            <w:pPr>
              <w:tabs>
                <w:tab w:val="left" w:pos="0"/>
              </w:tabs>
              <w:suppressAutoHyphens w:val="0"/>
              <w:autoSpaceDE/>
              <w:autoSpaceDN/>
              <w:adjustRightInd/>
              <w:ind w:left="24" w:hanging="24"/>
              <w:jc w:val="center"/>
              <w:textAlignment w:val="auto"/>
              <w:rPr>
                <w:rFonts w:asciiTheme="minorHAnsi" w:hAnsiTheme="minorHAnsi" w:cs="Arial"/>
                <w:b/>
                <w:bCs/>
                <w:sz w:val="20"/>
                <w:szCs w:val="20"/>
                <w:lang w:eastAsia="ja-JP"/>
              </w:rPr>
            </w:pPr>
            <w:r w:rsidRPr="00A839DD">
              <w:rPr>
                <w:rFonts w:asciiTheme="minorHAnsi" w:hAnsiTheme="minorHAnsi" w:cs="Arial"/>
                <w:b/>
                <w:color w:val="FFFFFF" w:themeColor="background1"/>
                <w:sz w:val="20"/>
                <w:szCs w:val="20"/>
                <w:lang w:eastAsia="ja-JP"/>
              </w:rPr>
              <w:t>Tableau</w:t>
            </w:r>
            <w:r w:rsidR="00291541">
              <w:rPr>
                <w:rFonts w:asciiTheme="minorHAnsi" w:hAnsiTheme="minorHAnsi" w:cs="Arial"/>
                <w:b/>
                <w:color w:val="FFFFFF" w:themeColor="background1"/>
                <w:sz w:val="20"/>
                <w:szCs w:val="20"/>
                <w:lang w:eastAsia="ja-JP"/>
              </w:rPr>
              <w:t> </w:t>
            </w:r>
            <w:r w:rsidRPr="00A839DD">
              <w:rPr>
                <w:rFonts w:asciiTheme="minorHAnsi" w:hAnsiTheme="minorHAnsi" w:cs="Arial"/>
                <w:b/>
                <w:color w:val="FFFFFF" w:themeColor="background1"/>
                <w:sz w:val="20"/>
                <w:szCs w:val="20"/>
                <w:lang w:eastAsia="ja-JP"/>
              </w:rPr>
              <w:t>8</w:t>
            </w:r>
            <w:r w:rsidRPr="00A839DD">
              <w:rPr>
                <w:rFonts w:asciiTheme="minorHAnsi" w:hAnsiTheme="minorHAnsi" w:cs="Arial"/>
                <w:b/>
                <w:color w:val="FFFFFF" w:themeColor="background1"/>
                <w:sz w:val="20"/>
                <w:szCs w:val="20"/>
                <w:lang w:eastAsia="ja-JP"/>
              </w:rPr>
              <w:br/>
            </w:r>
            <w:r w:rsidRPr="00A839DD">
              <w:rPr>
                <w:rFonts w:asciiTheme="minorHAnsi" w:hAnsiTheme="minorHAnsi" w:cs="Arial"/>
                <w:color w:val="FFFFFF" w:themeColor="background1"/>
                <w:sz w:val="20"/>
                <w:szCs w:val="20"/>
                <w:lang w:eastAsia="ja-JP"/>
              </w:rPr>
              <w:t>Autres motifs de discrimination contribuant aux situations dénoncées</w:t>
            </w:r>
            <w:r w:rsidRPr="00A839DD">
              <w:rPr>
                <w:rFonts w:asciiTheme="minorHAnsi" w:hAnsiTheme="minorHAnsi" w:cs="Arial"/>
                <w:color w:val="FFFFFF" w:themeColor="background1"/>
                <w:sz w:val="20"/>
                <w:szCs w:val="20"/>
                <w:lang w:eastAsia="ja-JP"/>
              </w:rPr>
              <w:br/>
              <w:t>selon le motif dans le corpus pour l’analyse qualitative (1994 –</w:t>
            </w:r>
            <w:r w:rsidR="00B30485" w:rsidRPr="00A839DD">
              <w:rPr>
                <w:rFonts w:ascii="Arial" w:hAnsi="Arial" w:cs="Arial"/>
                <w:color w:val="FFFFFF" w:themeColor="background1"/>
                <w:sz w:val="20"/>
                <w:szCs w:val="20"/>
                <w:lang w:eastAsia="ja-JP"/>
              </w:rPr>
              <w:t> </w:t>
            </w:r>
            <w:r w:rsidRPr="00A839DD">
              <w:rPr>
                <w:rFonts w:asciiTheme="minorHAnsi" w:hAnsiTheme="minorHAnsi" w:cs="Arial"/>
                <w:color w:val="FFFFFF" w:themeColor="background1"/>
                <w:sz w:val="20"/>
                <w:szCs w:val="20"/>
                <w:lang w:eastAsia="ja-JP"/>
              </w:rPr>
              <w:t>2020), n = 201</w:t>
            </w:r>
          </w:p>
        </w:tc>
      </w:tr>
      <w:tr w:rsidR="00D20BAE" w:rsidRPr="00A839DD" w14:paraId="756C28DB" w14:textId="77777777" w:rsidTr="00164333">
        <w:trPr>
          <w:trHeight w:val="1210"/>
          <w:jc w:val="center"/>
        </w:trPr>
        <w:tc>
          <w:tcPr>
            <w:tcW w:w="2972" w:type="dxa"/>
            <w:shd w:val="clear" w:color="auto" w:fill="0F243E"/>
            <w:vAlign w:val="center"/>
          </w:tcPr>
          <w:p w14:paraId="3305D17C" w14:textId="77777777" w:rsidR="00D20BAE" w:rsidRPr="00AD3859" w:rsidRDefault="00D20BAE" w:rsidP="00315ED2">
            <w:pPr>
              <w:tabs>
                <w:tab w:val="left" w:pos="0"/>
              </w:tabs>
              <w:suppressAutoHyphens w:val="0"/>
              <w:autoSpaceDE/>
              <w:autoSpaceDN/>
              <w:adjustRightInd/>
              <w:ind w:left="24" w:hanging="24"/>
              <w:jc w:val="center"/>
              <w:textAlignment w:val="auto"/>
              <w:rPr>
                <w:rFonts w:asciiTheme="minorHAnsi" w:hAnsiTheme="minorHAnsi" w:cs="Arial"/>
                <w:b/>
                <w:bCs/>
                <w:color w:val="FFFFFF" w:themeColor="background1"/>
                <w:sz w:val="20"/>
                <w:szCs w:val="20"/>
                <w:lang w:eastAsia="ja-JP"/>
              </w:rPr>
            </w:pPr>
            <w:r w:rsidRPr="00AD3859">
              <w:rPr>
                <w:rFonts w:asciiTheme="minorHAnsi" w:hAnsiTheme="minorHAnsi" w:cs="Arial"/>
                <w:b/>
                <w:bCs/>
                <w:color w:val="FFFFFF" w:themeColor="background1"/>
                <w:sz w:val="20"/>
                <w:szCs w:val="20"/>
                <w:lang w:eastAsia="ja-JP"/>
              </w:rPr>
              <w:t>Autres motifs contribuant aux situations dénoncées</w:t>
            </w:r>
          </w:p>
        </w:tc>
        <w:tc>
          <w:tcPr>
            <w:tcW w:w="1733" w:type="dxa"/>
            <w:shd w:val="clear" w:color="auto" w:fill="0F243E"/>
            <w:vAlign w:val="center"/>
          </w:tcPr>
          <w:p w14:paraId="0142555F" w14:textId="77777777" w:rsidR="00D20BAE" w:rsidRPr="00AD3859" w:rsidRDefault="00D20BAE" w:rsidP="00315ED2">
            <w:pPr>
              <w:tabs>
                <w:tab w:val="left" w:pos="0"/>
              </w:tabs>
              <w:suppressAutoHyphens w:val="0"/>
              <w:autoSpaceDE/>
              <w:autoSpaceDN/>
              <w:adjustRightInd/>
              <w:ind w:left="24" w:hanging="24"/>
              <w:jc w:val="center"/>
              <w:textAlignment w:val="auto"/>
              <w:rPr>
                <w:rFonts w:asciiTheme="minorHAnsi" w:hAnsiTheme="minorHAnsi" w:cs="Arial"/>
                <w:b/>
                <w:bCs/>
                <w:color w:val="FFFFFF" w:themeColor="background1"/>
                <w:sz w:val="20"/>
                <w:szCs w:val="20"/>
                <w:lang w:eastAsia="ja-JP"/>
              </w:rPr>
            </w:pPr>
            <w:r w:rsidRPr="00AD3859">
              <w:rPr>
                <w:rFonts w:asciiTheme="minorHAnsi" w:hAnsiTheme="minorHAnsi" w:cs="Arial"/>
                <w:b/>
                <w:bCs/>
                <w:color w:val="FFFFFF" w:themeColor="background1"/>
                <w:sz w:val="20"/>
                <w:szCs w:val="20"/>
                <w:lang w:eastAsia="ja-JP"/>
              </w:rPr>
              <w:t>Plaintes pour les deux motifs combinés</w:t>
            </w:r>
          </w:p>
        </w:tc>
        <w:tc>
          <w:tcPr>
            <w:tcW w:w="2485" w:type="dxa"/>
            <w:shd w:val="clear" w:color="auto" w:fill="0F243E"/>
            <w:vAlign w:val="center"/>
          </w:tcPr>
          <w:p w14:paraId="68D1D063" w14:textId="77777777" w:rsidR="00D20BAE" w:rsidRPr="00AD3859" w:rsidRDefault="00D20BAE" w:rsidP="00315ED2">
            <w:pPr>
              <w:tabs>
                <w:tab w:val="left" w:pos="0"/>
              </w:tabs>
              <w:suppressAutoHyphens w:val="0"/>
              <w:autoSpaceDE/>
              <w:autoSpaceDN/>
              <w:adjustRightInd/>
              <w:ind w:left="24" w:hanging="24"/>
              <w:jc w:val="center"/>
              <w:textAlignment w:val="auto"/>
              <w:rPr>
                <w:rFonts w:asciiTheme="minorHAnsi" w:hAnsiTheme="minorHAnsi" w:cs="Arial"/>
                <w:b/>
                <w:bCs/>
                <w:color w:val="FFFFFF" w:themeColor="background1"/>
                <w:sz w:val="20"/>
                <w:szCs w:val="20"/>
                <w:lang w:eastAsia="ja-JP"/>
              </w:rPr>
            </w:pPr>
            <w:r w:rsidRPr="00AD3859">
              <w:rPr>
                <w:rFonts w:asciiTheme="minorHAnsi" w:hAnsiTheme="minorHAnsi" w:cs="Arial"/>
                <w:b/>
                <w:bCs/>
                <w:color w:val="FFFFFF" w:themeColor="background1"/>
                <w:sz w:val="20"/>
                <w:szCs w:val="20"/>
                <w:lang w:eastAsia="ja-JP"/>
              </w:rPr>
              <w:t>Plaintes pour discrimination fondée sur l’orientation sexuelle</w:t>
            </w:r>
          </w:p>
        </w:tc>
        <w:tc>
          <w:tcPr>
            <w:tcW w:w="2489" w:type="dxa"/>
            <w:shd w:val="clear" w:color="auto" w:fill="0F243E"/>
            <w:vAlign w:val="center"/>
          </w:tcPr>
          <w:p w14:paraId="54344C9E" w14:textId="77777777" w:rsidR="00D20BAE" w:rsidRPr="00AD3859" w:rsidRDefault="00D20BAE" w:rsidP="00315ED2">
            <w:pPr>
              <w:tabs>
                <w:tab w:val="left" w:pos="0"/>
              </w:tabs>
              <w:suppressAutoHyphens w:val="0"/>
              <w:autoSpaceDE/>
              <w:autoSpaceDN/>
              <w:adjustRightInd/>
              <w:ind w:left="24" w:hanging="24"/>
              <w:jc w:val="center"/>
              <w:textAlignment w:val="auto"/>
              <w:rPr>
                <w:rFonts w:asciiTheme="minorHAnsi" w:hAnsiTheme="minorHAnsi" w:cs="Arial"/>
                <w:b/>
                <w:bCs/>
                <w:color w:val="FFFFFF" w:themeColor="background1"/>
                <w:sz w:val="20"/>
                <w:szCs w:val="20"/>
                <w:lang w:eastAsia="ja-JP"/>
              </w:rPr>
            </w:pPr>
            <w:r w:rsidRPr="00AD3859">
              <w:rPr>
                <w:rFonts w:asciiTheme="minorHAnsi" w:hAnsiTheme="minorHAnsi" w:cs="Arial"/>
                <w:b/>
                <w:bCs/>
                <w:color w:val="FFFFFF" w:themeColor="background1"/>
                <w:sz w:val="20"/>
                <w:szCs w:val="20"/>
                <w:lang w:eastAsia="ja-JP"/>
              </w:rPr>
              <w:t>Plaintes pour discrimination fondée sur l’identité de genre</w:t>
            </w:r>
          </w:p>
        </w:tc>
      </w:tr>
      <w:tr w:rsidR="00D20BAE" w:rsidRPr="00A839DD" w14:paraId="26114ABD" w14:textId="77777777" w:rsidTr="00164333">
        <w:trPr>
          <w:trHeight w:val="488"/>
          <w:jc w:val="center"/>
        </w:trPr>
        <w:tc>
          <w:tcPr>
            <w:tcW w:w="2972" w:type="dxa"/>
            <w:shd w:val="clear" w:color="auto" w:fill="E3ECF9"/>
            <w:vAlign w:val="center"/>
          </w:tcPr>
          <w:p w14:paraId="51684322" w14:textId="77777777" w:rsidR="00D20BAE" w:rsidRPr="00A839DD" w:rsidRDefault="00D20BAE" w:rsidP="00846991">
            <w:pPr>
              <w:tabs>
                <w:tab w:val="left" w:pos="0"/>
              </w:tabs>
              <w:suppressAutoHyphens w:val="0"/>
              <w:autoSpaceDE/>
              <w:autoSpaceDN/>
              <w:adjustRightInd/>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Sexe</w:t>
            </w:r>
          </w:p>
        </w:tc>
        <w:tc>
          <w:tcPr>
            <w:tcW w:w="1733" w:type="dxa"/>
            <w:shd w:val="clear" w:color="auto" w:fill="E3ECF9"/>
            <w:vAlign w:val="center"/>
          </w:tcPr>
          <w:p w14:paraId="27E446A5"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13</w:t>
            </w:r>
          </w:p>
        </w:tc>
        <w:tc>
          <w:tcPr>
            <w:tcW w:w="2485" w:type="dxa"/>
            <w:shd w:val="clear" w:color="auto" w:fill="E3ECF9"/>
            <w:vAlign w:val="center"/>
          </w:tcPr>
          <w:p w14:paraId="7B76F2DE"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8</w:t>
            </w:r>
          </w:p>
        </w:tc>
        <w:tc>
          <w:tcPr>
            <w:tcW w:w="2489" w:type="dxa"/>
            <w:shd w:val="clear" w:color="auto" w:fill="E3ECF9"/>
            <w:vAlign w:val="center"/>
          </w:tcPr>
          <w:p w14:paraId="1D502111"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5</w:t>
            </w:r>
          </w:p>
        </w:tc>
      </w:tr>
      <w:tr w:rsidR="00D20BAE" w:rsidRPr="00A839DD" w14:paraId="11318E1C" w14:textId="77777777" w:rsidTr="00164333">
        <w:trPr>
          <w:trHeight w:val="488"/>
          <w:jc w:val="center"/>
        </w:trPr>
        <w:tc>
          <w:tcPr>
            <w:tcW w:w="2972" w:type="dxa"/>
            <w:vAlign w:val="center"/>
          </w:tcPr>
          <w:p w14:paraId="006D0C08" w14:textId="77777777" w:rsidR="00D20BAE" w:rsidRPr="00A839DD" w:rsidRDefault="00D20BAE" w:rsidP="00846991">
            <w:pPr>
              <w:tabs>
                <w:tab w:val="left" w:pos="0"/>
              </w:tabs>
              <w:suppressAutoHyphens w:val="0"/>
              <w:autoSpaceDE/>
              <w:autoSpaceDN/>
              <w:adjustRightInd/>
              <w:ind w:left="24" w:hanging="24"/>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Handicap</w:t>
            </w:r>
          </w:p>
        </w:tc>
        <w:tc>
          <w:tcPr>
            <w:tcW w:w="1733" w:type="dxa"/>
            <w:vAlign w:val="center"/>
          </w:tcPr>
          <w:p w14:paraId="72733A70"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8</w:t>
            </w:r>
          </w:p>
        </w:tc>
        <w:tc>
          <w:tcPr>
            <w:tcW w:w="2485" w:type="dxa"/>
            <w:vAlign w:val="center"/>
          </w:tcPr>
          <w:p w14:paraId="4995C8FC"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7</w:t>
            </w:r>
          </w:p>
        </w:tc>
        <w:tc>
          <w:tcPr>
            <w:tcW w:w="2489" w:type="dxa"/>
            <w:vAlign w:val="center"/>
          </w:tcPr>
          <w:p w14:paraId="124C38F3"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w:t>
            </w:r>
          </w:p>
        </w:tc>
      </w:tr>
      <w:tr w:rsidR="00D20BAE" w:rsidRPr="00A839DD" w14:paraId="0EA38526" w14:textId="77777777" w:rsidTr="00164333">
        <w:trPr>
          <w:trHeight w:val="488"/>
          <w:jc w:val="center"/>
        </w:trPr>
        <w:tc>
          <w:tcPr>
            <w:tcW w:w="2972" w:type="dxa"/>
            <w:shd w:val="clear" w:color="auto" w:fill="E3ECF9"/>
            <w:vAlign w:val="center"/>
          </w:tcPr>
          <w:p w14:paraId="352574C1" w14:textId="77777777" w:rsidR="00D20BAE" w:rsidRPr="00A839DD" w:rsidRDefault="00D20BAE" w:rsidP="00846991">
            <w:pPr>
              <w:tabs>
                <w:tab w:val="left" w:pos="0"/>
              </w:tabs>
              <w:suppressAutoHyphens w:val="0"/>
              <w:autoSpaceDE/>
              <w:autoSpaceDN/>
              <w:adjustRightInd/>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Origine ethnique ou nationale</w:t>
            </w:r>
          </w:p>
        </w:tc>
        <w:tc>
          <w:tcPr>
            <w:tcW w:w="1733" w:type="dxa"/>
            <w:shd w:val="clear" w:color="auto" w:fill="E3ECF9"/>
            <w:vAlign w:val="center"/>
          </w:tcPr>
          <w:p w14:paraId="78FCECDF"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8</w:t>
            </w:r>
          </w:p>
        </w:tc>
        <w:tc>
          <w:tcPr>
            <w:tcW w:w="2485" w:type="dxa"/>
            <w:shd w:val="clear" w:color="auto" w:fill="E3ECF9"/>
            <w:vAlign w:val="center"/>
          </w:tcPr>
          <w:p w14:paraId="1A182245"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6</w:t>
            </w:r>
          </w:p>
        </w:tc>
        <w:tc>
          <w:tcPr>
            <w:tcW w:w="2489" w:type="dxa"/>
            <w:shd w:val="clear" w:color="auto" w:fill="E3ECF9"/>
            <w:vAlign w:val="center"/>
          </w:tcPr>
          <w:p w14:paraId="2AE78344"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2</w:t>
            </w:r>
          </w:p>
        </w:tc>
      </w:tr>
      <w:tr w:rsidR="00D20BAE" w:rsidRPr="00A839DD" w14:paraId="7D8F8925" w14:textId="77777777" w:rsidTr="00164333">
        <w:trPr>
          <w:trHeight w:val="488"/>
          <w:jc w:val="center"/>
        </w:trPr>
        <w:tc>
          <w:tcPr>
            <w:tcW w:w="2972" w:type="dxa"/>
            <w:vAlign w:val="center"/>
          </w:tcPr>
          <w:p w14:paraId="3237B42F" w14:textId="3CA41E3C" w:rsidR="00D20BAE" w:rsidRPr="00A839DD" w:rsidRDefault="00D20BAE" w:rsidP="00846991">
            <w:pPr>
              <w:tabs>
                <w:tab w:val="left" w:pos="0"/>
              </w:tabs>
              <w:suppressAutoHyphens w:val="0"/>
              <w:autoSpaceDE/>
              <w:autoSpaceDN/>
              <w:adjustRightInd/>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w:t>
            </w:r>
            <w:r w:rsidR="00DE533D" w:rsidRPr="00A839DD">
              <w:rPr>
                <w:rFonts w:ascii="Arial" w:hAnsi="Arial" w:cs="Arial"/>
                <w:sz w:val="20"/>
                <w:szCs w:val="20"/>
                <w:lang w:eastAsia="ja-JP"/>
              </w:rPr>
              <w:t> </w:t>
            </w:r>
            <w:r w:rsidRPr="00A839DD">
              <w:rPr>
                <w:rFonts w:asciiTheme="minorHAnsi" w:hAnsiTheme="minorHAnsi" w:cs="Arial"/>
                <w:sz w:val="20"/>
                <w:szCs w:val="20"/>
                <w:lang w:eastAsia="ja-JP"/>
              </w:rPr>
              <w:t>Race</w:t>
            </w:r>
            <w:r w:rsidR="00DE533D" w:rsidRPr="00A839DD">
              <w:rPr>
                <w:rFonts w:ascii="Arial" w:hAnsi="Arial" w:cs="Arial"/>
                <w:sz w:val="20"/>
                <w:szCs w:val="20"/>
                <w:lang w:eastAsia="ja-JP"/>
              </w:rPr>
              <w:t> </w:t>
            </w:r>
            <w:r w:rsidRPr="00A839DD">
              <w:rPr>
                <w:rFonts w:asciiTheme="minorHAnsi" w:hAnsiTheme="minorHAnsi" w:cs="Arial"/>
                <w:sz w:val="20"/>
                <w:szCs w:val="20"/>
                <w:lang w:eastAsia="ja-JP"/>
              </w:rPr>
              <w:t>»</w:t>
            </w:r>
          </w:p>
        </w:tc>
        <w:tc>
          <w:tcPr>
            <w:tcW w:w="1733" w:type="dxa"/>
            <w:vAlign w:val="center"/>
          </w:tcPr>
          <w:p w14:paraId="1E083D74"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6</w:t>
            </w:r>
          </w:p>
        </w:tc>
        <w:tc>
          <w:tcPr>
            <w:tcW w:w="2485" w:type="dxa"/>
            <w:vAlign w:val="center"/>
          </w:tcPr>
          <w:p w14:paraId="3D2A3E78"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6</w:t>
            </w:r>
          </w:p>
        </w:tc>
        <w:tc>
          <w:tcPr>
            <w:tcW w:w="2489" w:type="dxa"/>
            <w:vAlign w:val="center"/>
          </w:tcPr>
          <w:p w14:paraId="18AB4555"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0</w:t>
            </w:r>
          </w:p>
        </w:tc>
      </w:tr>
      <w:tr w:rsidR="00D20BAE" w:rsidRPr="00A839DD" w14:paraId="753918AA" w14:textId="77777777" w:rsidTr="00164333">
        <w:trPr>
          <w:trHeight w:val="488"/>
          <w:jc w:val="center"/>
        </w:trPr>
        <w:tc>
          <w:tcPr>
            <w:tcW w:w="2972" w:type="dxa"/>
            <w:shd w:val="clear" w:color="auto" w:fill="E3ECF9"/>
            <w:vAlign w:val="center"/>
          </w:tcPr>
          <w:p w14:paraId="068D4449" w14:textId="77777777" w:rsidR="00D20BAE" w:rsidRPr="00A839DD" w:rsidRDefault="00D20BAE" w:rsidP="00846991">
            <w:pPr>
              <w:tabs>
                <w:tab w:val="left" w:pos="0"/>
              </w:tabs>
              <w:suppressAutoHyphens w:val="0"/>
              <w:autoSpaceDE/>
              <w:autoSpaceDN/>
              <w:adjustRightInd/>
              <w:ind w:left="24" w:hanging="24"/>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État civil</w:t>
            </w:r>
          </w:p>
        </w:tc>
        <w:tc>
          <w:tcPr>
            <w:tcW w:w="1733" w:type="dxa"/>
            <w:shd w:val="clear" w:color="auto" w:fill="E3ECF9"/>
            <w:vAlign w:val="center"/>
          </w:tcPr>
          <w:p w14:paraId="74815119"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4</w:t>
            </w:r>
          </w:p>
        </w:tc>
        <w:tc>
          <w:tcPr>
            <w:tcW w:w="2485" w:type="dxa"/>
            <w:shd w:val="clear" w:color="auto" w:fill="E3ECF9"/>
            <w:vAlign w:val="center"/>
          </w:tcPr>
          <w:p w14:paraId="20112F35"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4</w:t>
            </w:r>
          </w:p>
        </w:tc>
        <w:tc>
          <w:tcPr>
            <w:tcW w:w="2489" w:type="dxa"/>
            <w:shd w:val="clear" w:color="auto" w:fill="E3ECF9"/>
            <w:vAlign w:val="center"/>
          </w:tcPr>
          <w:p w14:paraId="4E4CD94C"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0</w:t>
            </w:r>
          </w:p>
        </w:tc>
      </w:tr>
      <w:tr w:rsidR="00D20BAE" w:rsidRPr="00A839DD" w14:paraId="065C7EE9" w14:textId="77777777" w:rsidTr="00164333">
        <w:trPr>
          <w:trHeight w:val="488"/>
          <w:jc w:val="center"/>
        </w:trPr>
        <w:tc>
          <w:tcPr>
            <w:tcW w:w="2972" w:type="dxa"/>
            <w:vAlign w:val="center"/>
          </w:tcPr>
          <w:p w14:paraId="2A742CB7" w14:textId="77777777" w:rsidR="00D20BAE" w:rsidRPr="00A839DD" w:rsidRDefault="00D20BAE" w:rsidP="00846991">
            <w:pPr>
              <w:tabs>
                <w:tab w:val="left" w:pos="0"/>
              </w:tabs>
              <w:suppressAutoHyphens w:val="0"/>
              <w:autoSpaceDE/>
              <w:autoSpaceDN/>
              <w:adjustRightInd/>
              <w:ind w:left="24" w:hanging="24"/>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Âge</w:t>
            </w:r>
          </w:p>
        </w:tc>
        <w:tc>
          <w:tcPr>
            <w:tcW w:w="1733" w:type="dxa"/>
            <w:vAlign w:val="center"/>
          </w:tcPr>
          <w:p w14:paraId="45E4452B"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3</w:t>
            </w:r>
          </w:p>
        </w:tc>
        <w:tc>
          <w:tcPr>
            <w:tcW w:w="2485" w:type="dxa"/>
            <w:vAlign w:val="center"/>
          </w:tcPr>
          <w:p w14:paraId="613E508B"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3</w:t>
            </w:r>
          </w:p>
        </w:tc>
        <w:tc>
          <w:tcPr>
            <w:tcW w:w="2489" w:type="dxa"/>
            <w:vAlign w:val="center"/>
          </w:tcPr>
          <w:p w14:paraId="2EA4E11A"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0</w:t>
            </w:r>
          </w:p>
        </w:tc>
      </w:tr>
      <w:tr w:rsidR="00D20BAE" w:rsidRPr="00A839DD" w14:paraId="14D9C651" w14:textId="77777777" w:rsidTr="00164333">
        <w:trPr>
          <w:trHeight w:val="488"/>
          <w:jc w:val="center"/>
        </w:trPr>
        <w:tc>
          <w:tcPr>
            <w:tcW w:w="2972" w:type="dxa"/>
            <w:shd w:val="clear" w:color="auto" w:fill="E3ECF9"/>
            <w:vAlign w:val="center"/>
          </w:tcPr>
          <w:p w14:paraId="257D69AB" w14:textId="77777777" w:rsidR="00D20BAE" w:rsidRPr="00A839DD" w:rsidRDefault="00D20BAE" w:rsidP="00846991">
            <w:pPr>
              <w:tabs>
                <w:tab w:val="left" w:pos="0"/>
              </w:tabs>
              <w:suppressAutoHyphens w:val="0"/>
              <w:autoSpaceDE/>
              <w:autoSpaceDN/>
              <w:adjustRightInd/>
              <w:ind w:left="24" w:hanging="24"/>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Expression de genre</w:t>
            </w:r>
          </w:p>
        </w:tc>
        <w:tc>
          <w:tcPr>
            <w:tcW w:w="1733" w:type="dxa"/>
            <w:shd w:val="clear" w:color="auto" w:fill="E3ECF9"/>
            <w:vAlign w:val="center"/>
          </w:tcPr>
          <w:p w14:paraId="574B815D"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3</w:t>
            </w:r>
          </w:p>
        </w:tc>
        <w:tc>
          <w:tcPr>
            <w:tcW w:w="2485" w:type="dxa"/>
            <w:shd w:val="clear" w:color="auto" w:fill="E3ECF9"/>
            <w:vAlign w:val="center"/>
          </w:tcPr>
          <w:p w14:paraId="06AEA820"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w:t>
            </w:r>
          </w:p>
        </w:tc>
        <w:tc>
          <w:tcPr>
            <w:tcW w:w="2489" w:type="dxa"/>
            <w:shd w:val="clear" w:color="auto" w:fill="E3ECF9"/>
            <w:vAlign w:val="center"/>
          </w:tcPr>
          <w:p w14:paraId="75749735"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2</w:t>
            </w:r>
          </w:p>
        </w:tc>
      </w:tr>
      <w:tr w:rsidR="00D20BAE" w:rsidRPr="00A839DD" w14:paraId="2142B78C" w14:textId="77777777" w:rsidTr="00164333">
        <w:trPr>
          <w:trHeight w:val="454"/>
          <w:jc w:val="center"/>
        </w:trPr>
        <w:tc>
          <w:tcPr>
            <w:tcW w:w="2972" w:type="dxa"/>
            <w:vAlign w:val="center"/>
          </w:tcPr>
          <w:p w14:paraId="0199C0DC" w14:textId="77777777" w:rsidR="00D20BAE" w:rsidRPr="00A839DD" w:rsidRDefault="00D20BAE" w:rsidP="00846991">
            <w:pPr>
              <w:tabs>
                <w:tab w:val="left" w:pos="0"/>
              </w:tabs>
              <w:suppressAutoHyphens w:val="0"/>
              <w:autoSpaceDE/>
              <w:autoSpaceDN/>
              <w:adjustRightInd/>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Langue</w:t>
            </w:r>
          </w:p>
        </w:tc>
        <w:tc>
          <w:tcPr>
            <w:tcW w:w="1733" w:type="dxa"/>
            <w:vAlign w:val="center"/>
          </w:tcPr>
          <w:p w14:paraId="02886A94"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3</w:t>
            </w:r>
          </w:p>
        </w:tc>
        <w:tc>
          <w:tcPr>
            <w:tcW w:w="2485" w:type="dxa"/>
            <w:vAlign w:val="center"/>
          </w:tcPr>
          <w:p w14:paraId="466D5B26"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3</w:t>
            </w:r>
          </w:p>
        </w:tc>
        <w:tc>
          <w:tcPr>
            <w:tcW w:w="2489" w:type="dxa"/>
            <w:vAlign w:val="center"/>
          </w:tcPr>
          <w:p w14:paraId="6C4EACA9"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0</w:t>
            </w:r>
          </w:p>
        </w:tc>
      </w:tr>
      <w:tr w:rsidR="00D20BAE" w:rsidRPr="00A839DD" w14:paraId="70B04B6B" w14:textId="77777777" w:rsidTr="00164333">
        <w:trPr>
          <w:trHeight w:val="488"/>
          <w:jc w:val="center"/>
        </w:trPr>
        <w:tc>
          <w:tcPr>
            <w:tcW w:w="2972" w:type="dxa"/>
            <w:shd w:val="clear" w:color="auto" w:fill="E3ECF9"/>
            <w:vAlign w:val="center"/>
          </w:tcPr>
          <w:p w14:paraId="17883BEC" w14:textId="77777777" w:rsidR="00D20BAE" w:rsidRPr="00A839DD" w:rsidRDefault="00D20BAE" w:rsidP="00846991">
            <w:pPr>
              <w:tabs>
                <w:tab w:val="left" w:pos="0"/>
              </w:tabs>
              <w:suppressAutoHyphens w:val="0"/>
              <w:autoSpaceDE/>
              <w:autoSpaceDN/>
              <w:adjustRightInd/>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Religion</w:t>
            </w:r>
          </w:p>
        </w:tc>
        <w:tc>
          <w:tcPr>
            <w:tcW w:w="1733" w:type="dxa"/>
            <w:shd w:val="clear" w:color="auto" w:fill="E3ECF9"/>
            <w:vAlign w:val="center"/>
          </w:tcPr>
          <w:p w14:paraId="606F79D7"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3</w:t>
            </w:r>
          </w:p>
        </w:tc>
        <w:tc>
          <w:tcPr>
            <w:tcW w:w="2485" w:type="dxa"/>
            <w:shd w:val="clear" w:color="auto" w:fill="E3ECF9"/>
            <w:vAlign w:val="center"/>
          </w:tcPr>
          <w:p w14:paraId="2FA21448"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3</w:t>
            </w:r>
          </w:p>
        </w:tc>
        <w:tc>
          <w:tcPr>
            <w:tcW w:w="2489" w:type="dxa"/>
            <w:shd w:val="clear" w:color="auto" w:fill="E3ECF9"/>
            <w:vAlign w:val="center"/>
          </w:tcPr>
          <w:p w14:paraId="77F0EC90"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0</w:t>
            </w:r>
          </w:p>
        </w:tc>
      </w:tr>
      <w:tr w:rsidR="00D20BAE" w:rsidRPr="00A839DD" w14:paraId="3832D124" w14:textId="77777777" w:rsidTr="00164333">
        <w:trPr>
          <w:trHeight w:val="488"/>
          <w:jc w:val="center"/>
        </w:trPr>
        <w:tc>
          <w:tcPr>
            <w:tcW w:w="2972" w:type="dxa"/>
            <w:vAlign w:val="center"/>
          </w:tcPr>
          <w:p w14:paraId="364A327F" w14:textId="77777777" w:rsidR="00D20BAE" w:rsidRPr="00A839DD" w:rsidRDefault="00D20BAE" w:rsidP="00846991">
            <w:pPr>
              <w:tabs>
                <w:tab w:val="left" w:pos="0"/>
              </w:tabs>
              <w:suppressAutoHyphens w:val="0"/>
              <w:autoSpaceDE/>
              <w:autoSpaceDN/>
              <w:adjustRightInd/>
              <w:ind w:left="24" w:hanging="24"/>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Condition sociale</w:t>
            </w:r>
          </w:p>
        </w:tc>
        <w:tc>
          <w:tcPr>
            <w:tcW w:w="1733" w:type="dxa"/>
            <w:vAlign w:val="center"/>
          </w:tcPr>
          <w:p w14:paraId="577FF7E5"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w:t>
            </w:r>
          </w:p>
        </w:tc>
        <w:tc>
          <w:tcPr>
            <w:tcW w:w="2485" w:type="dxa"/>
            <w:vAlign w:val="center"/>
          </w:tcPr>
          <w:p w14:paraId="6355EA26"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0</w:t>
            </w:r>
          </w:p>
        </w:tc>
        <w:tc>
          <w:tcPr>
            <w:tcW w:w="2489" w:type="dxa"/>
            <w:vAlign w:val="center"/>
          </w:tcPr>
          <w:p w14:paraId="7204AB76"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w:t>
            </w:r>
          </w:p>
        </w:tc>
      </w:tr>
      <w:tr w:rsidR="00D20BAE" w:rsidRPr="00A839DD" w14:paraId="6E56AAD5" w14:textId="77777777" w:rsidTr="00164333">
        <w:trPr>
          <w:trHeight w:val="488"/>
          <w:jc w:val="center"/>
        </w:trPr>
        <w:tc>
          <w:tcPr>
            <w:tcW w:w="2972" w:type="dxa"/>
            <w:shd w:val="clear" w:color="auto" w:fill="E3ECF9"/>
            <w:vAlign w:val="center"/>
          </w:tcPr>
          <w:p w14:paraId="108E34E9" w14:textId="77777777" w:rsidR="00D20BAE" w:rsidRPr="00A839DD" w:rsidRDefault="00D20BAE" w:rsidP="00846991">
            <w:pPr>
              <w:tabs>
                <w:tab w:val="left" w:pos="0"/>
              </w:tabs>
              <w:suppressAutoHyphens w:val="0"/>
              <w:autoSpaceDE/>
              <w:autoSpaceDN/>
              <w:adjustRightInd/>
              <w:ind w:left="24" w:hanging="24"/>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Convictions politiques</w:t>
            </w:r>
          </w:p>
        </w:tc>
        <w:tc>
          <w:tcPr>
            <w:tcW w:w="1733" w:type="dxa"/>
            <w:shd w:val="clear" w:color="auto" w:fill="E3ECF9"/>
            <w:vAlign w:val="center"/>
          </w:tcPr>
          <w:p w14:paraId="3A909886"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w:t>
            </w:r>
          </w:p>
        </w:tc>
        <w:tc>
          <w:tcPr>
            <w:tcW w:w="2485" w:type="dxa"/>
            <w:shd w:val="clear" w:color="auto" w:fill="E3ECF9"/>
            <w:vAlign w:val="center"/>
          </w:tcPr>
          <w:p w14:paraId="58382A44"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0</w:t>
            </w:r>
          </w:p>
        </w:tc>
        <w:tc>
          <w:tcPr>
            <w:tcW w:w="2489" w:type="dxa"/>
            <w:shd w:val="clear" w:color="auto" w:fill="E3ECF9"/>
            <w:vAlign w:val="center"/>
          </w:tcPr>
          <w:p w14:paraId="7DBA4785"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w:t>
            </w:r>
          </w:p>
        </w:tc>
      </w:tr>
      <w:tr w:rsidR="00D20BAE" w:rsidRPr="00A839DD" w14:paraId="2CEB4F0B" w14:textId="77777777" w:rsidTr="00164333">
        <w:trPr>
          <w:trHeight w:val="488"/>
          <w:jc w:val="center"/>
        </w:trPr>
        <w:tc>
          <w:tcPr>
            <w:tcW w:w="2972" w:type="dxa"/>
            <w:vAlign w:val="center"/>
          </w:tcPr>
          <w:p w14:paraId="0DE48E6A" w14:textId="77777777" w:rsidR="00D20BAE" w:rsidRPr="00A839DD" w:rsidRDefault="00D20BAE" w:rsidP="00846991">
            <w:pPr>
              <w:tabs>
                <w:tab w:val="left" w:pos="0"/>
              </w:tabs>
              <w:suppressAutoHyphens w:val="0"/>
              <w:autoSpaceDE/>
              <w:autoSpaceDN/>
              <w:adjustRightInd/>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Identité de genre</w:t>
            </w:r>
          </w:p>
        </w:tc>
        <w:tc>
          <w:tcPr>
            <w:tcW w:w="1733" w:type="dxa"/>
            <w:vAlign w:val="center"/>
          </w:tcPr>
          <w:p w14:paraId="143834AE"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w:t>
            </w:r>
          </w:p>
        </w:tc>
        <w:tc>
          <w:tcPr>
            <w:tcW w:w="2485" w:type="dxa"/>
            <w:vAlign w:val="center"/>
          </w:tcPr>
          <w:p w14:paraId="4B49A537"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w:t>
            </w:r>
          </w:p>
        </w:tc>
        <w:tc>
          <w:tcPr>
            <w:tcW w:w="2489" w:type="dxa"/>
            <w:vAlign w:val="center"/>
          </w:tcPr>
          <w:p w14:paraId="63541D0C"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0</w:t>
            </w:r>
          </w:p>
        </w:tc>
      </w:tr>
      <w:tr w:rsidR="00D20BAE" w:rsidRPr="00A839DD" w14:paraId="632F2E74" w14:textId="77777777" w:rsidTr="00164333">
        <w:trPr>
          <w:trHeight w:val="488"/>
          <w:jc w:val="center"/>
        </w:trPr>
        <w:tc>
          <w:tcPr>
            <w:tcW w:w="2972" w:type="dxa"/>
            <w:shd w:val="clear" w:color="auto" w:fill="E3ECF9"/>
            <w:vAlign w:val="center"/>
          </w:tcPr>
          <w:p w14:paraId="5A44323C" w14:textId="77777777" w:rsidR="00D20BAE" w:rsidRPr="00A839DD" w:rsidRDefault="00D20BAE" w:rsidP="00846991">
            <w:pPr>
              <w:tabs>
                <w:tab w:val="left" w:pos="0"/>
              </w:tabs>
              <w:suppressAutoHyphens w:val="0"/>
              <w:autoSpaceDE/>
              <w:autoSpaceDN/>
              <w:adjustRightInd/>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Orientation sexuelle</w:t>
            </w:r>
          </w:p>
        </w:tc>
        <w:tc>
          <w:tcPr>
            <w:tcW w:w="1733" w:type="dxa"/>
            <w:shd w:val="clear" w:color="auto" w:fill="E3ECF9"/>
            <w:vAlign w:val="center"/>
          </w:tcPr>
          <w:p w14:paraId="05480E74"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1</w:t>
            </w:r>
          </w:p>
        </w:tc>
        <w:tc>
          <w:tcPr>
            <w:tcW w:w="2485" w:type="dxa"/>
            <w:shd w:val="clear" w:color="auto" w:fill="E3ECF9"/>
            <w:vAlign w:val="center"/>
          </w:tcPr>
          <w:p w14:paraId="385F25C6"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0</w:t>
            </w:r>
          </w:p>
        </w:tc>
        <w:tc>
          <w:tcPr>
            <w:tcW w:w="2489" w:type="dxa"/>
            <w:shd w:val="clear" w:color="auto" w:fill="E3ECF9"/>
            <w:vAlign w:val="center"/>
          </w:tcPr>
          <w:p w14:paraId="3538E829"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sz w:val="20"/>
                <w:szCs w:val="20"/>
                <w:lang w:eastAsia="ja-JP"/>
              </w:rPr>
            </w:pPr>
            <w:r w:rsidRPr="00A839DD">
              <w:rPr>
                <w:rFonts w:asciiTheme="minorHAnsi" w:hAnsiTheme="minorHAnsi" w:cs="Arial"/>
                <w:sz w:val="20"/>
                <w:szCs w:val="20"/>
                <w:lang w:eastAsia="ja-JP"/>
              </w:rPr>
              <w:t>3</w:t>
            </w:r>
          </w:p>
        </w:tc>
      </w:tr>
      <w:tr w:rsidR="00D20BAE" w:rsidRPr="00A839DD" w14:paraId="166DD35E" w14:textId="77777777" w:rsidTr="00164333">
        <w:trPr>
          <w:trHeight w:val="488"/>
          <w:jc w:val="center"/>
        </w:trPr>
        <w:tc>
          <w:tcPr>
            <w:tcW w:w="2972" w:type="dxa"/>
            <w:vAlign w:val="center"/>
          </w:tcPr>
          <w:p w14:paraId="241615DF" w14:textId="77777777" w:rsidR="00D20BAE" w:rsidRPr="00A839DD" w:rsidRDefault="00D20BAE" w:rsidP="00846991">
            <w:pPr>
              <w:tabs>
                <w:tab w:val="left" w:pos="0"/>
              </w:tabs>
              <w:suppressAutoHyphens w:val="0"/>
              <w:autoSpaceDE/>
              <w:autoSpaceDN/>
              <w:adjustRightInd/>
              <w:textAlignment w:val="auto"/>
              <w:rPr>
                <w:rFonts w:asciiTheme="minorHAnsi" w:hAnsiTheme="minorHAnsi" w:cs="Arial"/>
                <w:b/>
                <w:bCs/>
                <w:sz w:val="20"/>
                <w:szCs w:val="20"/>
                <w:lang w:eastAsia="ja-JP"/>
              </w:rPr>
            </w:pPr>
            <w:r w:rsidRPr="00A839DD">
              <w:rPr>
                <w:rFonts w:asciiTheme="minorHAnsi" w:hAnsiTheme="minorHAnsi" w:cs="Arial"/>
                <w:b/>
                <w:bCs/>
                <w:sz w:val="20"/>
                <w:szCs w:val="20"/>
                <w:lang w:eastAsia="ja-JP"/>
              </w:rPr>
              <w:t>Total</w:t>
            </w:r>
          </w:p>
        </w:tc>
        <w:tc>
          <w:tcPr>
            <w:tcW w:w="1733" w:type="dxa"/>
            <w:vAlign w:val="center"/>
          </w:tcPr>
          <w:p w14:paraId="7E51DDE8"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b/>
                <w:bCs/>
                <w:sz w:val="20"/>
                <w:szCs w:val="20"/>
                <w:lang w:eastAsia="ja-JP"/>
              </w:rPr>
            </w:pPr>
            <w:r w:rsidRPr="00A839DD">
              <w:rPr>
                <w:rFonts w:asciiTheme="minorHAnsi" w:hAnsiTheme="minorHAnsi" w:cs="Arial"/>
                <w:b/>
                <w:bCs/>
                <w:sz w:val="20"/>
                <w:szCs w:val="20"/>
                <w:lang w:eastAsia="ja-JP"/>
              </w:rPr>
              <w:t>55</w:t>
            </w:r>
          </w:p>
        </w:tc>
        <w:tc>
          <w:tcPr>
            <w:tcW w:w="2485" w:type="dxa"/>
            <w:vAlign w:val="center"/>
          </w:tcPr>
          <w:p w14:paraId="25BAFB94"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b/>
                <w:bCs/>
                <w:sz w:val="20"/>
                <w:szCs w:val="20"/>
                <w:lang w:eastAsia="ja-JP"/>
              </w:rPr>
            </w:pPr>
            <w:r w:rsidRPr="00A839DD">
              <w:rPr>
                <w:rFonts w:asciiTheme="minorHAnsi" w:hAnsiTheme="minorHAnsi" w:cs="Arial"/>
                <w:b/>
                <w:bCs/>
                <w:sz w:val="20"/>
                <w:szCs w:val="20"/>
                <w:lang w:eastAsia="ja-JP"/>
              </w:rPr>
              <w:t>42</w:t>
            </w:r>
          </w:p>
        </w:tc>
        <w:tc>
          <w:tcPr>
            <w:tcW w:w="2489" w:type="dxa"/>
            <w:vAlign w:val="center"/>
          </w:tcPr>
          <w:p w14:paraId="11521EA1" w14:textId="77777777" w:rsidR="00D20BAE" w:rsidRPr="00A839DD" w:rsidRDefault="00D20BAE" w:rsidP="00D20BAE">
            <w:pPr>
              <w:tabs>
                <w:tab w:val="left" w:pos="0"/>
              </w:tabs>
              <w:suppressAutoHyphens w:val="0"/>
              <w:autoSpaceDE/>
              <w:autoSpaceDN/>
              <w:adjustRightInd/>
              <w:ind w:left="24" w:hanging="24"/>
              <w:jc w:val="center"/>
              <w:textAlignment w:val="auto"/>
              <w:rPr>
                <w:rFonts w:asciiTheme="minorHAnsi" w:hAnsiTheme="minorHAnsi" w:cs="Arial"/>
                <w:b/>
                <w:bCs/>
                <w:sz w:val="20"/>
                <w:szCs w:val="20"/>
                <w:lang w:eastAsia="ja-JP"/>
              </w:rPr>
            </w:pPr>
            <w:r w:rsidRPr="00A839DD">
              <w:rPr>
                <w:rFonts w:asciiTheme="minorHAnsi" w:hAnsiTheme="minorHAnsi" w:cs="Arial"/>
                <w:b/>
                <w:bCs/>
                <w:sz w:val="20"/>
                <w:szCs w:val="20"/>
                <w:lang w:eastAsia="ja-JP"/>
              </w:rPr>
              <w:t>15</w:t>
            </w:r>
          </w:p>
        </w:tc>
      </w:tr>
    </w:tbl>
    <w:p w14:paraId="5CB6425E" w14:textId="4F29D7ED" w:rsidR="0099641B" w:rsidRPr="00A839DD" w:rsidRDefault="0099641B" w:rsidP="00C56A88">
      <w:pPr>
        <w:pStyle w:val="Titre1"/>
        <w:rPr>
          <w:noProof w:val="0"/>
        </w:rPr>
      </w:pPr>
      <w:bookmarkStart w:id="127" w:name="_Toc229131304"/>
      <w:r w:rsidRPr="00A839DD">
        <w:rPr>
          <w:noProof w:val="0"/>
        </w:rPr>
        <w:lastRenderedPageBreak/>
        <w:t>Les secteurs d’activité visés par les plaintes</w:t>
      </w:r>
      <w:bookmarkEnd w:id="127"/>
      <w:r w:rsidRPr="00A839DD">
        <w:rPr>
          <w:noProof w:val="0"/>
        </w:rPr>
        <w:t xml:space="preserve"> </w:t>
      </w:r>
    </w:p>
    <w:p w14:paraId="520C22E7" w14:textId="5B6CE24F" w:rsidR="00104409" w:rsidRPr="00A839DD" w:rsidRDefault="00104409" w:rsidP="0006339A">
      <w:pPr>
        <w:pStyle w:val="Paragraphe"/>
      </w:pPr>
      <w:r w:rsidRPr="00A839DD">
        <w:t>Les données de la Commission sur les plaintes pour discrimination en emploi, tous motifs confondus, proviennent majoritairement du secteur des services (44</w:t>
      </w:r>
      <w:r w:rsidR="00A2068D" w:rsidRPr="00A839DD">
        <w:t> </w:t>
      </w:r>
      <w:r w:rsidRPr="00A839DD">
        <w:t>%), de l’industrie (18</w:t>
      </w:r>
      <w:r w:rsidR="00A2068D" w:rsidRPr="00A839DD">
        <w:t> </w:t>
      </w:r>
      <w:r w:rsidRPr="00A839DD">
        <w:t>%) et du secteur commercial (16</w:t>
      </w:r>
      <w:r w:rsidR="00A2068D" w:rsidRPr="00A839DD">
        <w:t> </w:t>
      </w:r>
      <w:r w:rsidRPr="00A839DD">
        <w:t>%). Historiquement, 10</w:t>
      </w:r>
      <w:r w:rsidR="00A2068D" w:rsidRPr="00A839DD">
        <w:t> </w:t>
      </w:r>
      <w:r w:rsidRPr="00A839DD">
        <w:t xml:space="preserve">% des plaintes reçues ont émané des organismes gouvernementaux et publics, mais l’essentiel de celles-ci ont été reçues antérieurement à 2004, soit avant que la Commission ne cesse d’accepter les plaintes concernant des milieux syndiqués. </w:t>
      </w:r>
    </w:p>
    <w:p w14:paraId="29389F55" w14:textId="77777777" w:rsidR="00EE2C5F" w:rsidRPr="00A839DD" w:rsidRDefault="00EE2C5F" w:rsidP="001D3E83">
      <w:pPr>
        <w:pStyle w:val="Titre2"/>
        <w:rPr>
          <w:noProof w:val="0"/>
        </w:rPr>
      </w:pPr>
      <w:bookmarkStart w:id="128" w:name="_Toc229131305"/>
      <w:r w:rsidRPr="00A839DD">
        <w:rPr>
          <w:noProof w:val="0"/>
        </w:rPr>
        <w:t>Des plaintes provenant principalement du secteur des services et du secteur commercial</w:t>
      </w:r>
      <w:bookmarkEnd w:id="128"/>
    </w:p>
    <w:p w14:paraId="424FEF65" w14:textId="2282560F" w:rsidR="003E22A5" w:rsidRPr="00A839DD" w:rsidRDefault="003E22A5" w:rsidP="0006339A">
      <w:pPr>
        <w:pStyle w:val="Paragraphe"/>
      </w:pPr>
      <w:r w:rsidRPr="00A839DD">
        <w:t>Pour les plaintes de discrimination fondée sur l’orientation sexuelle et l’identité ou l’expression de genre, le secteur des services représente plus de la moitié du total (52</w:t>
      </w:r>
      <w:r w:rsidR="00A2068D" w:rsidRPr="00A839DD">
        <w:t> </w:t>
      </w:r>
      <w:r w:rsidRPr="00A839DD">
        <w:t>%), ce qui inclut notamment la restauration, l’hôtellerie, la culture, les soins personnels et la santé et les services sociaux. Si on y ajoute le secteur commercial (19</w:t>
      </w:r>
      <w:r w:rsidR="00A2068D" w:rsidRPr="00A839DD">
        <w:t> </w:t>
      </w:r>
      <w:r w:rsidRPr="00A839DD">
        <w:t>%), qui inclut le commerce de détail et de gros, on atteint 71</w:t>
      </w:r>
      <w:r w:rsidR="00A2068D" w:rsidRPr="00A839DD">
        <w:t> </w:t>
      </w:r>
      <w:r w:rsidRPr="00A839DD">
        <w:t>%. Ainsi, près des trois quarts des plaintes concernent des emplois généralement en contact avec le public. Ce taux est quant à lui de 62</w:t>
      </w:r>
      <w:r w:rsidR="00A2068D" w:rsidRPr="00A839DD">
        <w:t> </w:t>
      </w:r>
      <w:r w:rsidRPr="00A839DD">
        <w:t>% pour l’ensemble des motifs, pour un écart de 9</w:t>
      </w:r>
      <w:r w:rsidR="00A2068D" w:rsidRPr="00A839DD">
        <w:t> </w:t>
      </w:r>
      <w:r w:rsidRPr="00A839DD">
        <w:t>%.</w:t>
      </w:r>
    </w:p>
    <w:p w14:paraId="2EE759B7" w14:textId="3474E5DB" w:rsidR="00EE2C5F" w:rsidRPr="00A839DD" w:rsidRDefault="00E06DF1" w:rsidP="008F57DC">
      <w:pPr>
        <w:pStyle w:val="Paragraphe"/>
        <w:jc w:val="center"/>
      </w:pPr>
      <w:r w:rsidRPr="00AD3859">
        <w:rPr>
          <w:shd w:val="clear" w:color="auto" w:fill="E3ECF9"/>
        </w:rPr>
        <w:drawing>
          <wp:inline distT="0" distB="0" distL="0" distR="0" wp14:anchorId="03A2CD44" wp14:editId="32C0CBD8">
            <wp:extent cx="5958840" cy="3359150"/>
            <wp:effectExtent l="0" t="0" r="3810" b="12700"/>
            <wp:docPr id="160883945" name="Graphique 1" descr="Graphique 4&#10;Pourcentages des secteurs visés par les plaintes reçues pour discrimination en emploi fondée sur les deux motifs étudiés (1994 – 2024), n = 769&#10;Voici les secteurs: services, commercial, industrie, organisme gouvernemental et public, transport, communication et gaz, finance, assurance et immobilier, Particulier, (vide), Bâtiments et travaux publics, agriculture, forêt et mine, autre.&#10;L'analyse du graphique est commentée dans le paragraphue précédant le graphique et celui qui suit celui-ci.">
              <a:extLst xmlns:a="http://schemas.openxmlformats.org/drawingml/2006/main">
                <a:ext uri="{FF2B5EF4-FFF2-40B4-BE49-F238E27FC236}">
                  <a16:creationId xmlns:a16="http://schemas.microsoft.com/office/drawing/2014/main" id="{DC13A1D5-7EF2-C062-4AF1-3BD17CDB6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55F03C" w14:textId="1475EB76" w:rsidR="008911FD" w:rsidRPr="00A839DD" w:rsidRDefault="008911FD" w:rsidP="0006339A">
      <w:pPr>
        <w:pStyle w:val="Paragraphe"/>
      </w:pPr>
      <w:r w:rsidRPr="00A839DD">
        <w:t xml:space="preserve">Cet écart peut s’expliquer en partie par le fait que les femmes et les personnes appartenant aux minorités sexuelles sont plus susceptibles que les hommes hétérosexuels de travailler dans la vente </w:t>
      </w:r>
      <w:r w:rsidRPr="00A839DD">
        <w:lastRenderedPageBreak/>
        <w:t>et les services</w:t>
      </w:r>
      <w:r w:rsidRPr="00A839DD">
        <w:rPr>
          <w:rStyle w:val="Appelnotedebasdep"/>
        </w:rPr>
        <w:footnoteReference w:id="232"/>
      </w:r>
      <w:r w:rsidRPr="00A839DD">
        <w:t>. Environ le quart des femmes de toutes les orientations sexuelles et des hommes gais travaillent dans ce secteur, comparativement à 16,3</w:t>
      </w:r>
      <w:r w:rsidR="00A2068D" w:rsidRPr="00A839DD">
        <w:t> </w:t>
      </w:r>
      <w:r w:rsidRPr="00A839DD">
        <w:t>% des hommes hétérosexuels</w:t>
      </w:r>
      <w:bookmarkStart w:id="129" w:name="_Ref222322819"/>
      <w:r w:rsidRPr="00A839DD">
        <w:rPr>
          <w:rStyle w:val="Appelnotedebasdep"/>
        </w:rPr>
        <w:footnoteReference w:id="233"/>
      </w:r>
      <w:bookmarkEnd w:id="129"/>
      <w:r w:rsidRPr="00A839DD">
        <w:t>. La surreprésentation des plaintes dans les services et le secteur commercial peut aussi s’expliquer par la place qu’occupe la présentation de soi dans ces emplois, et donc l’expression de genre, un aspect pour lequel les personnes LGBTQ+ sont particulièrement ciblées</w:t>
      </w:r>
      <w:r w:rsidRPr="00A839DD">
        <w:rPr>
          <w:rStyle w:val="Appelnotedebasdep"/>
        </w:rPr>
        <w:footnoteReference w:id="234"/>
      </w:r>
      <w:r w:rsidRPr="00A839DD">
        <w:t>. Les deux explications se renforcent probablement. Les personnes LGBTQ+ sont surreprésentées dans des secteurs généralement moins bien rémunérés</w:t>
      </w:r>
      <w:r w:rsidRPr="00A839DD">
        <w:rPr>
          <w:rStyle w:val="Appelnotedebasdep"/>
        </w:rPr>
        <w:footnoteReference w:id="235"/>
      </w:r>
      <w:r w:rsidRPr="00A839DD">
        <w:t>, notamment en raison de la discrimination systémique. Elles se retrouvent conséquemment davantage dans des emplois en contact avec le public dans lesquels elles sont plus susceptibles d’être victimes de discrimination sur la base de leur expression de genre, et ce</w:t>
      </w:r>
      <w:r w:rsidR="001F487E">
        <w:t>,</w:t>
      </w:r>
      <w:r w:rsidRPr="00A839DD">
        <w:t xml:space="preserve"> tant de la part de l’employeur que du public. Des données similaires ne sont pas disponibles concernant les personnes trans et non binaires, mais il est probable qu’elles soient aussi plus susceptibles de travailler dans ces secteurs compte tenu de leurs faibles revenus déclarés</w:t>
      </w:r>
      <w:r w:rsidRPr="00A839DD">
        <w:rPr>
          <w:rStyle w:val="Appelnotedebasdep"/>
        </w:rPr>
        <w:footnoteReference w:id="236"/>
      </w:r>
      <w:r w:rsidRPr="00A839DD">
        <w:t>.</w:t>
      </w:r>
    </w:p>
    <w:p w14:paraId="46EE12A6" w14:textId="03EF0314" w:rsidR="008911FD" w:rsidRPr="00A839DD" w:rsidRDefault="008911FD" w:rsidP="0006339A">
      <w:pPr>
        <w:pStyle w:val="Paragraphe"/>
      </w:pPr>
      <w:r w:rsidRPr="00A839DD">
        <w:t>Quant à l’industrie manufacturière, 11</w:t>
      </w:r>
      <w:r w:rsidR="00A2068D" w:rsidRPr="00A839DD">
        <w:t> </w:t>
      </w:r>
      <w:r w:rsidRPr="00A839DD">
        <w:t>% des plaintes reçues proviennent de ce secteur pour les deux motifs étudiés, alors que cette proportion atteint 18</w:t>
      </w:r>
      <w:r w:rsidR="003573E9" w:rsidRPr="00A839DD">
        <w:t> </w:t>
      </w:r>
      <w:r w:rsidRPr="00A839DD">
        <w:t>% tous motifs confondus. Cette différence reflète ce qu’on observe plus largement dans la société : les femmes lesbiennes (4,2</w:t>
      </w:r>
      <w:r w:rsidR="003573E9" w:rsidRPr="00A839DD">
        <w:t> </w:t>
      </w:r>
      <w:r w:rsidRPr="00A839DD">
        <w:t>%) et bisexuelles (4,1</w:t>
      </w:r>
      <w:r w:rsidR="003573E9" w:rsidRPr="00A839DD">
        <w:t> </w:t>
      </w:r>
      <w:r w:rsidRPr="00A839DD">
        <w:t>%), de même que les hommes gais (5</w:t>
      </w:r>
      <w:r w:rsidR="003573E9" w:rsidRPr="00A839DD">
        <w:t> </w:t>
      </w:r>
      <w:r w:rsidRPr="00A839DD">
        <w:t>%), sont moins susceptibles que les hommes hétérosexuels (25,2</w:t>
      </w:r>
      <w:r w:rsidR="003573E9" w:rsidRPr="00A839DD">
        <w:t> </w:t>
      </w:r>
      <w:r w:rsidRPr="00A839DD">
        <w:t>%) de travailler dans les métiers, le transport, la machinerie et les domaines apparentés</w:t>
      </w:r>
      <w:r w:rsidRPr="00A839DD">
        <w:rPr>
          <w:rStyle w:val="Appelnotedebasdep"/>
        </w:rPr>
        <w:footnoteReference w:id="237"/>
      </w:r>
      <w:r w:rsidRPr="00A839DD">
        <w:t>. Les emplois de ce secteur étant généralement mieux rémunérés que ceux du secteur de la vente et des services, le décalage constaté peut contribuer à expliquer les revenus plus faibles de certains groupes vis-à-vis des hommes hétérosexuels</w:t>
      </w:r>
      <w:r w:rsidRPr="00A839DD">
        <w:rPr>
          <w:rStyle w:val="Appelnotedebasdep"/>
        </w:rPr>
        <w:footnoteReference w:id="238"/>
      </w:r>
      <w:r w:rsidRPr="00A839DD">
        <w:t>. Des données équivalentes ne sont pas disponibles pour les personnes trans et non binaires.</w:t>
      </w:r>
    </w:p>
    <w:p w14:paraId="364E56E0" w14:textId="546C058A" w:rsidR="008911FD" w:rsidRPr="00A839DD" w:rsidRDefault="008911FD" w:rsidP="0006339A">
      <w:pPr>
        <w:pStyle w:val="Paragraphe"/>
      </w:pPr>
      <w:r w:rsidRPr="00A839DD">
        <w:t>Peu de différences selon le genre transparaissent par ailleurs des données</w:t>
      </w:r>
      <w:r w:rsidR="002E39D5">
        <w:t xml:space="preserve"> de plaintes</w:t>
      </w:r>
      <w:r w:rsidRPr="00A839DD">
        <w:t>, à l’exception du secteur de l’industrie pour lequel les hommes GBTQ+ (8,6</w:t>
      </w:r>
      <w:r w:rsidR="003573E9" w:rsidRPr="00A839DD">
        <w:t> </w:t>
      </w:r>
      <w:r w:rsidRPr="00A839DD">
        <w:t>%) sont, en proportion, près de trois fois plus nombreux à porter plainte que les femmes (3,2</w:t>
      </w:r>
      <w:r w:rsidR="003573E9" w:rsidRPr="00A839DD">
        <w:t> </w:t>
      </w:r>
      <w:r w:rsidRPr="00A839DD">
        <w:t xml:space="preserve">%) et du secteur des organismes </w:t>
      </w:r>
      <w:r w:rsidRPr="00A839DD">
        <w:lastRenderedPageBreak/>
        <w:t>gouvernementaux et publics pour lequel les femmes LBTQ+ (6,3</w:t>
      </w:r>
      <w:r w:rsidR="003573E9" w:rsidRPr="00A839DD">
        <w:t> </w:t>
      </w:r>
      <w:r w:rsidRPr="00A839DD">
        <w:t>%) sont, toujours en proportion, près de deux fois plus nombreuses à porter plainte que les hommes (3,4</w:t>
      </w:r>
      <w:r w:rsidR="003573E9" w:rsidRPr="00A839DD">
        <w:t> </w:t>
      </w:r>
      <w:r w:rsidRPr="00A839DD">
        <w:t>%).</w:t>
      </w:r>
    </w:p>
    <w:p w14:paraId="7667B0C7" w14:textId="5DA430B6" w:rsidR="008911FD" w:rsidRPr="00A839DD" w:rsidRDefault="008911FD" w:rsidP="0006339A">
      <w:pPr>
        <w:pStyle w:val="Paragraphe"/>
      </w:pPr>
      <w:r w:rsidRPr="00A839DD">
        <w:t>Les plaintes reçues par la Commission offrent bien entendu un portrait limité des dénonciations de situations de discrimination par les personnes LGBTQ+ en emploi, notamment parce qu’une part importante du secteur public n’y est plus représenté depuis 2004 en raison de la perte de l’essentiel de la compétence de la Commission pour recevoir les plaintes de milieux syndiqués. Or, la discrimination en milieu de travail serait plus souvent signalée dans le secteur public et le secteur à but non lucratif en comparaison au secteur privé, y compris pour l’orientation sexuelle</w:t>
      </w:r>
      <w:r w:rsidRPr="00A839DD">
        <w:rPr>
          <w:rStyle w:val="Appelnotedebasdep"/>
        </w:rPr>
        <w:footnoteReference w:id="239"/>
      </w:r>
      <w:r w:rsidRPr="00A839DD">
        <w:t xml:space="preserve">. Néanmoins, </w:t>
      </w:r>
      <w:r w:rsidR="00C17BA6" w:rsidRPr="00A839DD">
        <w:t>comme souligné précédemment</w:t>
      </w:r>
      <w:r w:rsidRPr="00A839DD">
        <w:t>, un plus grand nombre de signalements ne signifie pas nécessairement que la discrimination y est plus fréquente</w:t>
      </w:r>
      <w:r w:rsidR="00F01F5E" w:rsidRPr="00A839DD">
        <w:rPr>
          <w:rFonts w:ascii="Arial" w:hAnsi="Arial" w:cs="Arial"/>
        </w:rPr>
        <w:t> </w:t>
      </w:r>
      <w:r w:rsidRPr="00A839DD">
        <w:t>; la connaissance et l’accessibilité des recours, de même que la sécurité d’emploi, peuvent par exemple faciliter la dénonciation. La présente étude met donc en lumière des plaintes provenant de secteurs où elles sont moins fréquentes et dans lesquels il est possiblement plus difficile de dénoncer, laissant la discrimination moins susceptible d’être documentée.</w:t>
      </w:r>
    </w:p>
    <w:p w14:paraId="1356FEEE" w14:textId="77777777" w:rsidR="006D00B1" w:rsidRPr="00A839DD" w:rsidRDefault="006D00B1" w:rsidP="001D3E83">
      <w:pPr>
        <w:pStyle w:val="Titre2"/>
        <w:rPr>
          <w:noProof w:val="0"/>
        </w:rPr>
      </w:pPr>
      <w:bookmarkStart w:id="130" w:name="_Toc229131306"/>
      <w:r w:rsidRPr="00A839DD">
        <w:rPr>
          <w:noProof w:val="0"/>
        </w:rPr>
        <w:t>Quelques différences dans les secteurs d’activité concernés selon le motif de discrimination</w:t>
      </w:r>
      <w:bookmarkEnd w:id="130"/>
    </w:p>
    <w:p w14:paraId="0FA64505" w14:textId="77777777" w:rsidR="006D3BA9" w:rsidRPr="00A839DD" w:rsidRDefault="006D3BA9" w:rsidP="0006339A">
      <w:pPr>
        <w:pStyle w:val="Paragraphe"/>
      </w:pPr>
      <w:r w:rsidRPr="00A839DD">
        <w:t>Si on désagrège davantage les secteurs concernés, certaines différences apparaissent entre les plaintes pour discrimination sur la base de l’orientation sexuelle et de l’identité ou l’expression de genre.</w:t>
      </w:r>
    </w:p>
    <w:p w14:paraId="41F23D28" w14:textId="3D28C00E" w:rsidR="006D00B1" w:rsidRPr="00A839DD" w:rsidRDefault="00D35CC4" w:rsidP="001554D7">
      <w:pPr>
        <w:pStyle w:val="Paragraphe"/>
        <w:jc w:val="center"/>
      </w:pPr>
      <w:r w:rsidRPr="00A839DD">
        <w:rPr>
          <w:shd w:val="clear" w:color="auto" w:fill="E9F8FB"/>
        </w:rPr>
        <w:lastRenderedPageBreak/>
        <w:drawing>
          <wp:inline distT="0" distB="0" distL="0" distR="0" wp14:anchorId="5F5CB3DC" wp14:editId="4F657997">
            <wp:extent cx="6151880" cy="3984625"/>
            <wp:effectExtent l="0" t="0" r="1270" b="15875"/>
            <wp:docPr id="303469978" name="Graphique 1" descr="Graphique 5&#10;Les cinq sous-secteurs d’activité les plus représentés parmi les plaintes pour discrimination fondée sur l'orientation sexuelle (1994 – 2024). Les sous-secteurs: &#10;Services, hébergements, restauration, services et soins de santé et services sociaux(hôpitaux, centres hospitaliers, organismes gouvernementaux et publics (fonction publique et parapublique, administration provinciale et services gouvernementaux, Secteurs commerciaux (commerce de détails, vêtement, industrie manufacturière (produits métalliques, électriques, machinerie, électronique, équipement de transport). ">
              <a:extLst xmlns:a="http://schemas.openxmlformats.org/drawingml/2006/main">
                <a:ext uri="{FF2B5EF4-FFF2-40B4-BE49-F238E27FC236}">
                  <a16:creationId xmlns:a16="http://schemas.microsoft.com/office/drawing/2014/main" id="{3EBF21DC-6DDB-0D63-BABD-D41757469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C2A53C" w14:textId="77777777" w:rsidR="006D00B1" w:rsidRPr="00A839DD" w:rsidRDefault="006D00B1" w:rsidP="0006339A">
      <w:pPr>
        <w:pStyle w:val="Paragraphe"/>
      </w:pPr>
    </w:p>
    <w:p w14:paraId="02C4DF1D" w14:textId="70EAC8D2" w:rsidR="00632B96" w:rsidRPr="00A839DD" w:rsidRDefault="004C0266" w:rsidP="00F67074">
      <w:pPr>
        <w:pStyle w:val="Paragraphe"/>
        <w:jc w:val="center"/>
      </w:pPr>
      <w:r w:rsidRPr="00A839DD">
        <w:rPr>
          <w:shd w:val="clear" w:color="auto" w:fill="FFFFFF" w:themeFill="background1"/>
        </w:rPr>
        <w:lastRenderedPageBreak/>
        <w:drawing>
          <wp:inline distT="0" distB="0" distL="0" distR="0" wp14:anchorId="284E8588" wp14:editId="20C7347B">
            <wp:extent cx="5803900" cy="3690620"/>
            <wp:effectExtent l="0" t="0" r="6350" b="5080"/>
            <wp:docPr id="960203192" name="Graphique 1" descr="Graphique 6&#10;Les cinq sous-secteurs d’activité les plus reperésentés parmi les plaintes pour discrimination fondée sur l'identité ou l'expression de genre (1994 – 2024):&#10;services / hébergements et restauration/ restaurants, secteurs commerciaux / commerces de détail/ quincailleries, bijouteries, Services/ organisations/ organismes communautaires, secteurs commerciaux / commerce de détail/ vêtement, commerce de détail/ alimentation.&#10;Le premier constat est expliqué dans le paragraphe suivant le graphique.&#10;">
              <a:extLst xmlns:a="http://schemas.openxmlformats.org/drawingml/2006/main">
                <a:ext uri="{FF2B5EF4-FFF2-40B4-BE49-F238E27FC236}">
                  <a16:creationId xmlns:a16="http://schemas.microsoft.com/office/drawing/2014/main" id="{65E86B48-B4E9-B4F2-0B0D-A114AC194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0306B2" w14:textId="182C9E62" w:rsidR="00526D43" w:rsidRPr="00A839DD" w:rsidRDefault="00526D43" w:rsidP="0006339A">
      <w:pPr>
        <w:pStyle w:val="Paragraphe"/>
      </w:pPr>
      <w:r w:rsidRPr="00A839DD">
        <w:t>Le premier constat qui se dégage de ces graphiques est que les cinq premiers sous-secteurs concernés pour ces deux motifs diffèrent grandement par rapport aux cinq sous-secteurs les plus fréquents, tous motifs confondus, soit les industries de produits métalliques, etc. (6,31</w:t>
      </w:r>
      <w:r w:rsidR="003573E9" w:rsidRPr="00A839DD">
        <w:t> </w:t>
      </w:r>
      <w:r w:rsidRPr="00A839DD">
        <w:t>%), les restaurants (5,42</w:t>
      </w:r>
      <w:r w:rsidR="003573E9" w:rsidRPr="00A839DD">
        <w:t> </w:t>
      </w:r>
      <w:r w:rsidRPr="00A839DD">
        <w:t>%), les services gouvernementaux (5,32</w:t>
      </w:r>
      <w:r w:rsidR="003573E9" w:rsidRPr="00A839DD">
        <w:t> </w:t>
      </w:r>
      <w:r w:rsidRPr="00A839DD">
        <w:t>%), les hôpitaux (4,43</w:t>
      </w:r>
      <w:r w:rsidR="003573E9" w:rsidRPr="00A839DD">
        <w:t> </w:t>
      </w:r>
      <w:r w:rsidRPr="00A839DD">
        <w:t>%) et les administrations locales et municipales (3,31</w:t>
      </w:r>
      <w:r w:rsidR="003573E9" w:rsidRPr="00A839DD">
        <w:t> </w:t>
      </w:r>
      <w:r w:rsidRPr="00A839DD">
        <w:t>%).</w:t>
      </w:r>
    </w:p>
    <w:p w14:paraId="441EB7E8" w14:textId="33C576B0" w:rsidR="00AA7EE8" w:rsidRPr="00A839DD" w:rsidRDefault="00AA7EE8" w:rsidP="001D3E83">
      <w:pPr>
        <w:pStyle w:val="Titre3"/>
        <w:rPr>
          <w:noProof w:val="0"/>
        </w:rPr>
      </w:pPr>
      <w:bookmarkStart w:id="131" w:name="_Toc229131307"/>
      <w:r w:rsidRPr="00A839DD">
        <w:rPr>
          <w:noProof w:val="0"/>
        </w:rPr>
        <w:t>L’orientation sexuelle</w:t>
      </w:r>
      <w:r w:rsidR="00577C83" w:rsidRPr="00A839DD">
        <w:rPr>
          <w:noProof w:val="0"/>
        </w:rPr>
        <w:t> </w:t>
      </w:r>
      <w:r w:rsidRPr="00A839DD">
        <w:rPr>
          <w:noProof w:val="0"/>
        </w:rPr>
        <w:t>: les entreprises de service à la clientèle mises en cause</w:t>
      </w:r>
      <w:bookmarkEnd w:id="131"/>
    </w:p>
    <w:p w14:paraId="209C55E5" w14:textId="37C4EA11" w:rsidR="009D2963" w:rsidRPr="00A839DD" w:rsidRDefault="009D2963" w:rsidP="0006339A">
      <w:pPr>
        <w:pStyle w:val="Paragraphe"/>
      </w:pPr>
      <w:r w:rsidRPr="00A839DD">
        <w:t>Parmi les plaintes pour discrimination fondée sur l’orientation sexuelle, deux fois plus de plaintes concernent les restaurants (10</w:t>
      </w:r>
      <w:r w:rsidR="003573E9" w:rsidRPr="00A839DD">
        <w:t> </w:t>
      </w:r>
      <w:r w:rsidRPr="00A839DD">
        <w:t>%) en comparaison avec les plaintes reçues par la Commission pour l’ensemble des motifs interdits (5,42</w:t>
      </w:r>
      <w:r w:rsidR="003573E9" w:rsidRPr="00A839DD">
        <w:t> </w:t>
      </w:r>
      <w:r w:rsidRPr="00A839DD">
        <w:t>%). La restauration arrive bonne première tant chez les hommes (16,3</w:t>
      </w:r>
      <w:r w:rsidR="003573E9" w:rsidRPr="00A839DD">
        <w:t> </w:t>
      </w:r>
      <w:r w:rsidRPr="00A839DD">
        <w:t>%) que chez les femmes (13,2</w:t>
      </w:r>
      <w:r w:rsidR="003573E9" w:rsidRPr="00A839DD">
        <w:t> </w:t>
      </w:r>
      <w:r w:rsidRPr="00A839DD">
        <w:t>%). La vente de vêtement arrive en quatrième position pour ce motif (3,</w:t>
      </w:r>
      <w:r w:rsidR="00FF324C" w:rsidRPr="00A839DD">
        <w:t>8</w:t>
      </w:r>
      <w:r w:rsidR="003573E9" w:rsidRPr="00A839DD">
        <w:t> </w:t>
      </w:r>
      <w:r w:rsidRPr="00A839DD">
        <w:t>%), alors qu’elle est treizième tous motifs confondus (2</w:t>
      </w:r>
      <w:r w:rsidR="003573E9" w:rsidRPr="00A839DD">
        <w:t> </w:t>
      </w:r>
      <w:r w:rsidRPr="00A839DD">
        <w:t xml:space="preserve">%). Les services (dépanneur, pharmacie, etc.) arrivent quant à eux </w:t>
      </w:r>
      <w:r w:rsidR="00942081" w:rsidRPr="00A839DD">
        <w:t>cinquième</w:t>
      </w:r>
      <w:r w:rsidRPr="00A839DD">
        <w:t xml:space="preserve"> (3,59</w:t>
      </w:r>
      <w:r w:rsidR="003573E9" w:rsidRPr="00A839DD">
        <w:t> </w:t>
      </w:r>
      <w:r w:rsidRPr="00A839DD">
        <w:t>%) comparativement à dix-septième (1,83</w:t>
      </w:r>
      <w:r w:rsidR="003573E9" w:rsidRPr="00A839DD">
        <w:t> </w:t>
      </w:r>
      <w:r w:rsidRPr="00A839DD">
        <w:t xml:space="preserve">%), tous motifs confondus. Cette désagrégation des secteurs tend à confirmer l’hypothèse selon laquelle les secteurs les plus visés par les plaintes sont ceux en contact avec le public, soit ceux où l’apparence et donc l’expression de genre </w:t>
      </w:r>
      <w:r w:rsidR="003F4F8A">
        <w:t>son</w:t>
      </w:r>
      <w:r w:rsidRPr="00A839DD">
        <w:t>t susceptible</w:t>
      </w:r>
      <w:r w:rsidR="00AE7B95">
        <w:t>s</w:t>
      </w:r>
      <w:r w:rsidRPr="00A839DD">
        <w:t xml:space="preserve"> d’influencer la façon dont les personnes employées sont traitées par l’employeur et la clientèle.</w:t>
      </w:r>
    </w:p>
    <w:p w14:paraId="2898031E" w14:textId="77777777" w:rsidR="009D2963" w:rsidRPr="00A839DD" w:rsidRDefault="009D2963" w:rsidP="0006339A">
      <w:pPr>
        <w:pStyle w:val="Paragraphe"/>
      </w:pPr>
      <w:r w:rsidRPr="00A839DD">
        <w:lastRenderedPageBreak/>
        <w:t>Le secteur des industries de produits métalliques et autres arrive en premier tous motifs confondus, tandis qu’il arrive cinquième parmi les plaintes pour discrimination sur la base de l’orientation sexuelle.</w:t>
      </w:r>
    </w:p>
    <w:p w14:paraId="6ABC4FF7" w14:textId="77777777" w:rsidR="009D2963" w:rsidRPr="00A839DD" w:rsidRDefault="009D2963" w:rsidP="0006339A">
      <w:pPr>
        <w:pStyle w:val="Paragraphe"/>
      </w:pPr>
      <w:r w:rsidRPr="00A839DD">
        <w:t>Pour ce qui est des organismes gouvernementaux et des hôpitaux, ce sont essentiellement des plaintes reçues avant 2004, soit avant que la Commission voie sa compétence pour traiter les plaintes de personnes syndiquées considérablement réduite par les tribunaux.</w:t>
      </w:r>
    </w:p>
    <w:p w14:paraId="57B8FBBD" w14:textId="42054A9B" w:rsidR="00AD3E91" w:rsidRPr="00A839DD" w:rsidRDefault="00AD3E91" w:rsidP="001D3E83">
      <w:pPr>
        <w:pStyle w:val="Titre3"/>
        <w:rPr>
          <w:noProof w:val="0"/>
        </w:rPr>
      </w:pPr>
      <w:bookmarkStart w:id="132" w:name="_Toc229131308"/>
      <w:r w:rsidRPr="00A839DD">
        <w:rPr>
          <w:noProof w:val="0"/>
        </w:rPr>
        <w:t>L’identité ou l’expression de genre</w:t>
      </w:r>
      <w:r w:rsidR="00577C83" w:rsidRPr="00A839DD">
        <w:rPr>
          <w:noProof w:val="0"/>
        </w:rPr>
        <w:t> </w:t>
      </w:r>
      <w:r w:rsidRPr="00A839DD">
        <w:rPr>
          <w:noProof w:val="0"/>
        </w:rPr>
        <w:t>: des secteurs peu rémunérés et en contact avec le public</w:t>
      </w:r>
      <w:bookmarkEnd w:id="132"/>
    </w:p>
    <w:p w14:paraId="0341C89D" w14:textId="69D495D8" w:rsidR="009D2D55" w:rsidRPr="00A839DD" w:rsidRDefault="009D2D55" w:rsidP="0006339A">
      <w:pPr>
        <w:pStyle w:val="Paragraphe"/>
      </w:pPr>
      <w:r w:rsidRPr="00A839DD">
        <w:t>Parmi les cinq premiers secteurs en importance pour les plaintes de discrimination fondée sur l’identité ou l’expression de genre, seule la restauration se retrouve aussi parmi les cinq premiers tous motifs confondus, mais dans une plus grande proportion (8,82</w:t>
      </w:r>
      <w:r w:rsidR="003573E9" w:rsidRPr="00A839DD">
        <w:t> </w:t>
      </w:r>
      <w:r w:rsidRPr="00A839DD">
        <w:t>% contre 5,42</w:t>
      </w:r>
      <w:r w:rsidR="003573E9" w:rsidRPr="00A839DD">
        <w:t> </w:t>
      </w:r>
      <w:r w:rsidRPr="00A839DD">
        <w:t>%).</w:t>
      </w:r>
    </w:p>
    <w:p w14:paraId="5DF081A1" w14:textId="77777777" w:rsidR="002A187E" w:rsidRPr="00A839DD" w:rsidRDefault="002A187E" w:rsidP="0006339A">
      <w:pPr>
        <w:pStyle w:val="Paragraphe"/>
      </w:pPr>
      <w:r w:rsidRPr="00A839DD">
        <w:t>Toujours pour ce motif et encore plus que pour l’orientation sexuelle, les secteurs concernés sont caractérisés par des emplois généralement peu rémunérés et en contact avec la clientèle (restaurants, commerces de détail, organismes communautaires).</w:t>
      </w:r>
    </w:p>
    <w:p w14:paraId="6EA9E363" w14:textId="77777777" w:rsidR="002A187E" w:rsidRPr="00A839DD" w:rsidRDefault="002A187E" w:rsidP="0006339A">
      <w:pPr>
        <w:pStyle w:val="Paragraphe"/>
      </w:pPr>
      <w:r w:rsidRPr="00A839DD">
        <w:t>Le très faible nombre (3) de plaintes de personnes non binaires ne permet pas de brosser un portrait des secteurs d’activité concernés.</w:t>
      </w:r>
    </w:p>
    <w:p w14:paraId="18B53F9A" w14:textId="35E1D38F" w:rsidR="00782441" w:rsidRPr="00A839DD" w:rsidRDefault="00782441" w:rsidP="001D3E83">
      <w:pPr>
        <w:pStyle w:val="Titre2"/>
        <w:rPr>
          <w:noProof w:val="0"/>
        </w:rPr>
      </w:pPr>
      <w:bookmarkStart w:id="133" w:name="_Toc215748715"/>
      <w:bookmarkStart w:id="134" w:name="_Toc229131309"/>
      <w:r w:rsidRPr="00A839DD">
        <w:rPr>
          <w:noProof w:val="0"/>
        </w:rPr>
        <w:t>Les petits milieux de travail sont davantage visés par les plaintes</w:t>
      </w:r>
      <w:bookmarkEnd w:id="133"/>
      <w:bookmarkEnd w:id="134"/>
    </w:p>
    <w:p w14:paraId="305880BB" w14:textId="2AC4929B" w:rsidR="008F69CC" w:rsidRPr="00A839DD" w:rsidRDefault="00FE7F9B" w:rsidP="0006339A">
      <w:pPr>
        <w:pStyle w:val="Paragraphe"/>
      </w:pPr>
      <w:r w:rsidRPr="00A839DD">
        <w:t>Parmi les 116</w:t>
      </w:r>
      <w:r w:rsidR="005516C0" w:rsidRPr="00A839DD">
        <w:t> </w:t>
      </w:r>
      <w:r w:rsidRPr="00A839DD">
        <w:t>plaintes constituant le corpus qualitatif et reçues à partir du 1</w:t>
      </w:r>
      <w:r w:rsidRPr="00A839DD">
        <w:rPr>
          <w:vertAlign w:val="superscript"/>
        </w:rPr>
        <w:t>er</w:t>
      </w:r>
      <w:r w:rsidR="00937C69" w:rsidRPr="00A839DD">
        <w:t> </w:t>
      </w:r>
      <w:r w:rsidRPr="00A839DD">
        <w:t>janvier 2005</w:t>
      </w:r>
      <w:r w:rsidRPr="00A839DD">
        <w:rPr>
          <w:rStyle w:val="Appelnotedebasdep"/>
        </w:rPr>
        <w:footnoteReference w:id="240"/>
      </w:r>
      <w:r w:rsidRPr="00A839DD">
        <w:t xml:space="preserve">, </w:t>
      </w:r>
      <w:r w:rsidR="00121D8F" w:rsidRPr="00A839DD">
        <w:t>74</w:t>
      </w:r>
      <w:r w:rsidR="00750B1D">
        <w:t> </w:t>
      </w:r>
      <w:r w:rsidR="00121D8F" w:rsidRPr="00A839DD">
        <w:t xml:space="preserve">% </w:t>
      </w:r>
      <w:r w:rsidR="00B5786F" w:rsidRPr="00A839DD">
        <w:t>visent des entreprises ou organismes de moins de 500</w:t>
      </w:r>
      <w:r w:rsidR="00291541">
        <w:t> </w:t>
      </w:r>
      <w:r w:rsidR="00B5786F" w:rsidRPr="00A839DD">
        <w:t xml:space="preserve">personnes employées, tandis que </w:t>
      </w:r>
      <w:r w:rsidRPr="00A839DD">
        <w:t>63</w:t>
      </w:r>
      <w:r w:rsidR="003573E9" w:rsidRPr="00A839DD">
        <w:t> </w:t>
      </w:r>
      <w:r w:rsidRPr="00A839DD">
        <w:t xml:space="preserve">% visent </w:t>
      </w:r>
      <w:r w:rsidR="00B5786F" w:rsidRPr="00A839DD">
        <w:t>des milieux de travail comptant moins de 100</w:t>
      </w:r>
      <w:r w:rsidR="005516C0" w:rsidRPr="00A839DD">
        <w:t> </w:t>
      </w:r>
      <w:r w:rsidRPr="00A839DD">
        <w:t>personnes employées. Le tiers concernent de très petites entreprises ou organismes employant moins de 25</w:t>
      </w:r>
      <w:r w:rsidR="005516C0" w:rsidRPr="00A839DD">
        <w:t> </w:t>
      </w:r>
      <w:r w:rsidRPr="00A839DD">
        <w:t>personnes</w:t>
      </w:r>
      <w:r w:rsidR="007D5244">
        <w:t xml:space="preserve">. Enfin, </w:t>
      </w:r>
      <w:r w:rsidRPr="00A839DD">
        <w:t>10</w:t>
      </w:r>
      <w:r w:rsidR="003573E9" w:rsidRPr="00A839DD">
        <w:t> </w:t>
      </w:r>
      <w:r w:rsidRPr="00A839DD">
        <w:t>% visent des milieux comptant 1 à 5</w:t>
      </w:r>
      <w:r w:rsidR="005516C0" w:rsidRPr="00A839DD">
        <w:t> </w:t>
      </w:r>
      <w:r w:rsidRPr="00A839DD">
        <w:t>personnes.</w:t>
      </w:r>
    </w:p>
    <w:p w14:paraId="2091C889" w14:textId="55CB5D96" w:rsidR="00FE7F9B" w:rsidRPr="00A839DD" w:rsidRDefault="008F69CC" w:rsidP="0006339A">
      <w:pPr>
        <w:pStyle w:val="Paragraphe"/>
      </w:pPr>
      <w:r w:rsidRPr="00A839DD">
        <w:t>La forte représentation des petites entreprises n’est cependant pas étonnante</w:t>
      </w:r>
      <w:r w:rsidRPr="00A839DD">
        <w:rPr>
          <w:rFonts w:eastAsiaTheme="minorHAnsi" w:cstheme="minorBidi"/>
          <w:color w:val="auto"/>
          <w:szCs w:val="22"/>
          <w:lang w:eastAsia="en-US"/>
        </w:rPr>
        <w:t xml:space="preserve"> </w:t>
      </w:r>
      <w:r w:rsidRPr="00A839DD">
        <w:t>parce que les petites et moyennes entreprises (PME</w:t>
      </w:r>
      <w:r w:rsidR="00B51964" w:rsidRPr="00A839DD">
        <w:t>, moins de 500</w:t>
      </w:r>
      <w:r w:rsidR="00291541">
        <w:t> </w:t>
      </w:r>
      <w:r w:rsidR="007E1475" w:rsidRPr="00A839DD">
        <w:t>membres du personnel</w:t>
      </w:r>
      <w:r w:rsidRPr="00A839DD">
        <w:t>) emplo</w:t>
      </w:r>
      <w:r w:rsidR="00174FC2" w:rsidRPr="00A839DD">
        <w:t>yaient</w:t>
      </w:r>
      <w:r w:rsidRPr="00A839DD">
        <w:t xml:space="preserve"> </w:t>
      </w:r>
      <w:r w:rsidR="000C5F58" w:rsidRPr="00A839DD">
        <w:t>70</w:t>
      </w:r>
      <w:r w:rsidR="00750B1D">
        <w:t> </w:t>
      </w:r>
      <w:r w:rsidR="000C5F58" w:rsidRPr="00A839DD">
        <w:t>%</w:t>
      </w:r>
      <w:r w:rsidRPr="00A839DD">
        <w:t xml:space="preserve"> </w:t>
      </w:r>
      <w:r w:rsidR="00C55AB4" w:rsidRPr="00A839DD">
        <w:t>du personnel</w:t>
      </w:r>
      <w:r w:rsidRPr="00A839DD">
        <w:t xml:space="preserve"> du secteur privé au Québec</w:t>
      </w:r>
      <w:r w:rsidR="00174FC2" w:rsidRPr="00A839DD">
        <w:t xml:space="preserve"> en 2020</w:t>
      </w:r>
      <w:bookmarkStart w:id="135" w:name="_Ref229389573"/>
      <w:r w:rsidRPr="00A839DD">
        <w:rPr>
          <w:rStyle w:val="Appelnotedebasdep"/>
        </w:rPr>
        <w:footnoteReference w:id="241"/>
      </w:r>
      <w:bookmarkEnd w:id="135"/>
      <w:r w:rsidRPr="00A839DD">
        <w:t xml:space="preserve">. </w:t>
      </w:r>
      <w:r w:rsidR="00217A3A" w:rsidRPr="00A839DD">
        <w:t xml:space="preserve">D’ailleurs, 98 % des entreprises au Québec comptaient moins de </w:t>
      </w:r>
      <w:r w:rsidR="00217A3A" w:rsidRPr="00A839DD">
        <w:lastRenderedPageBreak/>
        <w:t>100 personnes employées en 2023</w:t>
      </w:r>
      <w:r w:rsidR="00217A3A" w:rsidRPr="00A839DD">
        <w:rPr>
          <w:rStyle w:val="Appelnotedebasdep"/>
        </w:rPr>
        <w:footnoteReference w:id="242"/>
      </w:r>
      <w:r w:rsidR="00217A3A" w:rsidRPr="00A839DD">
        <w:t xml:space="preserve">. </w:t>
      </w:r>
      <w:r w:rsidR="000B61A1" w:rsidRPr="00A839DD">
        <w:t xml:space="preserve">Les PME </w:t>
      </w:r>
      <w:r w:rsidRPr="00A839DD">
        <w:t xml:space="preserve">apparaissent néanmoins </w:t>
      </w:r>
      <w:r w:rsidR="00217A3A" w:rsidRPr="00A839DD">
        <w:t>légèrement</w:t>
      </w:r>
      <w:r w:rsidRPr="00A839DD">
        <w:t xml:space="preserve"> surreprésentées dans les plaintes</w:t>
      </w:r>
      <w:r w:rsidR="00181993" w:rsidRPr="00A839DD">
        <w:t>, à 74</w:t>
      </w:r>
      <w:r w:rsidR="00750B1D">
        <w:t> </w:t>
      </w:r>
      <w:r w:rsidR="00181993" w:rsidRPr="00A839DD">
        <w:t>%, par rapport à leur part de l’emploi au Québec (</w:t>
      </w:r>
      <w:r w:rsidR="00C55AB4" w:rsidRPr="00A839DD">
        <w:t>70</w:t>
      </w:r>
      <w:r w:rsidR="00750B1D">
        <w:t> </w:t>
      </w:r>
      <w:r w:rsidR="00181993" w:rsidRPr="00A839DD">
        <w:t>%)</w:t>
      </w:r>
      <w:r w:rsidRPr="00A839DD">
        <w:t xml:space="preserve">. </w:t>
      </w:r>
      <w:r w:rsidR="001679EE" w:rsidRPr="00A839DD">
        <w:t>La surreprésentation est toutefois plus marquée pour les entreprises de moins de 100</w:t>
      </w:r>
      <w:r w:rsidR="00291541">
        <w:t> </w:t>
      </w:r>
      <w:r w:rsidR="001679EE" w:rsidRPr="00A839DD">
        <w:t xml:space="preserve">personnes employées : </w:t>
      </w:r>
      <w:r w:rsidR="00B079AE" w:rsidRPr="00A839DD">
        <w:t>63</w:t>
      </w:r>
      <w:r w:rsidR="00750B1D">
        <w:t> </w:t>
      </w:r>
      <w:r w:rsidR="00B079AE" w:rsidRPr="00A839DD">
        <w:t>% des plaintes analysées les visent, alors qu’elles représent</w:t>
      </w:r>
      <w:r w:rsidR="001744CE" w:rsidRPr="00A839DD">
        <w:t>ai</w:t>
      </w:r>
      <w:r w:rsidR="00B079AE" w:rsidRPr="00A839DD">
        <w:t>ent 50</w:t>
      </w:r>
      <w:r w:rsidR="00750B1D">
        <w:t> </w:t>
      </w:r>
      <w:r w:rsidR="00B079AE" w:rsidRPr="00A839DD">
        <w:t>% de l’emploi du secteur privé</w:t>
      </w:r>
      <w:r w:rsidR="001744CE" w:rsidRPr="00A839DD">
        <w:t xml:space="preserve"> en 2020</w:t>
      </w:r>
      <w:bookmarkStart w:id="136" w:name="_Ref229386749"/>
      <w:r w:rsidR="001744CE" w:rsidRPr="00A839DD">
        <w:rPr>
          <w:rStyle w:val="Appelnotedebasdep"/>
        </w:rPr>
        <w:footnoteReference w:id="243"/>
      </w:r>
      <w:bookmarkEnd w:id="136"/>
      <w:r w:rsidR="00B079AE" w:rsidRPr="00A839DD">
        <w:t xml:space="preserve">. </w:t>
      </w:r>
      <w:r w:rsidRPr="00A839DD">
        <w:t>La Commission a déjà fait un tel constat concernant les plaintes pour discrimination fondée sur le handicap ou l’utilisation d’un moyen pour le pallier</w:t>
      </w:r>
      <w:r w:rsidRPr="00A839DD">
        <w:rPr>
          <w:rStyle w:val="Appelnotedebasdep"/>
        </w:rPr>
        <w:footnoteReference w:id="244"/>
      </w:r>
      <w:r w:rsidRPr="00A839DD">
        <w:t>.</w:t>
      </w:r>
    </w:p>
    <w:p w14:paraId="13C6F754" w14:textId="5DAC9963" w:rsidR="00FE7F9B" w:rsidRPr="00A839DD" w:rsidRDefault="00FE7F9B" w:rsidP="0006339A">
      <w:pPr>
        <w:pStyle w:val="Paragraphe"/>
      </w:pPr>
      <w:r w:rsidRPr="00A839DD">
        <w:t>À l’opposé, le quart de ces plaintes vise de grandes entreprises comptant 500</w:t>
      </w:r>
      <w:r w:rsidR="005516C0" w:rsidRPr="00A839DD">
        <w:t> </w:t>
      </w:r>
      <w:r w:rsidRPr="00A839DD">
        <w:t>personnes salariées ou plus</w:t>
      </w:r>
      <w:r w:rsidR="000D4710" w:rsidRPr="00A839DD">
        <w:t xml:space="preserve">, ce qui </w:t>
      </w:r>
      <w:r w:rsidR="00684AA1" w:rsidRPr="00A839DD">
        <w:t>est légèrement inférieur</w:t>
      </w:r>
      <w:r w:rsidR="000D4710" w:rsidRPr="00A839DD">
        <w:t xml:space="preserve"> à leur part du marché du travail</w:t>
      </w:r>
      <w:r w:rsidR="006E2E34" w:rsidRPr="00A839DD">
        <w:t xml:space="preserve"> dans le secteur</w:t>
      </w:r>
      <w:r w:rsidR="00584823" w:rsidRPr="00A839DD">
        <w:t xml:space="preserve"> privé </w:t>
      </w:r>
      <w:r w:rsidR="00BA7C33" w:rsidRPr="00A839DD">
        <w:t xml:space="preserve">en 2020 </w:t>
      </w:r>
      <w:r w:rsidR="00584823" w:rsidRPr="00A839DD">
        <w:t>(</w:t>
      </w:r>
      <w:r w:rsidR="00684AA1" w:rsidRPr="00A839DD">
        <w:t>30</w:t>
      </w:r>
      <w:r w:rsidR="00750B1D">
        <w:t> </w:t>
      </w:r>
      <w:r w:rsidR="00584823" w:rsidRPr="00A839DD">
        <w:t>%)</w:t>
      </w:r>
      <w:r w:rsidR="006E2E34" w:rsidRPr="00A839DD">
        <w:rPr>
          <w:rStyle w:val="Appelnotedebasdep"/>
        </w:rPr>
        <w:footnoteReference w:id="245"/>
      </w:r>
      <w:r w:rsidRPr="00A839DD">
        <w:t>. Au sujet de ces dernières, il convient de souligner qu’environ le tiers d</w:t>
      </w:r>
      <w:r w:rsidR="00C6560E" w:rsidRPr="00A839DD">
        <w:t xml:space="preserve">e celles visées par les plaintes </w:t>
      </w:r>
      <w:r w:rsidRPr="00A839DD">
        <w:t>sont en fait des succursales ou des franchisés. Bien qu’elles relèvent de grandes entreprises, le milieu de travail peut tout de même être de taille relativement modeste, si on pense par exemple à un maga</w:t>
      </w:r>
      <w:r w:rsidR="00BE7DD7" w:rsidRPr="00A839DD">
        <w:t>s</w:t>
      </w:r>
      <w:r w:rsidRPr="00A839DD">
        <w:t>in de vente au détail ou à un restaurant appartenant à une grande chaîne.</w:t>
      </w:r>
    </w:p>
    <w:p w14:paraId="530B16E6" w14:textId="38AEAAEF" w:rsidR="00FE7F9B" w:rsidRPr="00A839DD" w:rsidRDefault="00FE7F9B" w:rsidP="0006339A">
      <w:pPr>
        <w:pStyle w:val="Paragraphe"/>
      </w:pPr>
      <w:r w:rsidRPr="00A839DD">
        <w:t>Aucune différence notable n’a été relevé</w:t>
      </w:r>
      <w:r w:rsidR="00B27428" w:rsidRPr="00A839DD">
        <w:t>e</w:t>
      </w:r>
      <w:r w:rsidRPr="00A839DD">
        <w:t xml:space="preserve"> entre les plaintes pour discrimination fondée sur l’orientation sexuelle et l’identité ou l’expression eu égard à la taille des milieux visés.</w:t>
      </w:r>
    </w:p>
    <w:p w14:paraId="61C3FC07" w14:textId="35F85E38" w:rsidR="00AD3E91" w:rsidRPr="00A839DD" w:rsidRDefault="00FE7F9B" w:rsidP="0006339A">
      <w:pPr>
        <w:pStyle w:val="Paragraphe"/>
      </w:pPr>
      <w:r w:rsidRPr="00A839DD">
        <w:t>Le nombre de personnes employées a été compilé à partir du registre des entreprises du Québec en date du 7</w:t>
      </w:r>
      <w:r w:rsidR="00937C69" w:rsidRPr="00A839DD">
        <w:t> </w:t>
      </w:r>
      <w:r w:rsidRPr="00A839DD">
        <w:t>octobre 2025 ou à partir du site web des entreprises concernées lorsque l’information n’était pas disponible. Ces données doivent être interprétées avec précaution parce qu’il n’a pas été possible de vérifier la taille de l’entreprise ou de l’organisme au moment où la plainte a été logée à la Commission. Or, celle-ci a pu évoluer</w:t>
      </w:r>
      <w:r w:rsidR="00172913" w:rsidRPr="00A839DD">
        <w:t>.</w:t>
      </w:r>
    </w:p>
    <w:p w14:paraId="7A2FC921" w14:textId="4CA7889B" w:rsidR="00AD3E91" w:rsidRPr="00A839DD" w:rsidRDefault="0095413C" w:rsidP="00CE7E66">
      <w:pPr>
        <w:pStyle w:val="Paragraphe"/>
        <w:jc w:val="center"/>
      </w:pPr>
      <w:r w:rsidRPr="00A839DD">
        <w:rPr>
          <w:shd w:val="clear" w:color="auto" w:fill="FFFFFF" w:themeFill="background1"/>
        </w:rPr>
        <w:lastRenderedPageBreak/>
        <w:drawing>
          <wp:inline distT="0" distB="0" distL="0" distR="0" wp14:anchorId="4586807F" wp14:editId="372A9C18">
            <wp:extent cx="5611553" cy="3501737"/>
            <wp:effectExtent l="0" t="0" r="8255" b="3810"/>
            <wp:docPr id="148959942" name="Graphique 1" descr="Graphique 7&#10;Nombre de personnes employées dans les entreprises et organismes mis en cause dans les plaintes du corpus qualitatif (2005 – 2020, n = 116)&#10;Catégories:&#10;25 et moins : 34 %&#10;26 à 99: 29 %&#10;100 à 499: 11 %&#10;500 et plus:24 %&#10;introuvé: 2 %">
              <a:extLst xmlns:a="http://schemas.openxmlformats.org/drawingml/2006/main">
                <a:ext uri="{FF2B5EF4-FFF2-40B4-BE49-F238E27FC236}">
                  <a16:creationId xmlns:a16="http://schemas.microsoft.com/office/drawing/2014/main" id="{E21D0B63-4739-80C2-9592-A449B4B05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478CF5" w14:textId="77777777" w:rsidR="00CE7E66" w:rsidRDefault="00CE7E66" w:rsidP="00CE7E66">
      <w:pPr>
        <w:pStyle w:val="Paragraphe"/>
      </w:pPr>
      <w:bookmarkStart w:id="137" w:name="_Toc229131310"/>
    </w:p>
    <w:p w14:paraId="788A40AB" w14:textId="5E81091D" w:rsidR="00A12601" w:rsidRPr="00A839DD" w:rsidRDefault="00A12601" w:rsidP="00C56A88">
      <w:pPr>
        <w:pStyle w:val="Titre1"/>
        <w:rPr>
          <w:noProof w:val="0"/>
        </w:rPr>
      </w:pPr>
      <w:r w:rsidRPr="00A839DD">
        <w:rPr>
          <w:noProof w:val="0"/>
        </w:rPr>
        <w:t>Ce que dénoncent les personnes plaignantes</w:t>
      </w:r>
      <w:bookmarkEnd w:id="137"/>
    </w:p>
    <w:p w14:paraId="502FFDAF" w14:textId="43F4F83D" w:rsidR="00C83CD7" w:rsidRPr="00A839DD" w:rsidRDefault="00C83CD7" w:rsidP="001D3E83">
      <w:pPr>
        <w:pStyle w:val="Titre2"/>
        <w:rPr>
          <w:noProof w:val="0"/>
        </w:rPr>
      </w:pPr>
      <w:bookmarkStart w:id="138" w:name="_Toc229131311"/>
      <w:r w:rsidRPr="00A839DD">
        <w:rPr>
          <w:noProof w:val="0"/>
        </w:rPr>
        <w:t>Les atteintes aux droits alléguées</w:t>
      </w:r>
      <w:r w:rsidR="00577C83" w:rsidRPr="00A839DD">
        <w:rPr>
          <w:noProof w:val="0"/>
        </w:rPr>
        <w:t> </w:t>
      </w:r>
      <w:r w:rsidRPr="00A839DD">
        <w:rPr>
          <w:noProof w:val="0"/>
        </w:rPr>
        <w:t>: majoritairement des congédiements et des climats de travail discriminatoires</w:t>
      </w:r>
      <w:bookmarkEnd w:id="138"/>
    </w:p>
    <w:p w14:paraId="63A31058" w14:textId="36A9AD3E" w:rsidR="00EF68DB" w:rsidRPr="00A839DD" w:rsidRDefault="00EF68DB" w:rsidP="0006339A">
      <w:pPr>
        <w:pStyle w:val="Paragraphe"/>
      </w:pPr>
      <w:r w:rsidRPr="00A839DD">
        <w:t>Les personnes portant plainte à la Commission pour discrimination en emploi, tous motifs confondus, allèguent principalement des faits liés à un congédiement (37,6</w:t>
      </w:r>
      <w:r w:rsidR="003573E9" w:rsidRPr="00A839DD">
        <w:t> </w:t>
      </w:r>
      <w:r w:rsidRPr="00A839DD">
        <w:t>%), à l’embauche (19,3</w:t>
      </w:r>
      <w:r w:rsidR="003573E9" w:rsidRPr="00A839DD">
        <w:t> </w:t>
      </w:r>
      <w:r w:rsidRPr="00A839DD">
        <w:t>%) et aux conditions de travail (8,6</w:t>
      </w:r>
      <w:r w:rsidR="003573E9" w:rsidRPr="00A839DD">
        <w:t> </w:t>
      </w:r>
      <w:r w:rsidRPr="00A839DD">
        <w:t>%), suivi de près par le climat de travail (8,4</w:t>
      </w:r>
      <w:r w:rsidR="003573E9" w:rsidRPr="00A839DD">
        <w:t> </w:t>
      </w:r>
      <w:r w:rsidRPr="00A839DD">
        <w:t xml:space="preserve">%). Ces données ne signifient pas que les situations à l’origine des plaintes portent atteinte à un seul de ces droits. Une situation de congédiement discriminatoire peut en effet s’accompagner de propos discriminatoires et avoir été précédée par un climat de travail hostile, comme le montre l’analyse qualitative qui suit. </w:t>
      </w:r>
      <w:r w:rsidR="005D07D1" w:rsidRPr="00A839DD">
        <w:t>Le logiciel de traitement des plaintes ne permet cependant d’extraire qu’une seule allégation «</w:t>
      </w:r>
      <w:r w:rsidR="00F21382">
        <w:rPr>
          <w:rFonts w:ascii="Arial" w:hAnsi="Arial" w:cs="Arial"/>
        </w:rPr>
        <w:t> </w:t>
      </w:r>
      <w:r w:rsidR="005D07D1" w:rsidRPr="00A839DD">
        <w:t>principale</w:t>
      </w:r>
      <w:r w:rsidR="00F21382">
        <w:rPr>
          <w:rFonts w:ascii="Arial" w:hAnsi="Arial" w:cs="Arial"/>
        </w:rPr>
        <w:t> </w:t>
      </w:r>
      <w:r w:rsidR="005D07D1" w:rsidRPr="00A839DD">
        <w:t>» d’atteinte à un droit, généralement celle au centre de la plainte, bien que d’autres puissent être consignées dans le dossier et prises en compte dans le traitement de la plainte.</w:t>
      </w:r>
    </w:p>
    <w:p w14:paraId="72660DA0" w14:textId="0159149C" w:rsidR="00C83CD7" w:rsidRPr="00A839DD" w:rsidRDefault="00B378AB" w:rsidP="00761986">
      <w:pPr>
        <w:pStyle w:val="Paragraphe"/>
        <w:jc w:val="center"/>
      </w:pPr>
      <w:r w:rsidRPr="009F70BE">
        <w:lastRenderedPageBreak/>
        <w:drawing>
          <wp:inline distT="0" distB="0" distL="0" distR="0" wp14:anchorId="51785BBE" wp14:editId="033AB307">
            <wp:extent cx="6103214" cy="4121150"/>
            <wp:effectExtent l="0" t="0" r="12065" b="12700"/>
            <wp:docPr id="392574107" name="Graphique 1" descr="Graphique 8&#10;Les cinq atteintes aux droits alléguées les plus reperésentées parmi les plaintes pour discrimination en emploi fondée sur l'orientation sexuelle et l'identité ou l'expression de genre (1994 – 2024), n = 769&#10;Catégories:&#10;Congédiement 35,1 %&#10;Climat de travail 22,6 %&#10;Conditions de travail 9 %&#10;Embauche 8,5 %&#10;Démission forcée 4,8 %">
              <a:extLst xmlns:a="http://schemas.openxmlformats.org/drawingml/2006/main">
                <a:ext uri="{FF2B5EF4-FFF2-40B4-BE49-F238E27FC236}">
                  <a16:creationId xmlns:a16="http://schemas.microsoft.com/office/drawing/2014/main" id="{A67369D2-9EEF-451A-0CF1-BCA30E8E0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D5854DF" w14:textId="536AEF90" w:rsidR="009A3B70" w:rsidRPr="00A839DD" w:rsidRDefault="009A3B70" w:rsidP="0006339A">
      <w:pPr>
        <w:pStyle w:val="Paragraphe"/>
      </w:pPr>
      <w:r w:rsidRPr="00A839DD">
        <w:t xml:space="preserve">Comme le montre le </w:t>
      </w:r>
      <w:r w:rsidR="00603CEC" w:rsidRPr="00A839DD">
        <w:t>graphique</w:t>
      </w:r>
      <w:r w:rsidR="00291541">
        <w:t> </w:t>
      </w:r>
      <w:r w:rsidR="00603CEC" w:rsidRPr="00A839DD">
        <w:t>8</w:t>
      </w:r>
      <w:r w:rsidRPr="00A839DD">
        <w:t>, la situation des personnes portant plainte pour discrimination sur la base des deux motifs étudiés diffère quelque peu du portrait de l’ensemble des plaintes. Notablement, les plaintes concernant des climats de travail discriminatoires sont près de trois fois plus fréquentes, à 22,6</w:t>
      </w:r>
      <w:r w:rsidR="003573E9" w:rsidRPr="00A839DD">
        <w:t> </w:t>
      </w:r>
      <w:r w:rsidRPr="00A839DD">
        <w:t>%. Les plaintes relatives à l’embauche sont quant à elles deux fois moins nombreuses, à 8,5</w:t>
      </w:r>
      <w:r w:rsidR="003573E9" w:rsidRPr="00A839DD">
        <w:t> </w:t>
      </w:r>
      <w:r w:rsidRPr="00A839DD">
        <w:t>%. Ces différences s’expliquent probablement par le fait que l’orientation sexuelle et l</w:t>
      </w:r>
      <w:r w:rsidR="00DB2B96">
        <w:t>a transidentité</w:t>
      </w:r>
      <w:r w:rsidRPr="00A839DD">
        <w:t xml:space="preserve"> ne sont pas connues de l’employeur au moment de l’embauche ou que les personnes concernées la dissimulent, possiblement en évitant de la mentionner ou encore en ajustant leur expression de genre à l’occasion de l’entrevue</w:t>
      </w:r>
      <w:r w:rsidRPr="00A839DD">
        <w:rPr>
          <w:rStyle w:val="Appelnotedebasdep"/>
        </w:rPr>
        <w:footnoteReference w:id="246"/>
      </w:r>
      <w:r w:rsidRPr="00A839DD">
        <w:t xml:space="preserve">. Une fois embauchées, il peut cependant devenir plus difficile pour les personnes LGBTQ+ de dissimuler en tout temps et vis-à-vis toute personne leur orientation sexuelle ou leur </w:t>
      </w:r>
      <w:r w:rsidR="004F33F8">
        <w:t>transidentité</w:t>
      </w:r>
      <w:r w:rsidRPr="00A839DD">
        <w:t>, ce qui peut exposer ces personnes à un climat de travail hostile et au harcèlement, comme relevé précédemment à partir de la littérature. Les plaintes pour harcèlement discriminatoire sont d’ailleurs proportionnellement plus nombreuses pour ces motifs de discrimination (24,3</w:t>
      </w:r>
      <w:r w:rsidR="003573E9" w:rsidRPr="00A839DD">
        <w:t> </w:t>
      </w:r>
      <w:r w:rsidRPr="00A839DD">
        <w:t>%) en comparaison des plaintes reçues tous motifs confondus (14</w:t>
      </w:r>
      <w:r w:rsidR="003573E9" w:rsidRPr="00A839DD">
        <w:t> </w:t>
      </w:r>
      <w:r w:rsidRPr="00A839DD">
        <w:t>%).</w:t>
      </w:r>
    </w:p>
    <w:p w14:paraId="57C51E13" w14:textId="2E67ACDD" w:rsidR="009A3B70" w:rsidRPr="00A839DD" w:rsidRDefault="008D48B9" w:rsidP="0006339A">
      <w:pPr>
        <w:pStyle w:val="Paragraphe"/>
      </w:pPr>
      <w:r w:rsidRPr="00A839DD">
        <w:rPr>
          <w:shd w:val="clear" w:color="auto" w:fill="E9F8FB"/>
        </w:rPr>
        <w:lastRenderedPageBreak/>
        <w:drawing>
          <wp:inline distT="0" distB="0" distL="0" distR="0" wp14:anchorId="5A5F7878" wp14:editId="0F1A5097">
            <wp:extent cx="6019800" cy="3573780"/>
            <wp:effectExtent l="0" t="0" r="0" b="7620"/>
            <wp:docPr id="307303087" name="Graphique 1" descr="Graphique 9&#10;Les cinq atteintes aux droits alléguées les plus reperésentées parmi les plaintes pour discrimination en emploi fondée sur l'orientation sexuelle (1994 – 2024), n = 640&#10;Catégories:&#10;Congédiement 36, 9 %&#10;Climat de travail 22,7 %&#10;Conditions de travail 9,8 %&#10;Embauche 5, 9 %&#10;Droit à la sauvegarde de sa dignité, de son honneur et de sa réputation 4,5 %&#10;Démission forcée 4,5 %&#10;">
              <a:extLst xmlns:a="http://schemas.openxmlformats.org/drawingml/2006/main">
                <a:ext uri="{FF2B5EF4-FFF2-40B4-BE49-F238E27FC236}">
                  <a16:creationId xmlns:a16="http://schemas.microsoft.com/office/drawing/2014/main" id="{6722E475-8AF1-18E7-6F34-B9CCFF4B3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8C2751" w14:textId="77777777" w:rsidR="008D48B9" w:rsidRPr="00A839DD" w:rsidRDefault="008D48B9" w:rsidP="0006339A">
      <w:pPr>
        <w:pStyle w:val="Paragraphe"/>
      </w:pPr>
    </w:p>
    <w:p w14:paraId="520FB90B" w14:textId="0A51F1AC" w:rsidR="008D48B9" w:rsidRPr="00A839DD" w:rsidRDefault="00F653E7" w:rsidP="0006339A">
      <w:pPr>
        <w:pStyle w:val="Paragraphe"/>
      </w:pPr>
      <w:r w:rsidRPr="00A839DD">
        <w:rPr>
          <w:shd w:val="clear" w:color="auto" w:fill="FFFFFF" w:themeFill="background1"/>
        </w:rPr>
        <w:lastRenderedPageBreak/>
        <w:drawing>
          <wp:inline distT="0" distB="0" distL="0" distR="0" wp14:anchorId="04B117E6" wp14:editId="35F6CE44">
            <wp:extent cx="6032500" cy="3892550"/>
            <wp:effectExtent l="0" t="0" r="6350" b="12700"/>
            <wp:docPr id="1961047468" name="Graphique 1" descr="Graphique 10&#10; Les cinq atteintes aux droits les plus reperésentées parmi les plaintes pour discrimination en emploi fondée sur l'identité ou l'expression de genre (1994 – 2024), n = 129&#10;Catégories:&#10;Congédiement 27,2 %&#10;Climat de travail 21,3 %&#10;Embauche 20,6 %&#10;Conditions de travail juste et raisonnable 8,1 %&#10;Démission forcée 6,6 %">
              <a:extLst xmlns:a="http://schemas.openxmlformats.org/drawingml/2006/main">
                <a:ext uri="{FF2B5EF4-FFF2-40B4-BE49-F238E27FC236}">
                  <a16:creationId xmlns:a16="http://schemas.microsoft.com/office/drawing/2014/main" id="{3674C494-5823-84E6-A286-47E8C59B2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6771F7" w14:textId="3BCB51C4" w:rsidR="006E3F43" w:rsidRPr="00A839DD" w:rsidRDefault="0085569B" w:rsidP="0006339A">
      <w:pPr>
        <w:pStyle w:val="Paragraphe"/>
      </w:pPr>
      <w:r w:rsidRPr="00A839DD">
        <w:t>C</w:t>
      </w:r>
      <w:r w:rsidR="006E3F43" w:rsidRPr="00A839DD">
        <w:t>omme le montre</w:t>
      </w:r>
      <w:r w:rsidR="000C5E27">
        <w:t>nt</w:t>
      </w:r>
      <w:r w:rsidR="006E3F43" w:rsidRPr="00A839DD">
        <w:t xml:space="preserve"> </w:t>
      </w:r>
      <w:r w:rsidR="001E4E45" w:rsidRPr="00A839DD">
        <w:t>les graphiques</w:t>
      </w:r>
      <w:r w:rsidR="00291541">
        <w:t> </w:t>
      </w:r>
      <w:r w:rsidR="001E4E45" w:rsidRPr="00A839DD">
        <w:t>9 et 10</w:t>
      </w:r>
      <w:r w:rsidR="006E3F43" w:rsidRPr="00A839DD">
        <w:t>, lorsqu’on distingue les deux motifs, peu de différences apparaissent dans les atteintes discriminatoires alléguées, sauf en ce qui concerne celles relatives à l’embauche qui sont près de quatre fois plus fréquentes dans les plaintes pour discrimination fondée sur l’identité ou l’expression de genre (20,6</w:t>
      </w:r>
      <w:r w:rsidR="003573E9" w:rsidRPr="00A839DD">
        <w:t> </w:t>
      </w:r>
      <w:r w:rsidR="006E3F43" w:rsidRPr="00A839DD">
        <w:t>%) que dans celles pour discrimination fondée sur l’orientation sexuelle (5,9</w:t>
      </w:r>
      <w:r w:rsidR="003573E9" w:rsidRPr="00A839DD">
        <w:t> </w:t>
      </w:r>
      <w:r w:rsidR="006E3F43" w:rsidRPr="00A839DD">
        <w:t>%).</w:t>
      </w:r>
    </w:p>
    <w:p w14:paraId="598BEC37" w14:textId="27270593" w:rsidR="006E3F43" w:rsidRDefault="006E3F43" w:rsidP="0006339A">
      <w:pPr>
        <w:pStyle w:val="Paragraphe"/>
      </w:pPr>
      <w:r w:rsidRPr="00A839DD">
        <w:t>Puisque l’apparence des personnes trans et non binaires n’est pas toujours reconnue comme correspondant au genre auquel elles s’identifient, la discrimination peut être vécue dès l’embauche, à la différence des personnes appartenant aux minorités sexuelles qui peuvent dissimuler leur orientation sexuelle à cette étape. Logiquement, les nombres de plaintes pour congédiement et conditions de travail discriminatoires sont conséquemment plus faibles pour le motif «</w:t>
      </w:r>
      <w:r w:rsidR="00DE533D" w:rsidRPr="00A839DD">
        <w:rPr>
          <w:rFonts w:ascii="Arial" w:hAnsi="Arial" w:cs="Arial"/>
        </w:rPr>
        <w:t> </w:t>
      </w:r>
      <w:r w:rsidRPr="00A839DD">
        <w:t>identité ou expression de genre</w:t>
      </w:r>
      <w:r w:rsidR="00DE533D" w:rsidRPr="00A839DD">
        <w:rPr>
          <w:rFonts w:ascii="Arial" w:hAnsi="Arial" w:cs="Arial"/>
        </w:rPr>
        <w:t> </w:t>
      </w:r>
      <w:r w:rsidRPr="00A839DD">
        <w:t>», les personnes trans et non binaires étant tout simplement moins susceptibles d’être embauchées.</w:t>
      </w:r>
    </w:p>
    <w:p w14:paraId="4A301224" w14:textId="77777777" w:rsidR="00AD3859" w:rsidRDefault="00AD3859" w:rsidP="0006339A">
      <w:pPr>
        <w:pStyle w:val="Paragraphe"/>
      </w:pPr>
    </w:p>
    <w:p w14:paraId="52F27B30" w14:textId="77777777" w:rsidR="00AD3859" w:rsidRDefault="00AD3859" w:rsidP="0006339A">
      <w:pPr>
        <w:pStyle w:val="Paragraphe"/>
      </w:pPr>
    </w:p>
    <w:p w14:paraId="2FC610B0" w14:textId="77777777" w:rsidR="00AD3859" w:rsidRPr="00A839DD" w:rsidRDefault="00AD3859" w:rsidP="0006339A">
      <w:pPr>
        <w:pStyle w:val="Paragraphe"/>
      </w:pPr>
    </w:p>
    <w:tbl>
      <w:tblPr>
        <w:tblStyle w:val="Grilledutableau"/>
        <w:tblW w:w="4653" w:type="pct"/>
        <w:jc w:val="center"/>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9006"/>
      </w:tblGrid>
      <w:tr w:rsidR="006948D6" w:rsidRPr="00A839DD" w14:paraId="39F18EA0" w14:textId="77777777" w:rsidTr="00164333">
        <w:trPr>
          <w:trHeight w:val="1184"/>
          <w:jc w:val="center"/>
        </w:trPr>
        <w:tc>
          <w:tcPr>
            <w:tcW w:w="5000" w:type="pct"/>
            <w:shd w:val="clear" w:color="auto" w:fill="E3ECF9"/>
          </w:tcPr>
          <w:p w14:paraId="5C7AF5D8" w14:textId="78081913" w:rsidR="006948D6" w:rsidRPr="00AD3859" w:rsidRDefault="006948D6" w:rsidP="00AD3859">
            <w:pPr>
              <w:spacing w:before="120" w:after="120"/>
              <w:ind w:left="174" w:right="253"/>
              <w:rPr>
                <w:b/>
                <w:bCs/>
              </w:rPr>
            </w:pPr>
            <w:r w:rsidRPr="00AD3859">
              <w:rPr>
                <w:b/>
                <w:bCs/>
              </w:rPr>
              <w:lastRenderedPageBreak/>
              <w:t>Plainte d’un</w:t>
            </w:r>
            <w:r w:rsidR="00075701" w:rsidRPr="00AD3859">
              <w:rPr>
                <w:b/>
                <w:bCs/>
              </w:rPr>
              <w:t>e femme trans</w:t>
            </w:r>
            <w:r w:rsidRPr="00AD3859">
              <w:rPr>
                <w:b/>
                <w:bCs/>
              </w:rPr>
              <w:t>, années</w:t>
            </w:r>
            <w:r w:rsidR="00291541">
              <w:rPr>
                <w:b/>
                <w:bCs/>
              </w:rPr>
              <w:t> </w:t>
            </w:r>
            <w:r w:rsidRPr="00AD3859">
              <w:rPr>
                <w:b/>
                <w:bCs/>
              </w:rPr>
              <w:t>20</w:t>
            </w:r>
            <w:r w:rsidR="00075701" w:rsidRPr="00AD3859">
              <w:rPr>
                <w:b/>
                <w:bCs/>
              </w:rPr>
              <w:t>20</w:t>
            </w:r>
          </w:p>
          <w:p w14:paraId="61F61E34" w14:textId="2D11D096" w:rsidR="006948D6" w:rsidRPr="00A839DD" w:rsidRDefault="00075701" w:rsidP="00AD3859">
            <w:pPr>
              <w:spacing w:after="120"/>
              <w:ind w:left="174" w:right="253"/>
            </w:pPr>
            <w:r w:rsidRPr="00A839DD">
              <w:t>J</w:t>
            </w:r>
            <w:r w:rsidR="001D1781" w:rsidRPr="00A839DD">
              <w:t>’</w:t>
            </w:r>
            <w:r w:rsidRPr="00A839DD">
              <w:t xml:space="preserve">ai perdu mon emploi tout juste </w:t>
            </w:r>
            <w:r w:rsidR="009B1FDB" w:rsidRPr="00A839DD">
              <w:t>avant la fin de ma</w:t>
            </w:r>
            <w:r w:rsidRPr="00A839DD">
              <w:t xml:space="preserve"> probation. Les raisons </w:t>
            </w:r>
            <w:r w:rsidR="009B1FDB" w:rsidRPr="00A839DD">
              <w:t xml:space="preserve">invoquées </w:t>
            </w:r>
            <w:r w:rsidRPr="00A839DD">
              <w:t>me sembl</w:t>
            </w:r>
            <w:r w:rsidR="009B1FDB" w:rsidRPr="00A839DD">
              <w:t>ai</w:t>
            </w:r>
            <w:r w:rsidRPr="00A839DD">
              <w:t>ent bidons, mais je ne p</w:t>
            </w:r>
            <w:r w:rsidR="009B1FDB" w:rsidRPr="00A839DD">
              <w:t>ouvais</w:t>
            </w:r>
            <w:r w:rsidRPr="00A839DD">
              <w:t xml:space="preserve"> rien faire puisque </w:t>
            </w:r>
            <w:r w:rsidR="001D1781" w:rsidRPr="00A839DD">
              <w:t>j’</w:t>
            </w:r>
            <w:r w:rsidRPr="00A839DD">
              <w:t>étais en probation</w:t>
            </w:r>
            <w:r w:rsidR="009B1FDB" w:rsidRPr="00A839DD">
              <w:t>.</w:t>
            </w:r>
          </w:p>
        </w:tc>
      </w:tr>
      <w:tr w:rsidR="00AD3859" w:rsidRPr="00A839DD" w14:paraId="405C6CFF" w14:textId="77777777" w:rsidTr="00164333">
        <w:trPr>
          <w:trHeight w:val="1184"/>
          <w:jc w:val="center"/>
        </w:trPr>
        <w:tc>
          <w:tcPr>
            <w:tcW w:w="5000" w:type="pct"/>
            <w:shd w:val="clear" w:color="auto" w:fill="E3ECF9"/>
          </w:tcPr>
          <w:p w14:paraId="2433F76C" w14:textId="29551982" w:rsidR="00AD3859" w:rsidRPr="00AD3859" w:rsidRDefault="00AD3859" w:rsidP="00AD3859">
            <w:pPr>
              <w:spacing w:before="120" w:after="120"/>
              <w:ind w:left="174" w:right="253"/>
              <w:rPr>
                <w:b/>
                <w:bCs/>
              </w:rPr>
            </w:pPr>
            <w:r w:rsidRPr="00AD3859">
              <w:rPr>
                <w:b/>
                <w:bCs/>
              </w:rPr>
              <w:t>Plainte d’un homme gai, années</w:t>
            </w:r>
            <w:r w:rsidR="00291541">
              <w:rPr>
                <w:b/>
                <w:bCs/>
              </w:rPr>
              <w:t> </w:t>
            </w:r>
            <w:r w:rsidRPr="00AD3859">
              <w:rPr>
                <w:b/>
                <w:bCs/>
              </w:rPr>
              <w:t>2020</w:t>
            </w:r>
          </w:p>
          <w:p w14:paraId="40A62168" w14:textId="56BB02D7" w:rsidR="00AD3859" w:rsidRPr="00AD3859" w:rsidRDefault="00AD3859" w:rsidP="00AD3859">
            <w:pPr>
              <w:spacing w:after="120"/>
              <w:ind w:left="174" w:right="253"/>
              <w:rPr>
                <w:bCs/>
              </w:rPr>
            </w:pPr>
            <w:r w:rsidRPr="00A839DD">
              <w:t>Mon niveau d’anxiété et d’angoisse augmentait constamment lorsque je me présentais au travail. Je devais régulièrement prendre des anxiolytiques pour faire face à ce climat de travail hostile et anxiogène où j’anticipais toujours une remarque déplacée.</w:t>
            </w:r>
          </w:p>
        </w:tc>
      </w:tr>
      <w:tr w:rsidR="00AD3859" w:rsidRPr="00A839DD" w14:paraId="586223B8" w14:textId="77777777" w:rsidTr="00164333">
        <w:trPr>
          <w:trHeight w:val="1184"/>
          <w:jc w:val="center"/>
        </w:trPr>
        <w:tc>
          <w:tcPr>
            <w:tcW w:w="5000" w:type="pct"/>
            <w:shd w:val="clear" w:color="auto" w:fill="E3ECF9"/>
          </w:tcPr>
          <w:p w14:paraId="4E509FC7" w14:textId="2B95FAB1" w:rsidR="00AD3859" w:rsidRPr="00AD3859" w:rsidRDefault="00AD3859" w:rsidP="00AD3859">
            <w:pPr>
              <w:spacing w:before="120" w:after="120"/>
              <w:ind w:left="174" w:right="253"/>
              <w:rPr>
                <w:b/>
                <w:bCs/>
              </w:rPr>
            </w:pPr>
            <w:r w:rsidRPr="00AD3859">
              <w:rPr>
                <w:b/>
                <w:bCs/>
              </w:rPr>
              <w:t>Plainte d’un homme gai, années</w:t>
            </w:r>
            <w:r w:rsidR="00291541">
              <w:rPr>
                <w:b/>
                <w:bCs/>
              </w:rPr>
              <w:t> </w:t>
            </w:r>
            <w:r w:rsidRPr="00AD3859">
              <w:rPr>
                <w:b/>
                <w:bCs/>
              </w:rPr>
              <w:t>2010</w:t>
            </w:r>
          </w:p>
          <w:p w14:paraId="67984A2A" w14:textId="73CA1183" w:rsidR="00AD3859" w:rsidRPr="00AD3859" w:rsidRDefault="00AD3859" w:rsidP="00AD3859">
            <w:pPr>
              <w:spacing w:after="120"/>
              <w:ind w:left="174" w:right="253"/>
            </w:pPr>
            <w:r w:rsidRPr="00AD3859">
              <w:t>Au cours de l’entrevue d’embauche, l’employeur m’a posé des questions par rapport à mon orientation sexuelle. Il m’a demandé si j’étais homosexuel, mais je n’ai pas voulu répondre. Il a insisté. J’ai finalement dit oui pour qu’il arrête de me poser la question</w:t>
            </w:r>
          </w:p>
        </w:tc>
      </w:tr>
      <w:tr w:rsidR="00AD3859" w:rsidRPr="00A839DD" w14:paraId="3E04FE2E" w14:textId="77777777" w:rsidTr="00164333">
        <w:trPr>
          <w:trHeight w:val="1184"/>
          <w:jc w:val="center"/>
        </w:trPr>
        <w:tc>
          <w:tcPr>
            <w:tcW w:w="5000" w:type="pct"/>
            <w:shd w:val="clear" w:color="auto" w:fill="E3ECF9"/>
          </w:tcPr>
          <w:p w14:paraId="7FAE71B3" w14:textId="482D09AC" w:rsidR="00AD3859" w:rsidRPr="00AD3859" w:rsidRDefault="00AD3859" w:rsidP="00AD3859">
            <w:pPr>
              <w:spacing w:before="120" w:after="120"/>
              <w:ind w:left="174" w:right="253"/>
              <w:rPr>
                <w:b/>
                <w:bCs/>
              </w:rPr>
            </w:pPr>
            <w:r w:rsidRPr="00AD3859">
              <w:rPr>
                <w:b/>
                <w:bCs/>
              </w:rPr>
              <w:t>Plainte d’une femme trans, années</w:t>
            </w:r>
            <w:r w:rsidR="00291541">
              <w:rPr>
                <w:b/>
                <w:bCs/>
              </w:rPr>
              <w:t> </w:t>
            </w:r>
            <w:r w:rsidRPr="00AD3859">
              <w:rPr>
                <w:b/>
                <w:bCs/>
              </w:rPr>
              <w:t>2020</w:t>
            </w:r>
          </w:p>
          <w:p w14:paraId="249688A6" w14:textId="3865DEA6" w:rsidR="00AD3859" w:rsidRPr="00AD3859" w:rsidRDefault="00AD3859" w:rsidP="00AD3859">
            <w:pPr>
              <w:spacing w:after="120"/>
              <w:ind w:left="174" w:right="253"/>
              <w:rPr>
                <w:bCs/>
              </w:rPr>
            </w:pPr>
            <w:r w:rsidRPr="00A839DD">
              <w:t>J’ai porté plainte aux ressources humaines concernant le harcèlement que je vivais. Ils ont ensuite prévenu la direction et c’est là que j’ai commencé à subir des représailles au travail qui avait pour but de me discréditer et m’isoler.</w:t>
            </w:r>
          </w:p>
        </w:tc>
      </w:tr>
    </w:tbl>
    <w:p w14:paraId="7C858D1E" w14:textId="77777777" w:rsidR="0028159D" w:rsidRDefault="0028159D" w:rsidP="0006339A">
      <w:pPr>
        <w:pStyle w:val="Paragraphe"/>
      </w:pPr>
      <w:bookmarkStart w:id="139" w:name="_Toc229131312"/>
    </w:p>
    <w:p w14:paraId="5830397A" w14:textId="77777777" w:rsidR="0028159D" w:rsidRDefault="0028159D" w:rsidP="0006339A">
      <w:pPr>
        <w:pStyle w:val="Paragraphe"/>
      </w:pPr>
    </w:p>
    <w:p w14:paraId="749C4356" w14:textId="77777777" w:rsidR="0028159D" w:rsidRDefault="0028159D" w:rsidP="0006339A">
      <w:pPr>
        <w:pStyle w:val="Paragraphe"/>
      </w:pPr>
    </w:p>
    <w:p w14:paraId="355BEDC8" w14:textId="77777777" w:rsidR="0028159D" w:rsidRDefault="0028159D" w:rsidP="0006339A">
      <w:pPr>
        <w:pStyle w:val="Paragraphe"/>
      </w:pPr>
    </w:p>
    <w:p w14:paraId="695F6B8F" w14:textId="77777777" w:rsidR="0028159D" w:rsidRDefault="0028159D" w:rsidP="0006339A">
      <w:pPr>
        <w:pStyle w:val="Paragraphe"/>
      </w:pPr>
    </w:p>
    <w:p w14:paraId="13519FAF" w14:textId="77777777" w:rsidR="0028159D" w:rsidRDefault="0028159D" w:rsidP="0006339A">
      <w:pPr>
        <w:pStyle w:val="Paragraphe"/>
      </w:pPr>
    </w:p>
    <w:p w14:paraId="4D865825" w14:textId="77777777" w:rsidR="0028159D" w:rsidRDefault="0028159D" w:rsidP="0006339A">
      <w:pPr>
        <w:pStyle w:val="Paragraphe"/>
      </w:pPr>
    </w:p>
    <w:p w14:paraId="61CFBDF9" w14:textId="77777777" w:rsidR="0028159D" w:rsidRDefault="0028159D" w:rsidP="0006339A">
      <w:pPr>
        <w:pStyle w:val="Paragraphe"/>
      </w:pPr>
    </w:p>
    <w:p w14:paraId="064BC2A3" w14:textId="77777777" w:rsidR="00276459" w:rsidRDefault="00276459" w:rsidP="0006339A">
      <w:pPr>
        <w:pStyle w:val="Paragraphe"/>
      </w:pPr>
    </w:p>
    <w:p w14:paraId="164D5EAB" w14:textId="77777777" w:rsidR="00276459" w:rsidRDefault="00276459" w:rsidP="0006339A">
      <w:pPr>
        <w:pStyle w:val="Paragraphe"/>
      </w:pPr>
    </w:p>
    <w:p w14:paraId="6C89689D" w14:textId="77777777" w:rsidR="00276459" w:rsidRDefault="00276459" w:rsidP="0006339A">
      <w:pPr>
        <w:pStyle w:val="Paragraphe"/>
      </w:pPr>
    </w:p>
    <w:p w14:paraId="47C40361" w14:textId="77777777" w:rsidR="00A6783F" w:rsidRPr="00A839DD" w:rsidRDefault="00A6783F" w:rsidP="001D3E83">
      <w:pPr>
        <w:pStyle w:val="Titre2"/>
        <w:rPr>
          <w:noProof w:val="0"/>
        </w:rPr>
      </w:pPr>
      <w:r w:rsidRPr="00A839DD">
        <w:rPr>
          <w:noProof w:val="0"/>
        </w:rPr>
        <w:lastRenderedPageBreak/>
        <w:t>Les manifestations alléguées d’homophobie et de transphobie</w:t>
      </w:r>
      <w:bookmarkEnd w:id="139"/>
    </w:p>
    <w:p w14:paraId="2C5C896B" w14:textId="003BB2D5" w:rsidR="005041A3" w:rsidRPr="00276459" w:rsidRDefault="005041A3" w:rsidP="00F52D7C">
      <w:pPr>
        <w:jc w:val="center"/>
        <w:rPr>
          <w:rFonts w:asciiTheme="minorHAnsi" w:hAnsiTheme="minorHAnsi"/>
        </w:rPr>
      </w:pPr>
      <w:r w:rsidRPr="007A721C">
        <w:rPr>
          <w:rFonts w:asciiTheme="minorHAnsi" w:hAnsiTheme="minorHAnsi"/>
          <w:b/>
          <w:bCs/>
          <w:color w:val="2A73D0"/>
        </w:rPr>
        <w:t>Schéma</w:t>
      </w:r>
      <w:r w:rsidR="00F9183B" w:rsidRPr="007A721C">
        <w:rPr>
          <w:rFonts w:asciiTheme="minorHAnsi" w:hAnsiTheme="minorHAnsi"/>
          <w:b/>
          <w:bCs/>
          <w:color w:val="2A73D0"/>
        </w:rPr>
        <w:t> </w:t>
      </w:r>
      <w:r w:rsidRPr="007A721C">
        <w:rPr>
          <w:rFonts w:asciiTheme="minorHAnsi" w:hAnsiTheme="minorHAnsi"/>
          <w:b/>
          <w:bCs/>
          <w:color w:val="2A73D0"/>
        </w:rPr>
        <w:t>1</w:t>
      </w:r>
      <w:r w:rsidRPr="007A721C">
        <w:rPr>
          <w:rFonts w:asciiTheme="minorHAnsi" w:hAnsiTheme="minorHAnsi"/>
          <w:color w:val="2A73D0"/>
        </w:rPr>
        <w:t> </w:t>
      </w:r>
      <w:r w:rsidR="00276459" w:rsidRPr="007A721C">
        <w:rPr>
          <w:rFonts w:asciiTheme="minorHAnsi" w:hAnsiTheme="minorHAnsi"/>
          <w:color w:val="2A73D0"/>
        </w:rPr>
        <w:br/>
      </w:r>
      <w:r w:rsidRPr="007A721C">
        <w:rPr>
          <w:rFonts w:asciiTheme="minorHAnsi" w:hAnsiTheme="minorHAnsi"/>
          <w:color w:val="2A73D0"/>
        </w:rPr>
        <w:t>Proportions de plaintes pour discrimination en emploi fondée sur l’orientation sexuelle</w:t>
      </w:r>
      <w:r w:rsidR="00276459" w:rsidRPr="007A721C">
        <w:rPr>
          <w:rFonts w:asciiTheme="minorHAnsi" w:hAnsiTheme="minorHAnsi"/>
          <w:color w:val="2A73D0"/>
        </w:rPr>
        <w:br/>
      </w:r>
      <w:r w:rsidRPr="007A721C">
        <w:rPr>
          <w:rFonts w:asciiTheme="minorHAnsi" w:hAnsiTheme="minorHAnsi"/>
          <w:color w:val="2A73D0"/>
        </w:rPr>
        <w:t>et l’identité ou l’expression de genre alléguant certaines manifestations</w:t>
      </w:r>
      <w:r w:rsidR="00276459" w:rsidRPr="007A721C">
        <w:rPr>
          <w:rFonts w:asciiTheme="minorHAnsi" w:hAnsiTheme="minorHAnsi"/>
          <w:color w:val="2A73D0"/>
        </w:rPr>
        <w:br/>
      </w:r>
      <w:r w:rsidRPr="007A721C">
        <w:rPr>
          <w:rFonts w:asciiTheme="minorHAnsi" w:hAnsiTheme="minorHAnsi"/>
          <w:color w:val="2A73D0"/>
        </w:rPr>
        <w:t>d’homophobie et de transphobie dans le corpus qualitatif (1994 –</w:t>
      </w:r>
      <w:r w:rsidR="00B30485" w:rsidRPr="007A721C">
        <w:rPr>
          <w:rFonts w:ascii="Arial" w:hAnsi="Arial" w:cs="Arial"/>
          <w:color w:val="2A73D0"/>
        </w:rPr>
        <w:t> </w:t>
      </w:r>
      <w:r w:rsidRPr="007A721C">
        <w:rPr>
          <w:rFonts w:asciiTheme="minorHAnsi" w:hAnsiTheme="minorHAnsi"/>
          <w:color w:val="2A73D0"/>
        </w:rPr>
        <w:t>2020), n = 201</w:t>
      </w:r>
      <w:r w:rsidRPr="00276459">
        <w:rPr>
          <w:rStyle w:val="Appelnotedebasdep"/>
          <w:rFonts w:asciiTheme="minorHAnsi" w:hAnsiTheme="minorHAnsi"/>
        </w:rPr>
        <w:footnoteReference w:id="247"/>
      </w:r>
    </w:p>
    <w:p w14:paraId="09D70937" w14:textId="77777777" w:rsidR="002D0530" w:rsidRPr="00A839DD" w:rsidRDefault="002D0530" w:rsidP="002D0530">
      <w:pPr>
        <w:suppressAutoHyphens w:val="0"/>
        <w:autoSpaceDE/>
        <w:autoSpaceDN/>
        <w:adjustRightInd/>
        <w:spacing w:before="240" w:after="240" w:line="360" w:lineRule="auto"/>
        <w:textAlignment w:val="auto"/>
        <w:rPr>
          <w:rFonts w:ascii="Arial" w:eastAsia="MS Mincho" w:hAnsi="Arial" w:cs="Arial"/>
          <w:bdr w:val="none" w:sz="0" w:space="0" w:color="auto" w:frame="1"/>
          <w:lang w:eastAsia="ja-JP"/>
        </w:rPr>
      </w:pPr>
      <w:r w:rsidRPr="00A839DD">
        <w:rPr>
          <w:rFonts w:ascii="Arial" w:eastAsia="MS Mincho" w:hAnsi="Arial" w:cs="Arial"/>
          <w:noProof/>
          <w:bdr w:val="none" w:sz="0" w:space="0" w:color="auto" w:frame="1"/>
          <w:lang w:eastAsia="ja-JP"/>
        </w:rPr>
        <w:drawing>
          <wp:inline distT="0" distB="0" distL="0" distR="0" wp14:anchorId="19892FDD" wp14:editId="4CA44AF3">
            <wp:extent cx="6276355" cy="4907461"/>
            <wp:effectExtent l="0" t="0" r="0" b="7620"/>
            <wp:docPr id="1473271194" name="Diagramme 1" descr="Trois colonnes présentant visuellement les statistiques détaillées pour les propos, conduites et normes qui se retrouvent dans le corps du texte. ">
              <a:extLst xmlns:a="http://schemas.openxmlformats.org/drawingml/2006/main">
                <a:ext uri="{FF2B5EF4-FFF2-40B4-BE49-F238E27FC236}">
                  <a16:creationId xmlns:a16="http://schemas.microsoft.com/office/drawing/2014/main" id="{5A1022D5-A7F3-1695-CA49-EE24A2C60B2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DAAA9E3" w14:textId="664E13F5" w:rsidR="00576235" w:rsidRPr="00A839DD" w:rsidRDefault="00576235" w:rsidP="0006339A">
      <w:pPr>
        <w:pStyle w:val="Paragraphe"/>
      </w:pPr>
      <w:r w:rsidRPr="00A839DD">
        <w:t xml:space="preserve">Les manifestations alléguées d’homophobie et de transphobie ont été divisées en trois catégories au cours de l’analyse : les propos, les conduites et les normes. Ce dernier terme ne vise pas les normes sociales, mais plutôt les normes formelles comme les conventions collectives et les politiques </w:t>
      </w:r>
      <w:r w:rsidRPr="00A839DD">
        <w:lastRenderedPageBreak/>
        <w:t>institutionnelles.</w:t>
      </w:r>
      <w:r w:rsidR="00103CB0" w:rsidRPr="00A839DD">
        <w:t xml:space="preserve"> À la différence des données de la section précédente, </w:t>
      </w:r>
      <w:r w:rsidR="001A346F" w:rsidRPr="00A839DD">
        <w:t>les données qui suivent portent uniquement sur le corpus dédié à l’analyse qualitative (n = 201).</w:t>
      </w:r>
    </w:p>
    <w:p w14:paraId="77444CD1" w14:textId="41BF3CAA" w:rsidR="00576235" w:rsidRPr="00A839DD" w:rsidRDefault="00576235" w:rsidP="0006339A">
      <w:pPr>
        <w:pStyle w:val="Paragraphe"/>
      </w:pPr>
      <w:r w:rsidRPr="00A839DD">
        <w:t xml:space="preserve">Ce sont de loin des propos qui sont le plus souvent dénoncés dans les plaintes. La variété de ceux-ci est très grande, allant des propos stéréotypés aux menaces en passant par des propos ambivalents, des propos à caractère sexuel et le dévoilement </w:t>
      </w:r>
      <w:r w:rsidR="00845850">
        <w:t>non consenti</w:t>
      </w:r>
      <w:r w:rsidRPr="00A839DD">
        <w:t xml:space="preserve"> d’informations sur l’orientation sexuelle ou l’identité de genre. Ces données indiquent la fréquence à laquelle ces différentes manifestations ont été alléguées dans les plaintes. Elles ne révèlent cependant pas si ces éléments sont centraux dans la plainte. Par exemple, elles font simplement état que des propos sont allégués dans 84 % des plaintes analysées. La grande fréquence des propos s’explique probablement par le fait que c’est généralement ainsi que le lien entre l’atteinte aux droits alléguée et le motif interdit de discrimination est rendu explicite pour la personne concernée. À titre de rappel, un tel lien explicite n’est cependant pas requis pour prouver une discrimination, bien qu’il puisse faciliter l’administration de la preuve.</w:t>
      </w:r>
    </w:p>
    <w:p w14:paraId="1243E896" w14:textId="0DB3013D" w:rsidR="00576235" w:rsidRPr="00A839DD" w:rsidRDefault="00576235" w:rsidP="0006339A">
      <w:pPr>
        <w:pStyle w:val="Paragraphe"/>
      </w:pPr>
      <w:r w:rsidRPr="00A839DD">
        <w:t xml:space="preserve">Il convient toutefois de noter que le cadre juridique applicable aux propos discriminatoires a été considérablement resserré dans les dernières années suivant l’arrêt </w:t>
      </w:r>
      <w:r w:rsidRPr="00A839DD">
        <w:rPr>
          <w:i/>
          <w:iCs/>
        </w:rPr>
        <w:t>Ward</w:t>
      </w:r>
      <w:r w:rsidRPr="00A839DD">
        <w:t xml:space="preserve"> de la Cour suprême rendu en 2021</w:t>
      </w:r>
      <w:bookmarkStart w:id="140" w:name="_Ref219810413"/>
      <w:r w:rsidRPr="00A839DD">
        <w:rPr>
          <w:rStyle w:val="Appelnotedebasdep"/>
        </w:rPr>
        <w:footnoteReference w:id="248"/>
      </w:r>
      <w:bookmarkEnd w:id="140"/>
      <w:r w:rsidRPr="00A839DD">
        <w:t>. Le caractère blessant ou offensant de propos stéréotypés ou autrement fondés sur un motif interdit n’est pas suffisant pour qu’ils soient considérés discriminatoires</w:t>
      </w:r>
      <w:r w:rsidRPr="00A839DD">
        <w:rPr>
          <w:rStyle w:val="Appelnotedebasdep"/>
        </w:rPr>
        <w:footnoteReference w:id="249"/>
      </w:r>
      <w:r w:rsidRPr="00A839DD">
        <w:t>. Le préjudice occasionné par les propos doit généralement atteindre un seuil de gravité très élevé et ceux-ci doivent être susceptibles d’affecter l’acceptation sociale d’une personne ou d’un groupe</w:t>
      </w:r>
      <w:r w:rsidRPr="00A839DD">
        <w:rPr>
          <w:rStyle w:val="Appelnotedebasdep"/>
        </w:rPr>
        <w:footnoteReference w:id="250"/>
      </w:r>
      <w:r w:rsidRPr="00A839DD">
        <w:t xml:space="preserve">. Les propos liés à un motif de discrimination restent cependant interdits dans plusieurs circonstances, par exemple </w:t>
      </w:r>
      <w:r w:rsidRPr="00DC39DC">
        <w:t xml:space="preserve">lorsqu’ils participent </w:t>
      </w:r>
      <w:r w:rsidR="005F14B3" w:rsidRPr="00DC39DC">
        <w:t>a</w:t>
      </w:r>
      <w:r w:rsidRPr="00DC39DC">
        <w:t>u harcèlement</w:t>
      </w:r>
      <w:r w:rsidRPr="00A839DD">
        <w:t xml:space="preserve">, qu’ils sont tenus dans le cadre d’un processus d’embauche ou encore s’ils rendent le climat de travail hostile. </w:t>
      </w:r>
      <w:r w:rsidR="00DA546D" w:rsidRPr="00A839DD">
        <w:t>Pour rappel, l</w:t>
      </w:r>
      <w:r w:rsidRPr="00A839DD">
        <w:t>a présente recherche ne statue pas quant au caractère discriminatoire ou non</w:t>
      </w:r>
      <w:r w:rsidR="00B64FF5" w:rsidRPr="00A839DD">
        <w:t>, au sens juridique,</w:t>
      </w:r>
      <w:r w:rsidRPr="00A839DD">
        <w:t xml:space="preserve"> des propos allégués. Leur analyse parait toutefois importante puisqu’ils sont révélateurs des ressorts de l’homophobie et de la transphobie.</w:t>
      </w:r>
    </w:p>
    <w:p w14:paraId="523E834E" w14:textId="77777777" w:rsidR="00576235" w:rsidRPr="00A839DD" w:rsidRDefault="00576235" w:rsidP="0006339A">
      <w:pPr>
        <w:pStyle w:val="Paragraphe"/>
      </w:pPr>
      <w:r w:rsidRPr="00A839DD">
        <w:t>Avant d’aborder les conduites et les normes dénoncées, les prochaines sous-sections passent en revue certains aspects transversaux aux différents types de propos allégués dans les plaintes analysées.</w:t>
      </w:r>
    </w:p>
    <w:p w14:paraId="3F4E269E" w14:textId="6ACE05BE" w:rsidR="004B22A4" w:rsidRPr="00A839DD" w:rsidRDefault="004B22A4" w:rsidP="001D3E83">
      <w:pPr>
        <w:pStyle w:val="Titre2"/>
        <w:rPr>
          <w:noProof w:val="0"/>
        </w:rPr>
      </w:pPr>
      <w:bookmarkStart w:id="141" w:name="_Toc229131313"/>
      <w:r w:rsidRPr="00A839DD">
        <w:rPr>
          <w:noProof w:val="0"/>
        </w:rPr>
        <w:lastRenderedPageBreak/>
        <w:t xml:space="preserve">Les propos </w:t>
      </w:r>
      <w:r w:rsidR="00D94B7C" w:rsidRPr="00A839DD">
        <w:rPr>
          <w:noProof w:val="0"/>
        </w:rPr>
        <w:t>dénoncés</w:t>
      </w:r>
      <w:bookmarkEnd w:id="141"/>
    </w:p>
    <w:p w14:paraId="645E6CD1" w14:textId="77777777" w:rsidR="00FD35AA" w:rsidRPr="00A839DD" w:rsidRDefault="00FD35AA" w:rsidP="001D3E83">
      <w:pPr>
        <w:pStyle w:val="Titre3"/>
        <w:rPr>
          <w:noProof w:val="0"/>
        </w:rPr>
      </w:pPr>
      <w:bookmarkStart w:id="142" w:name="_Toc229131314"/>
      <w:r w:rsidRPr="00A839DD">
        <w:rPr>
          <w:noProof w:val="0"/>
        </w:rPr>
        <w:t>Les préjugés et stéréotypes récurrents</w:t>
      </w:r>
      <w:bookmarkEnd w:id="142"/>
    </w:p>
    <w:p w14:paraId="66802FDE" w14:textId="35580BAF" w:rsidR="009E490E" w:rsidRPr="00A839DD" w:rsidRDefault="009E490E" w:rsidP="0006339A">
      <w:pPr>
        <w:pStyle w:val="Paragraphe"/>
      </w:pPr>
      <w:r w:rsidRPr="00A839DD">
        <w:t>La discrimination repose souvent sur des préjugés et stéréotypes, individuels ou érigés en normes, qui teintent notamment la perception des personnes appartenant à certains groupes, l’attitude et les comportements adoptés à leur égard, ainsi que la façon d’appliquer des politiques ou de mettre en œuvre des pratiques. Les préjugés et stéréotypes envers les personnes LGBTQ+ sont nombreux et ont, pour certains, évolué au fil du temps. La plupart sont communs aux minorités sexuelles et de genre, bien que l’intensité et la fréquence aient pu varier selon le sous-groupe à la faveur de certaines avancées sociale</w:t>
      </w:r>
      <w:r w:rsidR="00804771" w:rsidRPr="00A839DD">
        <w:t>s</w:t>
      </w:r>
      <w:r w:rsidRPr="00A839DD">
        <w:t>.</w:t>
      </w:r>
    </w:p>
    <w:p w14:paraId="5EB94E7C" w14:textId="77777777" w:rsidR="009E490E" w:rsidRPr="00A839DD" w:rsidRDefault="009E490E" w:rsidP="0006339A">
      <w:pPr>
        <w:pStyle w:val="Paragraphe"/>
      </w:pPr>
      <w:r w:rsidRPr="00A839DD">
        <w:t>Dans 42 % des plaintes analysées visant des propos, les personnes plaignantes décrivent des paroles leur ayant été adressées ou ayant été entendues sur leur lieu de travail qui reproduisent des préjugés et stéréotypes. Il s’agit du type de propos le plus fréquent, à égalité avec le dénigrement (42 %), suivi des insultes (33 %) qui, dans bien des cas, puisent aussi dans les mêmes stéréotypes. Ceux-ci peuvent être regroupés dans les catégories qui suivent. Ils sont par ailleurs documentés dans la recherche universitaire et reconnus par les tribunaux.</w:t>
      </w:r>
    </w:p>
    <w:p w14:paraId="0634B562" w14:textId="77777777" w:rsidR="00B03FDE" w:rsidRPr="00A839DD" w:rsidRDefault="00B03FDE" w:rsidP="00EB5BD0">
      <w:pPr>
        <w:pStyle w:val="Titre4"/>
        <w:numPr>
          <w:ilvl w:val="0"/>
          <w:numId w:val="17"/>
        </w:numPr>
      </w:pPr>
      <w:bookmarkStart w:id="143" w:name="_Toc229131315"/>
      <w:r w:rsidRPr="00A839DD">
        <w:t>Les stéréotypes traditionnels de genre</w:t>
      </w:r>
      <w:bookmarkEnd w:id="143"/>
    </w:p>
    <w:p w14:paraId="412B97E7" w14:textId="3DBEE196" w:rsidR="00B03FDE" w:rsidRPr="00A839DD" w:rsidRDefault="00B03FDE" w:rsidP="0006339A">
      <w:pPr>
        <w:pStyle w:val="Paragraphe"/>
      </w:pPr>
      <w:r w:rsidRPr="00A839DD">
        <w:t>Une grande proportion des propos dénoncés repose sur ces stéréotypes</w:t>
      </w:r>
      <w:r w:rsidRPr="00A839DD">
        <w:rPr>
          <w:rStyle w:val="Appelnotedebasdep"/>
        </w:rPr>
        <w:footnoteReference w:id="251"/>
      </w:r>
      <w:r w:rsidRPr="00A839DD">
        <w:t>. Une expression fréquente de ceux-ci vise les hommes gais qui sont invités à «</w:t>
      </w:r>
      <w:r w:rsidRPr="00A839DD">
        <w:rPr>
          <w:rFonts w:ascii="Arial" w:hAnsi="Arial" w:cs="Arial"/>
        </w:rPr>
        <w:t> </w:t>
      </w:r>
      <w:r w:rsidRPr="00A839DD">
        <w:t>travailler ou agir comme un homme</w:t>
      </w:r>
      <w:r w:rsidRPr="00A839DD">
        <w:rPr>
          <w:rFonts w:ascii="Arial" w:hAnsi="Arial" w:cs="Arial"/>
        </w:rPr>
        <w:t> </w:t>
      </w:r>
      <w:r w:rsidRPr="00A839DD">
        <w:t>» et, à l’inverse, à ne pas se comporter «</w:t>
      </w:r>
      <w:r w:rsidRPr="00A839DD">
        <w:rPr>
          <w:rFonts w:ascii="Arial" w:hAnsi="Arial" w:cs="Arial"/>
        </w:rPr>
        <w:t> </w:t>
      </w:r>
      <w:r w:rsidRPr="00A839DD">
        <w:t>comme une femme</w:t>
      </w:r>
      <w:r w:rsidRPr="00A839DD">
        <w:rPr>
          <w:rFonts w:ascii="Arial" w:hAnsi="Arial" w:cs="Arial"/>
        </w:rPr>
        <w:t> </w:t>
      </w:r>
      <w:r w:rsidRPr="00A839DD">
        <w:t>», voire comme «</w:t>
      </w:r>
      <w:r w:rsidRPr="00A839DD">
        <w:rPr>
          <w:rFonts w:ascii="Arial" w:hAnsi="Arial" w:cs="Arial"/>
        </w:rPr>
        <w:t> </w:t>
      </w:r>
      <w:r w:rsidRPr="00A839DD">
        <w:t>une tapette</w:t>
      </w:r>
      <w:r w:rsidRPr="00A839DD">
        <w:rPr>
          <w:rFonts w:ascii="Arial" w:hAnsi="Arial" w:cs="Arial"/>
        </w:rPr>
        <w:t> </w:t>
      </w:r>
      <w:r w:rsidRPr="00A839DD">
        <w:t>»</w:t>
      </w:r>
      <w:r w:rsidRPr="00A839DD">
        <w:rPr>
          <w:rStyle w:val="Appelnotedebasdep"/>
        </w:rPr>
        <w:footnoteReference w:id="252"/>
      </w:r>
      <w:r w:rsidRPr="00A839DD">
        <w:t>. Ils sont parfois dits «</w:t>
      </w:r>
      <w:r w:rsidRPr="00A839DD">
        <w:rPr>
          <w:rFonts w:ascii="Arial" w:hAnsi="Arial" w:cs="Arial"/>
        </w:rPr>
        <w:t> </w:t>
      </w:r>
      <w:r w:rsidRPr="00A839DD">
        <w:t>trop</w:t>
      </w:r>
      <w:r w:rsidRPr="00A839DD">
        <w:rPr>
          <w:rFonts w:ascii="Arial" w:hAnsi="Arial" w:cs="Arial"/>
        </w:rPr>
        <w:t> </w:t>
      </w:r>
      <w:r w:rsidRPr="00A839DD">
        <w:t>» efféminés ou «</w:t>
      </w:r>
      <w:r w:rsidRPr="00A839DD">
        <w:rPr>
          <w:rFonts w:ascii="Arial" w:hAnsi="Arial" w:cs="Arial"/>
        </w:rPr>
        <w:t> </w:t>
      </w:r>
      <w:r w:rsidRPr="00A839DD">
        <w:t>manquant de virilité</w:t>
      </w:r>
      <w:r w:rsidRPr="00A839DD">
        <w:rPr>
          <w:rFonts w:ascii="Arial" w:hAnsi="Arial" w:cs="Arial"/>
        </w:rPr>
        <w:t> </w:t>
      </w:r>
      <w:r w:rsidRPr="00A839DD">
        <w:t>»</w:t>
      </w:r>
      <w:r w:rsidRPr="00A839DD">
        <w:rPr>
          <w:rStyle w:val="Appelnotedebasdep"/>
        </w:rPr>
        <w:footnoteReference w:id="253"/>
      </w:r>
      <w:r w:rsidRPr="00A839DD">
        <w:t>. On remet ainsi en question leur aptitude à exécuter le travail, leur force, leur apparence et l’effet que cette dernière pourrait avoir sur la perception de la clientèle.</w:t>
      </w:r>
    </w:p>
    <w:p w14:paraId="06FDCE3A" w14:textId="77777777" w:rsidR="00B03FDE" w:rsidRPr="00A839DD" w:rsidRDefault="00B03FDE" w:rsidP="0006339A">
      <w:pPr>
        <w:pStyle w:val="Paragraphe"/>
      </w:pPr>
      <w:r w:rsidRPr="00A839DD">
        <w:t>Selon la littérature, les femmes lesbiennes sont quant à elles davantage associées à la masculinité, un stéréotype qui n’a pas toujours des effets négatifs, notamment dans les milieux de travail traditionnellement masculins</w:t>
      </w:r>
      <w:r w:rsidRPr="00A839DD">
        <w:rPr>
          <w:rStyle w:val="Appelnotedebasdep"/>
        </w:rPr>
        <w:footnoteReference w:id="254"/>
      </w:r>
      <w:r w:rsidRPr="00A839DD">
        <w:t xml:space="preserve">. Dans ce dernier cas, certaines femmes lesbiennes visées se retrouvent cependant dans une position inconfortable si elles veulent être elles-mêmes sans valider le </w:t>
      </w:r>
      <w:r w:rsidRPr="00A839DD">
        <w:lastRenderedPageBreak/>
        <w:t>cliché de l’association entre lesbianisme et masculinité</w:t>
      </w:r>
      <w:r w:rsidRPr="00A839DD">
        <w:rPr>
          <w:rStyle w:val="Appelnotedebasdep"/>
        </w:rPr>
        <w:footnoteReference w:id="255"/>
      </w:r>
      <w:r w:rsidRPr="00A839DD">
        <w:t>. Cela dit, comme on l’a vu, les femmes portent moins plainte pour discrimination sur la base de l’orientation sexuelle, ce qui peut aussi expliquer pourquoi ce stéréotype ne se retrouve pas dans les plaintes analysées. Pour les personnes des minorités sexuelles, les stéréotypes masculins et féminins prennent ainsi la forme particulière du stéréotype de «</w:t>
      </w:r>
      <w:r w:rsidRPr="00A839DD">
        <w:rPr>
          <w:rFonts w:ascii="Arial" w:hAnsi="Arial" w:cs="Arial"/>
        </w:rPr>
        <w:t> </w:t>
      </w:r>
      <w:r w:rsidRPr="00A839DD">
        <w:t>l’inversion du genre</w:t>
      </w:r>
      <w:r w:rsidRPr="00A839DD">
        <w:rPr>
          <w:rFonts w:ascii="Arial" w:hAnsi="Arial" w:cs="Arial"/>
        </w:rPr>
        <w:t> </w:t>
      </w:r>
      <w:r w:rsidRPr="00A839DD">
        <w:t>»</w:t>
      </w:r>
      <w:r w:rsidRPr="00A839DD">
        <w:rPr>
          <w:rStyle w:val="Appelnotedebasdep"/>
        </w:rPr>
        <w:footnoteReference w:id="256"/>
      </w:r>
      <w:r w:rsidRPr="00A839DD">
        <w:t xml:space="preserve"> par rapport au sexe assigné à la naissance.</w:t>
      </w:r>
    </w:p>
    <w:p w14:paraId="2CF9B71B" w14:textId="77777777" w:rsidR="00B03FDE" w:rsidRPr="00A839DD" w:rsidRDefault="00B03FDE" w:rsidP="0006339A">
      <w:pPr>
        <w:pStyle w:val="Paragraphe"/>
      </w:pPr>
      <w:r w:rsidRPr="00A839DD">
        <w:t>Toujours dans les plaintes analysées, les propos dénoncés par les personnes trans ciblent particulièrement leur apparence. Une femme trans n’est par exemple pas toujours considérée assez féminine dans son milieu de travail, que ce soit au point de vue de l’apparence physique, de l’habillement ou du timbre de la voix, comme en fait aussi état la jurisprudence</w:t>
      </w:r>
      <w:r w:rsidRPr="00A839DD">
        <w:rPr>
          <w:rStyle w:val="Appelnotedebasdep"/>
        </w:rPr>
        <w:footnoteReference w:id="257"/>
      </w:r>
      <w:r w:rsidRPr="00A839DD">
        <w:t>. Chez un homme trans, les propos prétendent notamment déceler la féminité dans les attitudes et qualités (délicatesse, finesse, douceur, gentillesse), comme si ces attributs n’étaient pas partagés au-delà du genre.</w:t>
      </w:r>
    </w:p>
    <w:p w14:paraId="23FD39D0" w14:textId="77777777" w:rsidR="00B03FDE" w:rsidRPr="00A839DD" w:rsidRDefault="00B03FDE" w:rsidP="0006339A">
      <w:pPr>
        <w:pStyle w:val="Paragraphe"/>
      </w:pPr>
      <w:r w:rsidRPr="00A839DD">
        <w:t>Ces formules sont typiques du sexisme dans la mesure où elles opposent des stéréotypes de la masculinité et de la féminité, en plus de les hiérarchiser, la première étant présentée comme supérieure à la seconde. Les femmes sont de plus réduites à leur apparence.</w:t>
      </w:r>
    </w:p>
    <w:tbl>
      <w:tblPr>
        <w:tblStyle w:val="Grilledutableau"/>
        <w:tblW w:w="5021" w:type="pct"/>
        <w:jc w:val="center"/>
        <w:tbl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insideH w:val="dotted" w:sz="6" w:space="0" w:color="BFBFBF" w:themeColor="background1" w:themeShade="BF"/>
          <w:insideV w:val="dotted" w:sz="6" w:space="0" w:color="BFBFBF" w:themeColor="background1" w:themeShade="BF"/>
        </w:tblBorders>
        <w:tblLook w:val="04A0" w:firstRow="1" w:lastRow="0" w:firstColumn="1" w:lastColumn="0" w:noHBand="0" w:noVBand="1"/>
      </w:tblPr>
      <w:tblGrid>
        <w:gridCol w:w="9713"/>
      </w:tblGrid>
      <w:tr w:rsidR="00FE531F" w:rsidRPr="00A839DD" w14:paraId="628259BD" w14:textId="77777777" w:rsidTr="00E153E3">
        <w:trPr>
          <w:trHeight w:val="1104"/>
          <w:jc w:val="center"/>
        </w:trPr>
        <w:tc>
          <w:tcPr>
            <w:tcW w:w="5000" w:type="pct"/>
            <w:shd w:val="clear" w:color="auto" w:fill="E3ECF9"/>
          </w:tcPr>
          <w:p w14:paraId="2EADDB73" w14:textId="582FB850" w:rsidR="00FE531F" w:rsidRPr="002D0183" w:rsidRDefault="00FE531F" w:rsidP="002D0183">
            <w:pPr>
              <w:spacing w:before="120" w:after="120"/>
              <w:ind w:left="174"/>
              <w:rPr>
                <w:b/>
                <w:bCs/>
              </w:rPr>
            </w:pPr>
            <w:bookmarkStart w:id="144" w:name="_Hlk216180132"/>
            <w:r w:rsidRPr="002D0183">
              <w:rPr>
                <w:b/>
                <w:bCs/>
              </w:rPr>
              <w:t>Plainte d</w:t>
            </w:r>
            <w:r w:rsidR="003220AA" w:rsidRPr="002D0183">
              <w:rPr>
                <w:b/>
                <w:bCs/>
              </w:rPr>
              <w:t>’un homme gai</w:t>
            </w:r>
            <w:r w:rsidRPr="002D0183">
              <w:rPr>
                <w:b/>
                <w:bCs/>
              </w:rPr>
              <w:t>, années</w:t>
            </w:r>
            <w:r w:rsidR="00291541">
              <w:rPr>
                <w:b/>
                <w:bCs/>
              </w:rPr>
              <w:t> </w:t>
            </w:r>
            <w:r w:rsidRPr="002D0183">
              <w:rPr>
                <w:b/>
                <w:bCs/>
              </w:rPr>
              <w:t>2000</w:t>
            </w:r>
          </w:p>
          <w:p w14:paraId="6FA33057" w14:textId="447ADA0D" w:rsidR="00FE531F" w:rsidRPr="00A839DD" w:rsidRDefault="00FE531F" w:rsidP="002D0183">
            <w:pPr>
              <w:spacing w:after="120"/>
              <w:ind w:left="174" w:right="224"/>
            </w:pPr>
            <w:r w:rsidRPr="00AD3859">
              <w:t>Je suis en train de discuter avec une collègue quand, subitement, elle déclare</w:t>
            </w:r>
            <w:r w:rsidR="00B73236" w:rsidRPr="00AD3859">
              <w:t> </w:t>
            </w:r>
            <w:r w:rsidRPr="00AD3859">
              <w:t>: «</w:t>
            </w:r>
            <w:r w:rsidR="00A82352" w:rsidRPr="00AD3859">
              <w:rPr>
                <w:rFonts w:ascii="Arial" w:hAnsi="Arial" w:cs="Arial"/>
              </w:rPr>
              <w:t> </w:t>
            </w:r>
            <w:r w:rsidR="001362EA" w:rsidRPr="00AD3859">
              <w:t xml:space="preserve">Comment </w:t>
            </w:r>
            <w:proofErr w:type="gramStart"/>
            <w:r w:rsidRPr="00AD3859">
              <w:t>t’es</w:t>
            </w:r>
            <w:proofErr w:type="gramEnd"/>
            <w:r w:rsidRPr="00AD3859">
              <w:t xml:space="preserve"> assis, ça m’énerve</w:t>
            </w:r>
            <w:r w:rsidR="00B73236" w:rsidRPr="00AD3859">
              <w:rPr>
                <w:rFonts w:ascii="Arial" w:hAnsi="Arial" w:cs="Arial"/>
              </w:rPr>
              <w:t> </w:t>
            </w:r>
            <w:r w:rsidRPr="00AD3859">
              <w:t xml:space="preserve">! </w:t>
            </w:r>
            <w:r w:rsidR="00422B0A" w:rsidRPr="00AD3859">
              <w:t>Tiens-toé</w:t>
            </w:r>
            <w:r w:rsidRPr="00AD3859">
              <w:t xml:space="preserve"> donc comme un vrai homme.</w:t>
            </w:r>
            <w:r w:rsidR="00A82352" w:rsidRPr="00AD3859">
              <w:rPr>
                <w:rFonts w:ascii="Arial" w:hAnsi="Arial" w:cs="Arial"/>
              </w:rPr>
              <w:t> </w:t>
            </w:r>
            <w:r w:rsidRPr="00AD3859">
              <w:t>»</w:t>
            </w:r>
          </w:p>
        </w:tc>
      </w:tr>
      <w:tr w:rsidR="00AD3859" w:rsidRPr="00A839DD" w14:paraId="123DB4BE" w14:textId="77777777" w:rsidTr="00E153E3">
        <w:trPr>
          <w:trHeight w:val="1104"/>
          <w:jc w:val="center"/>
        </w:trPr>
        <w:tc>
          <w:tcPr>
            <w:tcW w:w="5000" w:type="pct"/>
            <w:shd w:val="clear" w:color="auto" w:fill="E3ECF9"/>
          </w:tcPr>
          <w:p w14:paraId="2B4C2E70" w14:textId="6317DECA" w:rsidR="00AD3859" w:rsidRPr="002D0183" w:rsidRDefault="00AD3859" w:rsidP="002D0183">
            <w:pPr>
              <w:spacing w:before="120" w:after="120"/>
              <w:ind w:left="174"/>
              <w:rPr>
                <w:b/>
                <w:bCs/>
              </w:rPr>
            </w:pPr>
            <w:r w:rsidRPr="002D0183">
              <w:rPr>
                <w:b/>
                <w:bCs/>
              </w:rPr>
              <w:t>Plainte d’un homme gai, années</w:t>
            </w:r>
            <w:r w:rsidR="00291541">
              <w:rPr>
                <w:b/>
                <w:bCs/>
              </w:rPr>
              <w:t> </w:t>
            </w:r>
            <w:r w:rsidRPr="002D0183">
              <w:rPr>
                <w:b/>
                <w:bCs/>
              </w:rPr>
              <w:t>2020</w:t>
            </w:r>
          </w:p>
          <w:p w14:paraId="677F1B0D" w14:textId="0B5C2036" w:rsidR="00AD3859" w:rsidRPr="00AD3859" w:rsidRDefault="00AD3859" w:rsidP="002D0183">
            <w:pPr>
              <w:spacing w:after="120"/>
              <w:ind w:left="174" w:right="224"/>
            </w:pPr>
            <w:r w:rsidRPr="00AD3859">
              <w:t>Mon patron m’a dit que j’agissais en «</w:t>
            </w:r>
            <w:r w:rsidR="00F21382">
              <w:rPr>
                <w:rFonts w:ascii="Arial" w:hAnsi="Arial" w:cs="Arial"/>
              </w:rPr>
              <w:t> </w:t>
            </w:r>
            <w:r w:rsidRPr="00AD3859">
              <w:t>diva</w:t>
            </w:r>
            <w:r w:rsidR="00F21382">
              <w:rPr>
                <w:rFonts w:ascii="Arial" w:hAnsi="Arial" w:cs="Arial"/>
              </w:rPr>
              <w:t> </w:t>
            </w:r>
            <w:r w:rsidRPr="00AD3859">
              <w:t xml:space="preserve">» et que je ne voulais travailler </w:t>
            </w:r>
            <w:r w:rsidR="002D0183" w:rsidRPr="00AD3859">
              <w:t>que quand ça me tente.</w:t>
            </w:r>
          </w:p>
        </w:tc>
      </w:tr>
    </w:tbl>
    <w:p w14:paraId="37EF55E5" w14:textId="3770FCB3" w:rsidR="00B03FDE" w:rsidRPr="00A839DD" w:rsidRDefault="003C65D6" w:rsidP="00EB5BD0">
      <w:pPr>
        <w:pStyle w:val="Titre4"/>
      </w:pPr>
      <w:bookmarkStart w:id="145" w:name="_Toc229131316"/>
      <w:bookmarkEnd w:id="144"/>
      <w:r w:rsidRPr="00A839DD">
        <w:t>L’hypersexualisation</w:t>
      </w:r>
      <w:bookmarkEnd w:id="145"/>
    </w:p>
    <w:p w14:paraId="3C2B0136" w14:textId="09E0AC79" w:rsidR="00B4498D" w:rsidRPr="00A839DD" w:rsidRDefault="00B4498D" w:rsidP="0006339A">
      <w:pPr>
        <w:pStyle w:val="Paragraphe"/>
      </w:pPr>
      <w:r w:rsidRPr="00A839DD">
        <w:t>Une autre variante des propos dénoncés</w:t>
      </w:r>
      <w:r w:rsidR="007829AD" w:rsidRPr="00A839DD">
        <w:t xml:space="preserve"> </w:t>
      </w:r>
      <w:r w:rsidR="00600C58" w:rsidRPr="00A839DD">
        <w:t xml:space="preserve">réduit </w:t>
      </w:r>
      <w:r w:rsidR="007829AD" w:rsidRPr="00A839DD">
        <w:t>les personnes LGBTQ+</w:t>
      </w:r>
      <w:r w:rsidR="00600C58" w:rsidRPr="00A839DD">
        <w:t xml:space="preserve"> à leur sexualité. Les</w:t>
      </w:r>
      <w:r w:rsidRPr="00A839DD">
        <w:t xml:space="preserve"> hommes </w:t>
      </w:r>
      <w:r w:rsidR="00600C58" w:rsidRPr="00A839DD">
        <w:t>gais</w:t>
      </w:r>
      <w:r w:rsidR="00D137B5" w:rsidRPr="00A839DD">
        <w:t xml:space="preserve"> sont associés</w:t>
      </w:r>
      <w:r w:rsidRPr="00A839DD">
        <w:t xml:space="preserve"> </w:t>
      </w:r>
      <w:r w:rsidR="00D137B5" w:rsidRPr="00A839DD">
        <w:t>à une sexualité exacerbée ou excessive</w:t>
      </w:r>
      <w:r w:rsidR="005A117B" w:rsidRPr="00A839DD">
        <w:rPr>
          <w:rStyle w:val="Appelnotedebasdep"/>
        </w:rPr>
        <w:footnoteReference w:id="258"/>
      </w:r>
      <w:r w:rsidR="00D137B5" w:rsidRPr="00A839DD">
        <w:t>, tandis que</w:t>
      </w:r>
      <w:r w:rsidRPr="00A839DD">
        <w:t xml:space="preserve"> le</w:t>
      </w:r>
      <w:r w:rsidR="00D137B5" w:rsidRPr="00A839DD">
        <w:t xml:space="preserve"> corps des</w:t>
      </w:r>
      <w:r w:rsidRPr="00A839DD">
        <w:t xml:space="preserve"> femmes trans</w:t>
      </w:r>
      <w:r w:rsidR="00D137B5" w:rsidRPr="00A839DD">
        <w:t xml:space="preserve"> tend à être </w:t>
      </w:r>
      <w:r w:rsidR="002A3E46" w:rsidRPr="00A839DD">
        <w:t>perçu uniquement sous l’angle sexuel</w:t>
      </w:r>
      <w:r w:rsidR="00AB4CB0" w:rsidRPr="00A839DD">
        <w:rPr>
          <w:rStyle w:val="Appelnotedebasdep"/>
        </w:rPr>
        <w:footnoteReference w:id="259"/>
      </w:r>
      <w:r w:rsidRPr="00A839DD">
        <w:t xml:space="preserve">. Les commentaires postulent que les personnes </w:t>
      </w:r>
      <w:r w:rsidRPr="00A839DD">
        <w:lastRenderedPageBreak/>
        <w:t>visées ne pensent qu’à la sexualité, ne se définissent que par elle et ne sont motivées que par elle, ou encore qu’elles sont susceptibles de répondre favorablement à toutes les avances sexuelles. Ce stéréotype attise la méfiance et alimente le suivant.</w:t>
      </w:r>
    </w:p>
    <w:tbl>
      <w:tblPr>
        <w:tblStyle w:val="Grilledutableau"/>
        <w:tblW w:w="498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3ECF9"/>
        <w:tblLook w:val="04A0" w:firstRow="1" w:lastRow="0" w:firstColumn="1" w:lastColumn="0" w:noHBand="0" w:noVBand="1"/>
      </w:tblPr>
      <w:tblGrid>
        <w:gridCol w:w="9649"/>
      </w:tblGrid>
      <w:tr w:rsidR="00CF3391" w:rsidRPr="00A839DD" w14:paraId="22236905" w14:textId="77777777" w:rsidTr="00E153E3">
        <w:trPr>
          <w:trHeight w:val="944"/>
          <w:jc w:val="center"/>
        </w:trPr>
        <w:tc>
          <w:tcPr>
            <w:tcW w:w="5000" w:type="pct"/>
            <w:shd w:val="clear" w:color="auto" w:fill="E3ECF9"/>
          </w:tcPr>
          <w:p w14:paraId="52A557FE" w14:textId="724FC718" w:rsidR="001350D0" w:rsidRPr="00A839DD" w:rsidRDefault="001350D0" w:rsidP="00CC3E5E">
            <w:pPr>
              <w:spacing w:before="120" w:after="120"/>
              <w:ind w:left="174"/>
              <w:rPr>
                <w:b/>
                <w:bCs/>
              </w:rPr>
            </w:pPr>
            <w:r w:rsidRPr="00A839DD">
              <w:rPr>
                <w:b/>
                <w:bCs/>
              </w:rPr>
              <w:t>Plainte d</w:t>
            </w:r>
            <w:r w:rsidR="001C4617" w:rsidRPr="00A839DD">
              <w:rPr>
                <w:b/>
                <w:bCs/>
              </w:rPr>
              <w:t>’un homme gai</w:t>
            </w:r>
            <w:r w:rsidRPr="00A839DD">
              <w:rPr>
                <w:b/>
                <w:bCs/>
              </w:rPr>
              <w:t>, années</w:t>
            </w:r>
            <w:r w:rsidR="00291541">
              <w:rPr>
                <w:b/>
                <w:bCs/>
              </w:rPr>
              <w:t> </w:t>
            </w:r>
            <w:r w:rsidRPr="00A839DD">
              <w:rPr>
                <w:b/>
                <w:bCs/>
              </w:rPr>
              <w:t>2000</w:t>
            </w:r>
          </w:p>
          <w:p w14:paraId="0F03DC34" w14:textId="2C2D7CCC" w:rsidR="00CF3391" w:rsidRPr="00A839DD" w:rsidRDefault="001350D0" w:rsidP="00CC3E5E">
            <w:pPr>
              <w:spacing w:after="120"/>
              <w:ind w:left="174" w:right="224"/>
            </w:pPr>
            <w:r w:rsidRPr="00A839DD">
              <w:t xml:space="preserve">C’est homophobe d’associer </w:t>
            </w:r>
            <w:proofErr w:type="gramStart"/>
            <w:r w:rsidRPr="00A839DD">
              <w:t>mon gym</w:t>
            </w:r>
            <w:proofErr w:type="gramEnd"/>
            <w:r w:rsidRPr="00A839DD">
              <w:t xml:space="preserve"> à un lieu de baise parce qu’il est dans le Village.</w:t>
            </w:r>
          </w:p>
        </w:tc>
      </w:tr>
      <w:tr w:rsidR="00F6215D" w:rsidRPr="00A839DD" w14:paraId="119B7628" w14:textId="77777777" w:rsidTr="00E153E3">
        <w:trPr>
          <w:trHeight w:val="944"/>
          <w:jc w:val="center"/>
        </w:trPr>
        <w:tc>
          <w:tcPr>
            <w:tcW w:w="5000" w:type="pct"/>
            <w:shd w:val="clear" w:color="auto" w:fill="E3ECF9"/>
          </w:tcPr>
          <w:p w14:paraId="331AFA49" w14:textId="076F59D0" w:rsidR="00F6215D" w:rsidRPr="00A839DD" w:rsidRDefault="00F6215D" w:rsidP="00CC3E5E">
            <w:pPr>
              <w:spacing w:before="120" w:after="120"/>
              <w:ind w:left="174"/>
              <w:rPr>
                <w:b/>
                <w:bCs/>
              </w:rPr>
            </w:pPr>
            <w:r w:rsidRPr="00A839DD">
              <w:rPr>
                <w:b/>
                <w:bCs/>
              </w:rPr>
              <w:t>Plainte d’un homme gai, années</w:t>
            </w:r>
            <w:r w:rsidR="00291541">
              <w:rPr>
                <w:b/>
                <w:bCs/>
              </w:rPr>
              <w:t> </w:t>
            </w:r>
            <w:r w:rsidRPr="00A839DD">
              <w:rPr>
                <w:b/>
                <w:bCs/>
              </w:rPr>
              <w:t>2020</w:t>
            </w:r>
          </w:p>
          <w:p w14:paraId="0A58F429" w14:textId="6D961B6D" w:rsidR="007D5790" w:rsidRPr="00A839DD" w:rsidRDefault="003602FC" w:rsidP="00CC3E5E">
            <w:pPr>
              <w:spacing w:after="120"/>
              <w:ind w:left="174" w:right="224"/>
            </w:pPr>
            <w:r w:rsidRPr="00A839DD">
              <w:t>Après que mon gestionnaire a</w:t>
            </w:r>
            <w:r w:rsidR="009B5465" w:rsidRPr="00A839DD">
              <w:t>vait</w:t>
            </w:r>
            <w:r w:rsidRPr="00A839DD">
              <w:t xml:space="preserve"> commenté mon apparence </w:t>
            </w:r>
            <w:r w:rsidR="007D5790" w:rsidRPr="00A839DD">
              <w:t>qui était typique d’un gai selon lui, il m’a</w:t>
            </w:r>
            <w:r w:rsidR="00F6215D" w:rsidRPr="00A839DD">
              <w:t xml:space="preserve"> </w:t>
            </w:r>
            <w:r w:rsidR="00DF6704" w:rsidRPr="00A839DD">
              <w:t xml:space="preserve">dit que je </w:t>
            </w:r>
            <w:r w:rsidR="00F6215D" w:rsidRPr="00A839DD">
              <w:t xml:space="preserve">devrais aller </w:t>
            </w:r>
            <w:r w:rsidR="00DF6704" w:rsidRPr="00A839DD">
              <w:t>me</w:t>
            </w:r>
            <w:r w:rsidR="00F6215D" w:rsidRPr="00A839DD">
              <w:t xml:space="preserve"> promener les fesses à l’air dans le Village</w:t>
            </w:r>
            <w:r w:rsidR="00C27D0A" w:rsidRPr="00A839DD">
              <w:t xml:space="preserve"> où se tiennent les prostituées.</w:t>
            </w:r>
          </w:p>
        </w:tc>
      </w:tr>
    </w:tbl>
    <w:p w14:paraId="1ECF500E" w14:textId="351A8C69" w:rsidR="001350D0" w:rsidRPr="00A839DD" w:rsidRDefault="001350D0" w:rsidP="00EB5BD0">
      <w:pPr>
        <w:pStyle w:val="Titre4"/>
      </w:pPr>
      <w:bookmarkStart w:id="146" w:name="_Toc229131317"/>
      <w:r w:rsidRPr="00A839DD">
        <w:t>La menace</w:t>
      </w:r>
      <w:bookmarkEnd w:id="146"/>
    </w:p>
    <w:p w14:paraId="123EEE66" w14:textId="77777777" w:rsidR="001350D0" w:rsidRPr="00A839DD" w:rsidRDefault="001350D0" w:rsidP="0006339A">
      <w:pPr>
        <w:pStyle w:val="Paragraphe"/>
      </w:pPr>
      <w:r w:rsidRPr="00A839DD">
        <w:t>Le stéréotype de la sexualité soi-disant non contrôlée des personnes LGBTQ+ contribue à celui les présentant comme une menace potentielle, en particulier pour les femmes et les enfants. Dans les plaintes analysées, celui-ci vise particulièrement les hommes homosexuels ou gais qui sont régulièrement associés à la pédophilie, y compris dans les dernières années. La caractérisation des personnes LGBTQ+ comme des pédophiles ou des délinquants sexuels dangereux a d’ailleurs été reconnue par la Cour suprême comme perpétuant des mythes et stéréotypes</w:t>
      </w:r>
      <w:r w:rsidRPr="00A839DD">
        <w:rPr>
          <w:rStyle w:val="Appelnotedebasdep"/>
        </w:rPr>
        <w:footnoteReference w:id="260"/>
      </w:r>
      <w:r w:rsidRPr="00A839DD">
        <w:t>. Brandie faussement, elle peut être diffamatoire lorsqu’elle ternit une réputation aux yeux d’une personne raisonnable</w:t>
      </w:r>
      <w:r w:rsidRPr="00A839DD">
        <w:rPr>
          <w:rStyle w:val="Appelnotedebasdep"/>
        </w:rPr>
        <w:footnoteReference w:id="261"/>
      </w:r>
      <w:r w:rsidRPr="00A839DD">
        <w:t xml:space="preserve">. Ce stéréotype est aussi parfois utilisé dans les plaintes pour retourner une situation alléguée de harcèlement : la personne plaignante est dépeinte par la personne mise en cause comme étant évidemment l’agresseur compte tenu de son orientation sexuelle. </w:t>
      </w:r>
    </w:p>
    <w:tbl>
      <w:tblPr>
        <w:tblStyle w:val="Grilledutableau"/>
        <w:tblW w:w="9779"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4808"/>
        <w:gridCol w:w="4971"/>
      </w:tblGrid>
      <w:tr w:rsidR="001350D0" w:rsidRPr="00A839DD" w14:paraId="63561675" w14:textId="77777777" w:rsidTr="00164333">
        <w:trPr>
          <w:trHeight w:val="1607"/>
        </w:trPr>
        <w:tc>
          <w:tcPr>
            <w:tcW w:w="0" w:type="auto"/>
            <w:shd w:val="clear" w:color="auto" w:fill="E3ECF9"/>
          </w:tcPr>
          <w:p w14:paraId="3733BEC8" w14:textId="6D2F0CD7" w:rsidR="003C2068" w:rsidRPr="00A839DD" w:rsidRDefault="003C2068" w:rsidP="00DF6B3A">
            <w:pPr>
              <w:spacing w:before="120" w:after="120"/>
              <w:ind w:left="176"/>
              <w:rPr>
                <w:b/>
                <w:bCs/>
              </w:rPr>
            </w:pPr>
            <w:bookmarkStart w:id="147" w:name="_Hlk216180645"/>
            <w:r w:rsidRPr="00A839DD">
              <w:rPr>
                <w:b/>
                <w:bCs/>
              </w:rPr>
              <w:t>Plainte d</w:t>
            </w:r>
            <w:r w:rsidR="000050EE" w:rsidRPr="00A839DD">
              <w:rPr>
                <w:b/>
                <w:bCs/>
              </w:rPr>
              <w:t>’une femme lesbienne</w:t>
            </w:r>
            <w:r w:rsidRPr="00A839DD">
              <w:rPr>
                <w:b/>
                <w:bCs/>
              </w:rPr>
              <w:t>, années</w:t>
            </w:r>
            <w:r w:rsidR="00291541">
              <w:rPr>
                <w:b/>
                <w:bCs/>
              </w:rPr>
              <w:t> </w:t>
            </w:r>
            <w:r w:rsidRPr="00A839DD">
              <w:rPr>
                <w:b/>
                <w:bCs/>
              </w:rPr>
              <w:t>1990</w:t>
            </w:r>
          </w:p>
          <w:p w14:paraId="5DF7DA1C" w14:textId="572AD652" w:rsidR="001350D0" w:rsidRPr="00A839DD" w:rsidRDefault="003C2068" w:rsidP="00100BBD">
            <w:pPr>
              <w:ind w:left="176"/>
            </w:pPr>
            <w:r w:rsidRPr="00A839DD">
              <w:t>En tant qu’homosexuelle, je pouvais harceler, selon la compagnie, mais pas être harcelée.</w:t>
            </w:r>
          </w:p>
        </w:tc>
        <w:tc>
          <w:tcPr>
            <w:tcW w:w="0" w:type="auto"/>
            <w:shd w:val="clear" w:color="auto" w:fill="E3ECF9"/>
          </w:tcPr>
          <w:p w14:paraId="118EBF3B" w14:textId="17FC0AF8" w:rsidR="00503BDE" w:rsidRPr="00A839DD" w:rsidRDefault="00503BDE" w:rsidP="00DF6B3A">
            <w:pPr>
              <w:spacing w:before="120" w:after="120"/>
              <w:ind w:left="123"/>
              <w:rPr>
                <w:b/>
                <w:bCs/>
              </w:rPr>
            </w:pPr>
            <w:r w:rsidRPr="00A839DD">
              <w:rPr>
                <w:b/>
                <w:bCs/>
              </w:rPr>
              <w:t>Plainte d</w:t>
            </w:r>
            <w:r w:rsidR="00C91601" w:rsidRPr="00A839DD">
              <w:rPr>
                <w:b/>
                <w:bCs/>
              </w:rPr>
              <w:t>’un homme gai</w:t>
            </w:r>
            <w:r w:rsidRPr="00A839DD">
              <w:rPr>
                <w:b/>
                <w:bCs/>
              </w:rPr>
              <w:t>, années</w:t>
            </w:r>
            <w:r w:rsidR="00291541">
              <w:rPr>
                <w:b/>
                <w:bCs/>
              </w:rPr>
              <w:t> </w:t>
            </w:r>
            <w:r w:rsidRPr="00A839DD">
              <w:rPr>
                <w:b/>
                <w:bCs/>
              </w:rPr>
              <w:t>1990</w:t>
            </w:r>
          </w:p>
          <w:p w14:paraId="087749C7" w14:textId="2C4AF1BB" w:rsidR="001350D0" w:rsidRPr="00A839DD" w:rsidRDefault="00503BDE" w:rsidP="00100BBD">
            <w:pPr>
              <w:ind w:left="123"/>
            </w:pPr>
            <w:r w:rsidRPr="00A839DD">
              <w:t>Ma supérieure est allée jusqu’à dire à des clients de faire attention parce que j’allais leur sauter dessus.</w:t>
            </w:r>
          </w:p>
        </w:tc>
      </w:tr>
      <w:tr w:rsidR="00BB087E" w:rsidRPr="00A839DD" w14:paraId="5D19C311" w14:textId="77777777" w:rsidTr="00164333">
        <w:trPr>
          <w:trHeight w:val="911"/>
        </w:trPr>
        <w:tc>
          <w:tcPr>
            <w:tcW w:w="0" w:type="auto"/>
            <w:gridSpan w:val="2"/>
            <w:shd w:val="clear" w:color="auto" w:fill="E3ECF9"/>
          </w:tcPr>
          <w:p w14:paraId="7A33CABF" w14:textId="4453532E" w:rsidR="00BB087E" w:rsidRPr="00A839DD" w:rsidRDefault="00BB087E" w:rsidP="006F3485">
            <w:pPr>
              <w:spacing w:before="120" w:after="120"/>
              <w:ind w:left="176"/>
              <w:rPr>
                <w:b/>
                <w:bCs/>
              </w:rPr>
            </w:pPr>
            <w:r w:rsidRPr="00A839DD">
              <w:rPr>
                <w:b/>
                <w:bCs/>
              </w:rPr>
              <w:t>Plainte d’un homme gai, années</w:t>
            </w:r>
            <w:r w:rsidR="00291541">
              <w:rPr>
                <w:b/>
                <w:bCs/>
              </w:rPr>
              <w:t> </w:t>
            </w:r>
            <w:r w:rsidRPr="00A839DD">
              <w:rPr>
                <w:b/>
                <w:bCs/>
              </w:rPr>
              <w:t>2020</w:t>
            </w:r>
          </w:p>
          <w:p w14:paraId="41B1CD32" w14:textId="4FA80E2C" w:rsidR="00BB087E" w:rsidRPr="00A839DD" w:rsidRDefault="006E6C75" w:rsidP="006F3485">
            <w:pPr>
              <w:spacing w:after="120"/>
              <w:ind w:left="176"/>
            </w:pPr>
            <w:r w:rsidRPr="00A839DD">
              <w:t>Des collègues en ont monté d’autres contre moi. Ils me traitaient de pédophile.</w:t>
            </w:r>
          </w:p>
        </w:tc>
      </w:tr>
    </w:tbl>
    <w:p w14:paraId="2D38C5E6" w14:textId="77777777" w:rsidR="00AF4C51" w:rsidRDefault="00AF4C51" w:rsidP="0006339A">
      <w:pPr>
        <w:pStyle w:val="Paragraphe"/>
      </w:pPr>
      <w:bookmarkStart w:id="148" w:name="_Toc229131318"/>
      <w:bookmarkEnd w:id="147"/>
    </w:p>
    <w:p w14:paraId="26D893CB" w14:textId="1883E5FC" w:rsidR="00576235" w:rsidRDefault="00D64487" w:rsidP="00EB5BD0">
      <w:pPr>
        <w:pStyle w:val="Titre4"/>
      </w:pPr>
      <w:r w:rsidRPr="00A839DD">
        <w:lastRenderedPageBreak/>
        <w:t>La pathologisation</w:t>
      </w:r>
      <w:bookmarkEnd w:id="148"/>
    </w:p>
    <w:p w14:paraId="0BF50FCA" w14:textId="77777777" w:rsidR="00D64487" w:rsidRPr="00A839DD" w:rsidRDefault="00D64487" w:rsidP="0006339A">
      <w:pPr>
        <w:pStyle w:val="Paragraphe"/>
      </w:pPr>
      <w:r w:rsidRPr="00A839DD">
        <w:t>Ces propos associent le fait d’être homosexuel ou trans à une maladie, généralement un trouble mental</w:t>
      </w:r>
      <w:r w:rsidRPr="00A839DD">
        <w:rPr>
          <w:rStyle w:val="Appelnotedebasdep"/>
        </w:rPr>
        <w:footnoteReference w:id="262"/>
      </w:r>
      <w:r w:rsidRPr="00A839DD">
        <w:t>. Plus généralement, ce stéréotype sous-entend une remise en question et une condamnation de l’existence même des personnes LGBTQ+, et particulièrement des personnes trans et non binaires</w:t>
      </w:r>
      <w:r w:rsidRPr="00A839DD">
        <w:rPr>
          <w:rStyle w:val="Appelnotedebasdep"/>
        </w:rPr>
        <w:footnoteReference w:id="263"/>
      </w:r>
      <w:r w:rsidRPr="00A839DD">
        <w:t>. Plusieurs plaintes analysées font référence à une orientation sexuelle minoritaire ou à la transidentité comme étant quelque chose qui peut être changé, corrigé ou soigné. Par exemple, des personnes plaignantes rapportent avoir été invitées à «</w:t>
      </w:r>
      <w:r w:rsidRPr="00A839DD">
        <w:rPr>
          <w:rFonts w:ascii="Arial" w:hAnsi="Arial" w:cs="Arial"/>
        </w:rPr>
        <w:t> </w:t>
      </w:r>
      <w:r w:rsidRPr="00A839DD">
        <w:t>se faire soigner</w:t>
      </w:r>
      <w:r w:rsidRPr="00A839DD">
        <w:rPr>
          <w:rFonts w:ascii="Arial" w:hAnsi="Arial" w:cs="Arial"/>
        </w:rPr>
        <w:t> </w:t>
      </w:r>
      <w:r w:rsidRPr="00A839DD">
        <w:t>». Une personne non binaire s’est fait dire qu’elle «</w:t>
      </w:r>
      <w:r w:rsidRPr="00A839DD">
        <w:rPr>
          <w:rFonts w:ascii="Arial" w:hAnsi="Arial" w:cs="Arial"/>
        </w:rPr>
        <w:t> </w:t>
      </w:r>
      <w:r w:rsidRPr="00A839DD">
        <w:t>ne savait pas qui elle était</w:t>
      </w:r>
      <w:r w:rsidRPr="00A839DD">
        <w:rPr>
          <w:rFonts w:ascii="Arial" w:hAnsi="Arial" w:cs="Arial"/>
        </w:rPr>
        <w:t> </w:t>
      </w:r>
      <w:r w:rsidRPr="00A839DD">
        <w:t>» et qu’elle semblait «</w:t>
      </w:r>
      <w:r w:rsidRPr="00A839DD">
        <w:rPr>
          <w:rFonts w:ascii="Arial" w:hAnsi="Arial" w:cs="Arial"/>
        </w:rPr>
        <w:t> </w:t>
      </w:r>
      <w:r w:rsidRPr="00A839DD">
        <w:t>se chercher</w:t>
      </w:r>
      <w:r w:rsidRPr="00A839DD">
        <w:rPr>
          <w:rFonts w:ascii="Arial" w:hAnsi="Arial" w:cs="Arial"/>
        </w:rPr>
        <w:t> </w:t>
      </w:r>
      <w:r w:rsidRPr="00A839DD">
        <w:t>». Une plaignante lesbienne dénonce quant à elle qu’un collègue qui tentait de la séduire insinuait qu’il pourrait la rendre «</w:t>
      </w:r>
      <w:r w:rsidRPr="00A839DD">
        <w:rPr>
          <w:rFonts w:ascii="Arial" w:hAnsi="Arial" w:cs="Arial"/>
        </w:rPr>
        <w:t> </w:t>
      </w:r>
      <w:r w:rsidRPr="00A839DD">
        <w:t>hétéro</w:t>
      </w:r>
      <w:r w:rsidRPr="00A839DD">
        <w:rPr>
          <w:rFonts w:ascii="Arial" w:hAnsi="Arial" w:cs="Arial"/>
        </w:rPr>
        <w:t> </w:t>
      </w:r>
      <w:r w:rsidRPr="00A839DD">
        <w:t>». La Cour suprême a déjà reconnu que les personnes trans «</w:t>
      </w:r>
      <w:r w:rsidRPr="00A839DD">
        <w:rPr>
          <w:rFonts w:ascii="Arial" w:hAnsi="Arial" w:cs="Arial"/>
        </w:rPr>
        <w:t> </w:t>
      </w:r>
      <w:r w:rsidRPr="00A839DD">
        <w:t>sont victimes de stéréotypes selon lesquels elles sont malades ou confuses simplement parce qu’elles s’identifient comme transgenres</w:t>
      </w:r>
      <w:r w:rsidRPr="00A839DD">
        <w:rPr>
          <w:rFonts w:ascii="Arial" w:hAnsi="Arial" w:cs="Arial"/>
        </w:rPr>
        <w:t> </w:t>
      </w:r>
      <w:r w:rsidRPr="00A839DD">
        <w:t>»</w:t>
      </w:r>
      <w:r w:rsidRPr="00A839DD">
        <w:rPr>
          <w:rStyle w:val="Appelnotedebasdep"/>
        </w:rPr>
        <w:footnoteReference w:id="264"/>
      </w:r>
      <w:r w:rsidRPr="00A839DD">
        <w:t>, un stéréotype dont les personnes homosexuelles ont aussi été historiquement la cible</w:t>
      </w:r>
      <w:r w:rsidRPr="00A839DD">
        <w:rPr>
          <w:rStyle w:val="Appelnotedebasdep"/>
        </w:rPr>
        <w:footnoteReference w:id="265"/>
      </w:r>
      <w:r w:rsidRPr="00A839DD">
        <w:t>.</w:t>
      </w:r>
    </w:p>
    <w:tbl>
      <w:tblPr>
        <w:tblStyle w:val="Grilledutableau"/>
        <w:tblW w:w="5164"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3ECF9"/>
        <w:tblLook w:val="04A0" w:firstRow="1" w:lastRow="0" w:firstColumn="1" w:lastColumn="0" w:noHBand="0" w:noVBand="1"/>
      </w:tblPr>
      <w:tblGrid>
        <w:gridCol w:w="9995"/>
      </w:tblGrid>
      <w:tr w:rsidR="00FC5FD1" w:rsidRPr="00A839DD" w14:paraId="02A09C61" w14:textId="77777777" w:rsidTr="00071442">
        <w:trPr>
          <w:trHeight w:val="1167"/>
        </w:trPr>
        <w:tc>
          <w:tcPr>
            <w:tcW w:w="5000" w:type="pct"/>
            <w:shd w:val="clear" w:color="auto" w:fill="E3ECF9"/>
          </w:tcPr>
          <w:p w14:paraId="6010AF9D" w14:textId="77F86F96" w:rsidR="00FC5FD1" w:rsidRPr="00A839DD" w:rsidRDefault="00FC5FD1" w:rsidP="00DF6B3A">
            <w:pPr>
              <w:spacing w:before="120" w:after="120"/>
              <w:ind w:left="174"/>
              <w:rPr>
                <w:b/>
                <w:bCs/>
              </w:rPr>
            </w:pPr>
            <w:r w:rsidRPr="00A839DD">
              <w:rPr>
                <w:b/>
                <w:bCs/>
              </w:rPr>
              <w:t>Plainte d</w:t>
            </w:r>
            <w:r w:rsidR="005968E9" w:rsidRPr="00A839DD">
              <w:rPr>
                <w:b/>
                <w:bCs/>
              </w:rPr>
              <w:t>’une femme trans</w:t>
            </w:r>
            <w:r w:rsidRPr="00A839DD">
              <w:rPr>
                <w:b/>
                <w:bCs/>
              </w:rPr>
              <w:t>, années</w:t>
            </w:r>
            <w:r w:rsidR="00291541">
              <w:rPr>
                <w:b/>
                <w:bCs/>
              </w:rPr>
              <w:t> </w:t>
            </w:r>
            <w:r w:rsidRPr="00A839DD">
              <w:rPr>
                <w:b/>
                <w:bCs/>
              </w:rPr>
              <w:t>2010</w:t>
            </w:r>
          </w:p>
          <w:p w14:paraId="6BCF168A" w14:textId="41BA000C" w:rsidR="00FC5FD1" w:rsidRPr="00A839DD" w:rsidRDefault="00FC5FD1" w:rsidP="00DF6B3A">
            <w:pPr>
              <w:spacing w:after="120"/>
              <w:ind w:left="174"/>
            </w:pPr>
            <w:r w:rsidRPr="00A839DD">
              <w:t>Mes supérieurs n’étaient vraiment pas à l’aise avec ma situation. Ils disaient que ça pourrait nuire aux clients et que les personnes transgenres prennent beaucoup de congés et donc que ça ferait augmenter les primes d’assurance collective, etc.</w:t>
            </w:r>
          </w:p>
        </w:tc>
      </w:tr>
      <w:tr w:rsidR="00DF6B3A" w:rsidRPr="00A839DD" w14:paraId="6F976FFE" w14:textId="77777777" w:rsidTr="00071442">
        <w:trPr>
          <w:trHeight w:val="1167"/>
        </w:trPr>
        <w:tc>
          <w:tcPr>
            <w:tcW w:w="5000" w:type="pct"/>
            <w:shd w:val="clear" w:color="auto" w:fill="E3ECF9"/>
          </w:tcPr>
          <w:p w14:paraId="01099A44" w14:textId="28DE0F57" w:rsidR="00DF6B3A" w:rsidRPr="00A839DD" w:rsidRDefault="00DF6B3A" w:rsidP="00DF6B3A">
            <w:pPr>
              <w:spacing w:before="120" w:after="120"/>
              <w:ind w:left="174"/>
              <w:rPr>
                <w:b/>
                <w:bCs/>
              </w:rPr>
            </w:pPr>
            <w:r w:rsidRPr="00A839DD">
              <w:rPr>
                <w:b/>
                <w:bCs/>
              </w:rPr>
              <w:t>Plainte d’une personne non binaire, années</w:t>
            </w:r>
            <w:r w:rsidR="00291541">
              <w:rPr>
                <w:b/>
                <w:bCs/>
              </w:rPr>
              <w:t> </w:t>
            </w:r>
            <w:r w:rsidRPr="00A839DD">
              <w:rPr>
                <w:b/>
                <w:bCs/>
              </w:rPr>
              <w:t>2010</w:t>
            </w:r>
          </w:p>
          <w:p w14:paraId="004EF19B" w14:textId="2794DC13" w:rsidR="00DF6B3A" w:rsidRPr="00A839DD" w:rsidRDefault="00DF6B3A" w:rsidP="00DF6B3A">
            <w:pPr>
              <w:spacing w:after="120"/>
              <w:ind w:left="174"/>
              <w:rPr>
                <w:b/>
                <w:bCs/>
              </w:rPr>
            </w:pPr>
            <w:r w:rsidRPr="00A839DD">
              <w:t>Le directeur a d’abord semblé vouloir comprendre ce qu’était une personne trans. Il m’a finalement dit qu’il ne comprenait pas et qu’il ne trouvait pas ça normal.</w:t>
            </w:r>
          </w:p>
        </w:tc>
      </w:tr>
    </w:tbl>
    <w:p w14:paraId="001AE3FB" w14:textId="30BA101F" w:rsidR="00A031B4" w:rsidRPr="00A839DD" w:rsidRDefault="00A031B4" w:rsidP="0006339A">
      <w:pPr>
        <w:pStyle w:val="Paragraphe"/>
      </w:pPr>
      <w:r w:rsidRPr="00A839DD">
        <w:t>Ces différents stéréotypes et préjugés teintent différents types de propos, que ce soit les propos dénigrants, les insultes, les moqueries, les menaces ou encore les propos à caractère sexuel. Ils prennent aussi parfois une connotation sexiste</w:t>
      </w:r>
      <w:r w:rsidR="006754FF">
        <w:t>,</w:t>
      </w:r>
      <w:r w:rsidRPr="00A839DD">
        <w:t xml:space="preserve"> raciste</w:t>
      </w:r>
      <w:r w:rsidR="006754FF">
        <w:t xml:space="preserve"> ou capacitiste</w:t>
      </w:r>
      <w:r w:rsidRPr="00A839DD">
        <w:t>.</w:t>
      </w:r>
    </w:p>
    <w:p w14:paraId="5809DCC7" w14:textId="77777777" w:rsidR="00E10E2B" w:rsidRPr="00A839DD" w:rsidRDefault="00E10E2B" w:rsidP="001D3E83">
      <w:pPr>
        <w:pStyle w:val="Titre3"/>
        <w:rPr>
          <w:noProof w:val="0"/>
        </w:rPr>
      </w:pPr>
      <w:bookmarkStart w:id="149" w:name="_Toc229131319"/>
      <w:r w:rsidRPr="00A839DD">
        <w:rPr>
          <w:noProof w:val="0"/>
        </w:rPr>
        <w:t>Le dévoilement de l’orientation sexuelle et/ou de l’identité de genre au travail</w:t>
      </w:r>
      <w:bookmarkEnd w:id="149"/>
    </w:p>
    <w:p w14:paraId="15340E15" w14:textId="340FDEED" w:rsidR="006A1DC1" w:rsidRPr="00A839DD" w:rsidRDefault="006A1DC1" w:rsidP="0006339A">
      <w:pPr>
        <w:pStyle w:val="Paragraphe"/>
      </w:pPr>
      <w:r w:rsidRPr="00A839DD">
        <w:t xml:space="preserve">Le dévoilement de l’orientation sexuelle et/ou de </w:t>
      </w:r>
      <w:r w:rsidR="00F8347C">
        <w:t>la transidentité</w:t>
      </w:r>
      <w:r w:rsidRPr="00A839DD">
        <w:t xml:space="preserve"> au travail est un enjeu de droits central dans plusieurs plaintes. Il se manifeste de deux façons : le dévoilement non consenti de cette information par des collègues ou la direction et l’interdiction faite aux personnes concernées d’en </w:t>
      </w:r>
      <w:r w:rsidRPr="00A839DD">
        <w:lastRenderedPageBreak/>
        <w:t>faire mention au travail. Ces deux situations sont en fait les faces d’une même médaille, soit le contrôle de l’identité d’une personne au travail.</w:t>
      </w:r>
    </w:p>
    <w:p w14:paraId="090D097C" w14:textId="2017DD72" w:rsidR="006A1DC1" w:rsidRPr="00A839DD" w:rsidRDefault="006A1DC1" w:rsidP="0006339A">
      <w:pPr>
        <w:pStyle w:val="Paragraphe"/>
      </w:pPr>
      <w:r w:rsidRPr="00A839DD">
        <w:t>Le dévoilement forcé concerne 16 % des plaintes analysées (ou 20 % de celles visant des propos). Selon celles-ci, il peut se faire auprès de l’employeur, des collègues ou de la clientèle. Il survient à différents moments, comme l’intégration en emploi, la complétion d’un formulaire relatif aux assurances collectives ou de déclaration de conflits d’intérêt</w:t>
      </w:r>
      <w:r w:rsidR="00466E4F" w:rsidRPr="00A839DD">
        <w:t>s</w:t>
      </w:r>
      <w:r w:rsidRPr="00A839DD">
        <w:t>, un changement de poste, la transition de genre, voire la référence auprès d’un nouvel employeur. L’information éminemment personnelle sur l’orientation sexuelle ou la modalité de genre est ainsi susceptible de circuler de différentes façons relativement routinières au sein d’une organisation, tant formelles (formulaires) qu’informelles (échanges sur des sujets liés à la vie hors du travail). C’est notamment le cas si le personnel n’est pas sensibilisé aux effets que peut avoir son dévoilement pour les personnes concernées ou encore si des mesures ne sont pas prises pour en limiter la diffusion. Cette information peut aussi être divulguée plus ou moins largement par maladresse, pour nuire à une personne, pour réorganiser le travail de façon à l’isoler de la clientèle ou pour l’exposer à la moquerie et à l’humiliation.</w:t>
      </w:r>
    </w:p>
    <w:p w14:paraId="543182F5" w14:textId="77777777" w:rsidR="006A1DC1" w:rsidRPr="00A839DD" w:rsidRDefault="006A1DC1" w:rsidP="0006339A">
      <w:pPr>
        <w:pStyle w:val="Paragraphe"/>
      </w:pPr>
      <w:r w:rsidRPr="00A839DD">
        <w:t>À titre d’exemple, 9 % des personnes LGBTQ+ interrogées dans le cadre de l’Enquête SAVIE-LGBTQ ont déclaré avoir été forcées de changer d’emploi après avoir divulgué leur orientation sexuelle ou leur identité de genre, un pourcentage qui augmente à 20 % pour les personnes trans et non binaires</w:t>
      </w:r>
      <w:r w:rsidRPr="00A839DD">
        <w:rPr>
          <w:rStyle w:val="Appelnotedebasdep"/>
        </w:rPr>
        <w:footnoteReference w:id="266"/>
      </w:r>
      <w:r w:rsidRPr="00A839DD">
        <w:t>.</w:t>
      </w:r>
    </w:p>
    <w:p w14:paraId="1B8389B4" w14:textId="2EE5948A" w:rsidR="00E10E2B" w:rsidRPr="00A839DD" w:rsidRDefault="006A1DC1" w:rsidP="0006339A">
      <w:pPr>
        <w:pStyle w:val="Paragraphe"/>
      </w:pPr>
      <w:r w:rsidRPr="00A839DD">
        <w:t>Comme pour d’autres données liées à des motifs interdits de discrimination, la divulgation non consentie de renseignements relatifs à l’orientation sexuelle et/ou à l’identité de genre d’une personne est susceptible de porter atteinte à ses droits à la sauvegarde de sa dignité et au respect de sa vie privée en toute égalité, en plus de l’exposer à la discrimination et à des préjudices en emploi et au-delà, comme l’a d’ailleurs déjà reconnu la jurisprudence</w:t>
      </w:r>
      <w:r w:rsidRPr="00A839DD">
        <w:rPr>
          <w:rStyle w:val="Appelnotedebasdep"/>
        </w:rPr>
        <w:footnoteReference w:id="267"/>
      </w:r>
      <w:r w:rsidRPr="00A839DD">
        <w:t>.</w:t>
      </w:r>
    </w:p>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0F243E"/>
        <w:tblLook w:val="04A0" w:firstRow="1" w:lastRow="0" w:firstColumn="1" w:lastColumn="0" w:noHBand="0" w:noVBand="1"/>
      </w:tblPr>
      <w:tblGrid>
        <w:gridCol w:w="3226"/>
        <w:gridCol w:w="3226"/>
        <w:gridCol w:w="3226"/>
      </w:tblGrid>
      <w:tr w:rsidR="009D5704" w:rsidRPr="00A839DD" w14:paraId="4D70D7E3" w14:textId="77777777" w:rsidTr="00F90192">
        <w:tc>
          <w:tcPr>
            <w:tcW w:w="3226" w:type="dxa"/>
            <w:shd w:val="clear" w:color="auto" w:fill="E3ECF9"/>
          </w:tcPr>
          <w:p w14:paraId="1726807F" w14:textId="013FE0A3" w:rsidR="009D5704" w:rsidRPr="00A839DD" w:rsidRDefault="009D5704" w:rsidP="0054635C">
            <w:pPr>
              <w:spacing w:before="120" w:after="120"/>
              <w:ind w:left="176"/>
              <w:rPr>
                <w:rFonts w:asciiTheme="minorHAnsi" w:hAnsiTheme="minorHAnsi"/>
                <w:b/>
                <w:bCs/>
              </w:rPr>
            </w:pPr>
            <w:r w:rsidRPr="00A839DD">
              <w:rPr>
                <w:rFonts w:asciiTheme="minorHAnsi" w:hAnsiTheme="minorHAnsi"/>
                <w:b/>
                <w:bCs/>
              </w:rPr>
              <w:t>Plainte d</w:t>
            </w:r>
            <w:r w:rsidR="0049445A" w:rsidRPr="00A839DD">
              <w:rPr>
                <w:rFonts w:asciiTheme="minorHAnsi" w:hAnsiTheme="minorHAnsi"/>
                <w:b/>
                <w:bCs/>
              </w:rPr>
              <w:t>’une femme lesbienne</w:t>
            </w:r>
            <w:r w:rsidRPr="00A839DD">
              <w:rPr>
                <w:rFonts w:asciiTheme="minorHAnsi" w:hAnsiTheme="minorHAnsi"/>
                <w:b/>
                <w:bCs/>
              </w:rPr>
              <w:t>, années</w:t>
            </w:r>
            <w:r w:rsidR="00291541">
              <w:rPr>
                <w:rFonts w:asciiTheme="minorHAnsi" w:hAnsiTheme="minorHAnsi"/>
                <w:b/>
                <w:bCs/>
              </w:rPr>
              <w:t> </w:t>
            </w:r>
            <w:r w:rsidRPr="00A839DD">
              <w:rPr>
                <w:rFonts w:asciiTheme="minorHAnsi" w:hAnsiTheme="minorHAnsi"/>
                <w:b/>
                <w:bCs/>
              </w:rPr>
              <w:t>2000</w:t>
            </w:r>
          </w:p>
          <w:p w14:paraId="3E3FD58A" w14:textId="3B1C45E1" w:rsidR="009D5704" w:rsidRPr="00A839DD" w:rsidRDefault="009D5704" w:rsidP="0054635C">
            <w:pPr>
              <w:ind w:left="176"/>
              <w:rPr>
                <w:rFonts w:asciiTheme="minorHAnsi" w:hAnsiTheme="minorHAnsi"/>
              </w:rPr>
            </w:pPr>
            <w:r w:rsidRPr="00A839DD">
              <w:rPr>
                <w:rFonts w:asciiTheme="minorHAnsi" w:hAnsiTheme="minorHAnsi"/>
              </w:rPr>
              <w:t>Quand le contremaître a appris que j’étais gaie, il a dit à tous les nouveaux employés que j’étais aux femmes.</w:t>
            </w:r>
          </w:p>
        </w:tc>
        <w:tc>
          <w:tcPr>
            <w:tcW w:w="3226" w:type="dxa"/>
            <w:shd w:val="clear" w:color="auto" w:fill="E3ECF9"/>
          </w:tcPr>
          <w:p w14:paraId="34F3615D" w14:textId="229E2A3C" w:rsidR="009D5704" w:rsidRPr="00A839DD" w:rsidRDefault="009D5704" w:rsidP="0054635C">
            <w:pPr>
              <w:spacing w:before="120" w:after="120"/>
              <w:ind w:left="208"/>
              <w:rPr>
                <w:rFonts w:asciiTheme="minorHAnsi" w:hAnsiTheme="minorHAnsi"/>
                <w:b/>
                <w:bCs/>
              </w:rPr>
            </w:pPr>
            <w:r w:rsidRPr="00A839DD">
              <w:rPr>
                <w:rFonts w:asciiTheme="minorHAnsi" w:hAnsiTheme="minorHAnsi"/>
                <w:b/>
                <w:bCs/>
              </w:rPr>
              <w:t xml:space="preserve">Plainte </w:t>
            </w:r>
            <w:r w:rsidR="00534ACA" w:rsidRPr="00A839DD">
              <w:rPr>
                <w:rFonts w:asciiTheme="minorHAnsi" w:hAnsiTheme="minorHAnsi"/>
                <w:b/>
                <w:bCs/>
              </w:rPr>
              <w:t>d’une femme trans</w:t>
            </w:r>
            <w:r w:rsidRPr="00A839DD">
              <w:rPr>
                <w:rFonts w:asciiTheme="minorHAnsi" w:hAnsiTheme="minorHAnsi"/>
                <w:b/>
                <w:bCs/>
              </w:rPr>
              <w:t>, années</w:t>
            </w:r>
            <w:r w:rsidR="00291541">
              <w:rPr>
                <w:rFonts w:asciiTheme="minorHAnsi" w:hAnsiTheme="minorHAnsi"/>
                <w:b/>
                <w:bCs/>
              </w:rPr>
              <w:t> </w:t>
            </w:r>
            <w:r w:rsidRPr="00A839DD">
              <w:rPr>
                <w:rFonts w:asciiTheme="minorHAnsi" w:hAnsiTheme="minorHAnsi"/>
                <w:b/>
                <w:bCs/>
              </w:rPr>
              <w:t>2010</w:t>
            </w:r>
          </w:p>
          <w:p w14:paraId="31EFDDA9" w14:textId="77EB0426" w:rsidR="009D5704" w:rsidRPr="00A839DD" w:rsidRDefault="009D5704" w:rsidP="0054635C">
            <w:pPr>
              <w:ind w:left="208"/>
              <w:rPr>
                <w:rFonts w:asciiTheme="minorHAnsi" w:hAnsiTheme="minorHAnsi"/>
              </w:rPr>
            </w:pPr>
            <w:r w:rsidRPr="00A839DD">
              <w:rPr>
                <w:rFonts w:asciiTheme="minorHAnsi" w:hAnsiTheme="minorHAnsi"/>
              </w:rPr>
              <w:t xml:space="preserve">Cet automne, un organisme a donné une formation sur la diversité sexuelle et de genre au personnel de notre établissement à ma demande. Durant la formation, mon supérieur a </w:t>
            </w:r>
            <w:r w:rsidRPr="00A839DD">
              <w:rPr>
                <w:rFonts w:asciiTheme="minorHAnsi" w:hAnsiTheme="minorHAnsi"/>
              </w:rPr>
              <w:lastRenderedPageBreak/>
              <w:t>dévoilé que j’étais trans sans mon autorisation.</w:t>
            </w:r>
          </w:p>
        </w:tc>
        <w:tc>
          <w:tcPr>
            <w:tcW w:w="3226" w:type="dxa"/>
            <w:shd w:val="clear" w:color="auto" w:fill="E3ECF9"/>
          </w:tcPr>
          <w:p w14:paraId="6235DFEA" w14:textId="7A5A4594" w:rsidR="009D5704" w:rsidRPr="00A839DD" w:rsidRDefault="009D5704" w:rsidP="0054635C">
            <w:pPr>
              <w:spacing w:before="120" w:after="120"/>
              <w:ind w:left="240"/>
              <w:rPr>
                <w:rFonts w:asciiTheme="minorHAnsi" w:hAnsiTheme="minorHAnsi"/>
                <w:b/>
                <w:bCs/>
              </w:rPr>
            </w:pPr>
            <w:r w:rsidRPr="00A839DD">
              <w:rPr>
                <w:rFonts w:asciiTheme="minorHAnsi" w:hAnsiTheme="minorHAnsi"/>
                <w:b/>
                <w:bCs/>
              </w:rPr>
              <w:lastRenderedPageBreak/>
              <w:t>Plainte d</w:t>
            </w:r>
            <w:r w:rsidR="00EF1FEE" w:rsidRPr="00A839DD">
              <w:rPr>
                <w:rFonts w:asciiTheme="minorHAnsi" w:hAnsiTheme="minorHAnsi"/>
                <w:b/>
                <w:bCs/>
              </w:rPr>
              <w:t>’une femme trans</w:t>
            </w:r>
            <w:r w:rsidRPr="00A839DD">
              <w:rPr>
                <w:rFonts w:asciiTheme="minorHAnsi" w:hAnsiTheme="minorHAnsi"/>
                <w:b/>
                <w:bCs/>
              </w:rPr>
              <w:t>, années</w:t>
            </w:r>
            <w:r w:rsidR="00291541">
              <w:rPr>
                <w:rFonts w:asciiTheme="minorHAnsi" w:hAnsiTheme="minorHAnsi"/>
                <w:b/>
                <w:bCs/>
              </w:rPr>
              <w:t> </w:t>
            </w:r>
            <w:r w:rsidRPr="00A839DD">
              <w:rPr>
                <w:rFonts w:asciiTheme="minorHAnsi" w:hAnsiTheme="minorHAnsi"/>
                <w:b/>
                <w:bCs/>
              </w:rPr>
              <w:t>2010</w:t>
            </w:r>
          </w:p>
          <w:p w14:paraId="5A175DA8" w14:textId="09DF52F1" w:rsidR="009D5704" w:rsidRPr="00A839DD" w:rsidRDefault="009D5704" w:rsidP="0054635C">
            <w:pPr>
              <w:ind w:left="240"/>
              <w:rPr>
                <w:rFonts w:asciiTheme="minorHAnsi" w:hAnsiTheme="minorHAnsi"/>
              </w:rPr>
            </w:pPr>
            <w:r w:rsidRPr="00A839DD">
              <w:rPr>
                <w:rFonts w:asciiTheme="minorHAnsi" w:hAnsiTheme="minorHAnsi"/>
              </w:rPr>
              <w:t>Pendant l’entrevue d’embauche, on me demande si je serais prête à «</w:t>
            </w:r>
            <w:r w:rsidRPr="00A839DD">
              <w:rPr>
                <w:rFonts w:ascii="Arial" w:hAnsi="Arial" w:cs="Arial"/>
              </w:rPr>
              <w:t> </w:t>
            </w:r>
            <w:r w:rsidRPr="00A839DD">
              <w:rPr>
                <w:rFonts w:asciiTheme="minorHAnsi" w:hAnsiTheme="minorHAnsi"/>
              </w:rPr>
              <w:t>assumer</w:t>
            </w:r>
            <w:r w:rsidRPr="00A839DD">
              <w:rPr>
                <w:rFonts w:ascii="Arial" w:hAnsi="Arial" w:cs="Arial"/>
              </w:rPr>
              <w:t> </w:t>
            </w:r>
            <w:r w:rsidRPr="00A839DD">
              <w:rPr>
                <w:rFonts w:asciiTheme="minorHAnsi" w:hAnsiTheme="minorHAnsi" w:cs="Aptos"/>
              </w:rPr>
              <w:t>»</w:t>
            </w:r>
            <w:r w:rsidRPr="00A839DD">
              <w:rPr>
                <w:rFonts w:asciiTheme="minorHAnsi" w:hAnsiTheme="minorHAnsi"/>
              </w:rPr>
              <w:t xml:space="preserve"> que je suis transgenre devant mes coll</w:t>
            </w:r>
            <w:r w:rsidRPr="00A839DD">
              <w:rPr>
                <w:rFonts w:asciiTheme="minorHAnsi" w:hAnsiTheme="minorHAnsi" w:cs="Aptos"/>
              </w:rPr>
              <w:t>è</w:t>
            </w:r>
            <w:r w:rsidRPr="00A839DD">
              <w:rPr>
                <w:rFonts w:asciiTheme="minorHAnsi" w:hAnsiTheme="minorHAnsi"/>
              </w:rPr>
              <w:t>gues. J</w:t>
            </w:r>
            <w:r w:rsidRPr="00A839DD">
              <w:rPr>
                <w:rFonts w:asciiTheme="minorHAnsi" w:hAnsiTheme="minorHAnsi" w:cs="Aptos"/>
              </w:rPr>
              <w:t>’</w:t>
            </w:r>
            <w:r w:rsidRPr="00A839DD">
              <w:rPr>
                <w:rFonts w:asciiTheme="minorHAnsi" w:hAnsiTheme="minorHAnsi"/>
              </w:rPr>
              <w:t>ai r</w:t>
            </w:r>
            <w:r w:rsidRPr="00A839DD">
              <w:rPr>
                <w:rFonts w:asciiTheme="minorHAnsi" w:hAnsiTheme="minorHAnsi" w:cs="Aptos"/>
              </w:rPr>
              <w:t>é</w:t>
            </w:r>
            <w:r w:rsidRPr="00A839DD">
              <w:rPr>
                <w:rFonts w:asciiTheme="minorHAnsi" w:hAnsiTheme="minorHAnsi"/>
              </w:rPr>
              <w:t>pondu que oui si je n</w:t>
            </w:r>
            <w:r w:rsidRPr="00A839DD">
              <w:rPr>
                <w:rFonts w:asciiTheme="minorHAnsi" w:hAnsiTheme="minorHAnsi" w:cs="Aptos"/>
              </w:rPr>
              <w:t>’</w:t>
            </w:r>
            <w:r w:rsidRPr="00A839DD">
              <w:rPr>
                <w:rFonts w:asciiTheme="minorHAnsi" w:hAnsiTheme="minorHAnsi"/>
              </w:rPr>
              <w:t>avais pas le choix, tant qu</w:t>
            </w:r>
            <w:r w:rsidRPr="00A839DD">
              <w:rPr>
                <w:rFonts w:asciiTheme="minorHAnsi" w:hAnsiTheme="minorHAnsi" w:cs="Aptos"/>
              </w:rPr>
              <w:t>’</w:t>
            </w:r>
            <w:r w:rsidRPr="00A839DD">
              <w:rPr>
                <w:rFonts w:asciiTheme="minorHAnsi" w:hAnsiTheme="minorHAnsi"/>
              </w:rPr>
              <w:t>on m</w:t>
            </w:r>
            <w:r w:rsidRPr="00A839DD">
              <w:rPr>
                <w:rFonts w:asciiTheme="minorHAnsi" w:hAnsiTheme="minorHAnsi" w:cs="Aptos"/>
              </w:rPr>
              <w:t>’</w:t>
            </w:r>
            <w:r w:rsidRPr="00A839DD">
              <w:rPr>
                <w:rFonts w:asciiTheme="minorHAnsi" w:hAnsiTheme="minorHAnsi"/>
              </w:rPr>
              <w:t xml:space="preserve">appelle par </w:t>
            </w:r>
            <w:r w:rsidRPr="00A839DD">
              <w:rPr>
                <w:rFonts w:asciiTheme="minorHAnsi" w:hAnsiTheme="minorHAnsi"/>
              </w:rPr>
              <w:lastRenderedPageBreak/>
              <w:t>mon pr</w:t>
            </w:r>
            <w:r w:rsidRPr="00A839DD">
              <w:rPr>
                <w:rFonts w:asciiTheme="minorHAnsi" w:hAnsiTheme="minorHAnsi" w:cs="Aptos"/>
              </w:rPr>
              <w:t>é</w:t>
            </w:r>
            <w:r w:rsidRPr="00A839DD">
              <w:rPr>
                <w:rFonts w:asciiTheme="minorHAnsi" w:hAnsiTheme="minorHAnsi"/>
              </w:rPr>
              <w:t>nom f</w:t>
            </w:r>
            <w:r w:rsidRPr="00A839DD">
              <w:rPr>
                <w:rFonts w:asciiTheme="minorHAnsi" w:hAnsiTheme="minorHAnsi" w:cs="Aptos"/>
              </w:rPr>
              <w:t>é</w:t>
            </w:r>
            <w:r w:rsidRPr="00A839DD">
              <w:rPr>
                <w:rFonts w:asciiTheme="minorHAnsi" w:hAnsiTheme="minorHAnsi"/>
              </w:rPr>
              <w:t>minin et que les clients ne sont pas inform</w:t>
            </w:r>
            <w:r w:rsidRPr="00A839DD">
              <w:rPr>
                <w:rFonts w:asciiTheme="minorHAnsi" w:hAnsiTheme="minorHAnsi" w:cs="Aptos"/>
              </w:rPr>
              <w:t>é</w:t>
            </w:r>
            <w:r w:rsidRPr="00A839DD">
              <w:rPr>
                <w:rFonts w:asciiTheme="minorHAnsi" w:hAnsiTheme="minorHAnsi"/>
              </w:rPr>
              <w:t>s de ma vie priv</w:t>
            </w:r>
            <w:r w:rsidRPr="00A839DD">
              <w:rPr>
                <w:rFonts w:asciiTheme="minorHAnsi" w:hAnsiTheme="minorHAnsi" w:cs="Aptos"/>
              </w:rPr>
              <w:t>é</w:t>
            </w:r>
            <w:r w:rsidRPr="00A839DD">
              <w:rPr>
                <w:rFonts w:asciiTheme="minorHAnsi" w:hAnsiTheme="minorHAnsi"/>
              </w:rPr>
              <w:t xml:space="preserve">e. Le </w:t>
            </w:r>
            <w:r w:rsidR="00DF7939" w:rsidRPr="00A839DD">
              <w:rPr>
                <w:rFonts w:asciiTheme="minorHAnsi" w:hAnsiTheme="minorHAnsi"/>
              </w:rPr>
              <w:t>gestionnaire</w:t>
            </w:r>
            <w:r w:rsidRPr="00A839DD">
              <w:rPr>
                <w:rFonts w:asciiTheme="minorHAnsi" w:hAnsiTheme="minorHAnsi"/>
              </w:rPr>
              <w:t xml:space="preserve"> me r</w:t>
            </w:r>
            <w:r w:rsidRPr="00A839DD">
              <w:rPr>
                <w:rFonts w:asciiTheme="minorHAnsi" w:hAnsiTheme="minorHAnsi" w:cs="Aptos"/>
              </w:rPr>
              <w:t>é</w:t>
            </w:r>
            <w:r w:rsidRPr="00A839DD">
              <w:rPr>
                <w:rFonts w:asciiTheme="minorHAnsi" w:hAnsiTheme="minorHAnsi"/>
              </w:rPr>
              <w:t>torque alors</w:t>
            </w:r>
            <w:r w:rsidR="00B73236" w:rsidRPr="00A839DD">
              <w:rPr>
                <w:rFonts w:asciiTheme="minorHAnsi" w:hAnsiTheme="minorHAnsi"/>
              </w:rPr>
              <w:t> </w:t>
            </w:r>
            <w:r w:rsidRPr="00A839DD">
              <w:rPr>
                <w:rFonts w:asciiTheme="minorHAnsi" w:hAnsiTheme="minorHAnsi"/>
              </w:rPr>
              <w:t xml:space="preserve">: </w:t>
            </w:r>
            <w:r w:rsidRPr="00A839DD">
              <w:rPr>
                <w:rFonts w:asciiTheme="minorHAnsi" w:hAnsiTheme="minorHAnsi" w:cs="Aptos"/>
              </w:rPr>
              <w:t>«</w:t>
            </w:r>
            <w:r w:rsidRPr="00A839DD">
              <w:rPr>
                <w:rFonts w:ascii="Arial" w:hAnsi="Arial" w:cs="Arial"/>
              </w:rPr>
              <w:t> </w:t>
            </w:r>
            <w:r w:rsidRPr="00A839DD">
              <w:rPr>
                <w:rFonts w:asciiTheme="minorHAnsi" w:hAnsiTheme="minorHAnsi"/>
              </w:rPr>
              <w:t>Si tu te fais intimider, ne viens pas te plaindre</w:t>
            </w:r>
            <w:r w:rsidRPr="00A839DD">
              <w:rPr>
                <w:rFonts w:ascii="Arial" w:hAnsi="Arial" w:cs="Arial"/>
              </w:rPr>
              <w:t> </w:t>
            </w:r>
            <w:r w:rsidRPr="00A839DD">
              <w:rPr>
                <w:rFonts w:asciiTheme="minorHAnsi" w:hAnsiTheme="minorHAnsi"/>
              </w:rPr>
              <w:t>!</w:t>
            </w:r>
            <w:r w:rsidRPr="00A839DD">
              <w:rPr>
                <w:rFonts w:ascii="Arial" w:hAnsi="Arial" w:cs="Arial"/>
              </w:rPr>
              <w:t> </w:t>
            </w:r>
            <w:r w:rsidRPr="00A839DD">
              <w:rPr>
                <w:rFonts w:asciiTheme="minorHAnsi" w:hAnsiTheme="minorHAnsi" w:cs="Aptos"/>
              </w:rPr>
              <w:t>»</w:t>
            </w:r>
            <w:r w:rsidRPr="00A839DD">
              <w:rPr>
                <w:rFonts w:asciiTheme="minorHAnsi" w:hAnsiTheme="minorHAnsi"/>
              </w:rPr>
              <w:t xml:space="preserve"> J</w:t>
            </w:r>
            <w:r w:rsidRPr="00A839DD">
              <w:rPr>
                <w:rFonts w:asciiTheme="minorHAnsi" w:hAnsiTheme="minorHAnsi" w:cs="Aptos"/>
              </w:rPr>
              <w:t>’</w:t>
            </w:r>
            <w:r w:rsidRPr="00A839DD">
              <w:rPr>
                <w:rFonts w:asciiTheme="minorHAnsi" w:hAnsiTheme="minorHAnsi"/>
              </w:rPr>
              <w:t>ai acquiesc</w:t>
            </w:r>
            <w:r w:rsidRPr="00A839DD">
              <w:rPr>
                <w:rFonts w:asciiTheme="minorHAnsi" w:hAnsiTheme="minorHAnsi" w:cs="Aptos"/>
              </w:rPr>
              <w:t>é</w:t>
            </w:r>
            <w:r w:rsidRPr="00A839DD">
              <w:rPr>
                <w:rFonts w:asciiTheme="minorHAnsi" w:hAnsiTheme="minorHAnsi"/>
              </w:rPr>
              <w:t xml:space="preserve"> tristement.</w:t>
            </w:r>
          </w:p>
        </w:tc>
      </w:tr>
      <w:tr w:rsidR="008E4661" w:rsidRPr="00A839DD" w14:paraId="7636DE63" w14:textId="77777777" w:rsidTr="00F90192">
        <w:tc>
          <w:tcPr>
            <w:tcW w:w="9678" w:type="dxa"/>
            <w:gridSpan w:val="3"/>
            <w:shd w:val="clear" w:color="auto" w:fill="E3ECF9"/>
          </w:tcPr>
          <w:p w14:paraId="66FF71DE" w14:textId="61A37464" w:rsidR="008E4661" w:rsidRPr="008E4661" w:rsidRDefault="008E4661" w:rsidP="008C0D8F">
            <w:pPr>
              <w:spacing w:before="120" w:after="120"/>
              <w:ind w:left="174"/>
              <w:rPr>
                <w:rFonts w:asciiTheme="minorHAnsi" w:hAnsiTheme="minorHAnsi"/>
                <w:b/>
                <w:bCs/>
              </w:rPr>
            </w:pPr>
            <w:r w:rsidRPr="008E4661">
              <w:rPr>
                <w:rFonts w:asciiTheme="minorHAnsi" w:hAnsiTheme="minorHAnsi"/>
                <w:b/>
                <w:bCs/>
              </w:rPr>
              <w:lastRenderedPageBreak/>
              <w:t>Plainte d’un homme gai, années</w:t>
            </w:r>
            <w:r w:rsidR="00291541">
              <w:rPr>
                <w:rFonts w:asciiTheme="minorHAnsi" w:hAnsiTheme="minorHAnsi"/>
                <w:b/>
                <w:bCs/>
              </w:rPr>
              <w:t> </w:t>
            </w:r>
            <w:r w:rsidRPr="008E4661">
              <w:rPr>
                <w:rFonts w:asciiTheme="minorHAnsi" w:hAnsiTheme="minorHAnsi"/>
                <w:b/>
                <w:bCs/>
              </w:rPr>
              <w:t>2020</w:t>
            </w:r>
          </w:p>
          <w:p w14:paraId="1D558E0A" w14:textId="2E86E407" w:rsidR="008E4661" w:rsidRPr="00A839DD" w:rsidRDefault="008E4661" w:rsidP="008C0D8F">
            <w:pPr>
              <w:spacing w:before="120" w:after="120"/>
              <w:ind w:left="174"/>
              <w:rPr>
                <w:rFonts w:asciiTheme="minorHAnsi" w:hAnsiTheme="minorHAnsi"/>
                <w:b/>
                <w:bCs/>
              </w:rPr>
            </w:pPr>
            <w:r w:rsidRPr="00A839DD">
              <w:t>Devant des clients, mon supérieur me présentait comme «</w:t>
            </w:r>
            <w:r w:rsidR="00F21382">
              <w:rPr>
                <w:rFonts w:ascii="Arial" w:hAnsi="Arial" w:cs="Arial"/>
              </w:rPr>
              <w:t> </w:t>
            </w:r>
            <w:r w:rsidRPr="00A839DD">
              <w:t>Le Gay</w:t>
            </w:r>
            <w:r w:rsidR="00FC464D">
              <w:rPr>
                <w:rFonts w:ascii="Arial" w:hAnsi="Arial" w:cs="Arial"/>
              </w:rPr>
              <w:t> </w:t>
            </w:r>
            <w:r w:rsidRPr="00A839DD">
              <w:t>».</w:t>
            </w:r>
          </w:p>
        </w:tc>
      </w:tr>
    </w:tbl>
    <w:p w14:paraId="01EED0C1" w14:textId="46B0637C" w:rsidR="00EE4223" w:rsidRPr="00A839DD" w:rsidRDefault="00EE4223" w:rsidP="0006339A">
      <w:pPr>
        <w:pStyle w:val="Paragraphe"/>
      </w:pPr>
      <w:r w:rsidRPr="00A839DD">
        <w:t>Dans d’autres situations, il est plutôt demandé à la personne concernée de laisser sa «</w:t>
      </w:r>
      <w:r w:rsidR="002D3AE6" w:rsidRPr="00A839DD">
        <w:rPr>
          <w:rFonts w:ascii="Arial" w:hAnsi="Arial" w:cs="Arial"/>
        </w:rPr>
        <w:t> </w:t>
      </w:r>
      <w:r w:rsidRPr="00A839DD">
        <w:t>vie privée</w:t>
      </w:r>
      <w:r w:rsidR="002D3AE6" w:rsidRPr="00A839DD">
        <w:rPr>
          <w:rFonts w:ascii="Arial" w:hAnsi="Arial" w:cs="Arial"/>
        </w:rPr>
        <w:t> </w:t>
      </w:r>
      <w:r w:rsidRPr="00A839DD">
        <w:t xml:space="preserve">» à la maison ou encore de garder secrète son orientation sexuelle ou sa transidentité, portant ainsi potentiellement atteinte à sa liberté d’expression. C’est le cas dans 10 % des plaintes analysées (ou 12 % de celles visant des propos). Parfois, le dévoilement et le musèlement se rencontrent dans la situation d’une même personne, par exemple lorsque l’employeur interdit à une personne trans de parler de sa transition après l’avoir appris à la suite du dévoilement non consenti de cette information par un collègue. </w:t>
      </w:r>
    </w:p>
    <w:p w14:paraId="6E5CA13D" w14:textId="0F2836B2" w:rsidR="0058462A" w:rsidRPr="00A839DD" w:rsidRDefault="0058462A" w:rsidP="0006339A">
      <w:pPr>
        <w:pStyle w:val="Paragraphe"/>
      </w:pPr>
      <w:r w:rsidRPr="00A839DD">
        <w:t>L’enjeu du dévoilement préoccupe une grande proportion des personnes LGBTQ+. Selon l’Enquête SAVIE-LGBTQ, 41 % des personnes répondantes qui travaillent se sont retenues de dire ou de faire des choses qui pourraient dévoiler leur orientation sexuelle en raison d’un environnement hostile au travail dans les 12</w:t>
      </w:r>
      <w:r w:rsidR="005516C0" w:rsidRPr="00A839DD">
        <w:t> </w:t>
      </w:r>
      <w:r w:rsidRPr="00A839DD">
        <w:t>mois ayant précédé l’enquête, tandis que 65 % des personnes trans en ont fait de même relativement à leur transidentité</w:t>
      </w:r>
      <w:r w:rsidRPr="00A839DD">
        <w:rPr>
          <w:rStyle w:val="Appelnotedebasdep"/>
        </w:rPr>
        <w:footnoteReference w:id="268"/>
      </w:r>
      <w:r w:rsidRPr="00A839DD">
        <w:t>.</w:t>
      </w:r>
    </w:p>
    <w:p w14:paraId="42C075FD" w14:textId="78F52E55" w:rsidR="00C06F74" w:rsidRPr="00A839DD" w:rsidRDefault="0058462A" w:rsidP="0006339A">
      <w:pPr>
        <w:pStyle w:val="Paragraphe"/>
      </w:pPr>
      <w:r w:rsidRPr="00A839DD">
        <w:t>Lorsque le dévoilement est fait dans le respect des personnes concernées, il peut aussi contribuer à la visibilité des personnes LGBTQ+ en emploi et donc possiblement participer à rendre un milieu de travail plus attrayant pour les personnes concernées qui pourraient y voir un signe d’ouverture</w:t>
      </w:r>
      <w:r w:rsidRPr="00A839DD">
        <w:rPr>
          <w:rStyle w:val="Appelnotedebasdep"/>
        </w:rPr>
        <w:footnoteReference w:id="269"/>
      </w:r>
      <w:r w:rsidRPr="00A839DD">
        <w:t>. Un milieu de travail acceptant et des mesures anti-discrimination sont en effet des conditions facilitant le dévoilement</w:t>
      </w:r>
      <w:r w:rsidRPr="00A839DD">
        <w:rPr>
          <w:rStyle w:val="Appelnotedebasdep"/>
        </w:rPr>
        <w:footnoteReference w:id="270"/>
      </w:r>
      <w:r w:rsidRPr="00A839DD">
        <w:t>. Le non-dévoilement doit à l’opposé aussi être respecté. Certaines personnes préfèrent résister à l’injonction de révéler cette part de leur intimité au travail, alors que d’autres ne dévoilent pas ces informations pour se protéger ou encore pour garder le contrôle sur leur circulation, notamment si elles peuvent être exposées à la discrimination dans d’autres sphères de leur vie, dont la famille</w:t>
      </w:r>
      <w:r w:rsidRPr="00A839DD">
        <w:rPr>
          <w:rStyle w:val="Appelnotedebasdep"/>
        </w:rPr>
        <w:footnoteReference w:id="271"/>
      </w:r>
      <w:r w:rsidRPr="00A839DD">
        <w:t>.</w:t>
      </w:r>
    </w:p>
    <w:tbl>
      <w:tblPr>
        <w:tblStyle w:val="Grilledutableau"/>
        <w:tblW w:w="501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97"/>
      </w:tblGrid>
      <w:tr w:rsidR="00F85349" w:rsidRPr="00A839DD" w14:paraId="26C61713" w14:textId="77777777" w:rsidTr="00071442">
        <w:trPr>
          <w:trHeight w:val="1193"/>
          <w:jc w:val="center"/>
        </w:trPr>
        <w:tc>
          <w:tcPr>
            <w:tcW w:w="5000" w:type="pct"/>
            <w:shd w:val="clear" w:color="auto" w:fill="E3ECF9"/>
          </w:tcPr>
          <w:p w14:paraId="29179943" w14:textId="77EE154A" w:rsidR="00B9717B" w:rsidRPr="008C0D8F" w:rsidRDefault="00B9717B" w:rsidP="008C0D8F">
            <w:pPr>
              <w:spacing w:before="120" w:after="120"/>
              <w:ind w:left="174"/>
              <w:rPr>
                <w:rFonts w:asciiTheme="minorHAnsi" w:hAnsiTheme="minorHAnsi"/>
                <w:b/>
                <w:bCs/>
              </w:rPr>
            </w:pPr>
            <w:r w:rsidRPr="008C0D8F">
              <w:rPr>
                <w:rFonts w:asciiTheme="minorHAnsi" w:hAnsiTheme="minorHAnsi"/>
                <w:b/>
                <w:bCs/>
              </w:rPr>
              <w:lastRenderedPageBreak/>
              <w:t>Plainte d</w:t>
            </w:r>
            <w:r w:rsidR="007E3DE7" w:rsidRPr="008C0D8F">
              <w:rPr>
                <w:rFonts w:asciiTheme="minorHAnsi" w:hAnsiTheme="minorHAnsi"/>
                <w:b/>
                <w:bCs/>
              </w:rPr>
              <w:t>’un homme gai</w:t>
            </w:r>
            <w:r w:rsidRPr="008C0D8F">
              <w:rPr>
                <w:rFonts w:asciiTheme="minorHAnsi" w:hAnsiTheme="minorHAnsi"/>
                <w:b/>
                <w:bCs/>
              </w:rPr>
              <w:t>, années</w:t>
            </w:r>
            <w:r w:rsidR="00291541">
              <w:rPr>
                <w:rFonts w:asciiTheme="minorHAnsi" w:hAnsiTheme="minorHAnsi"/>
                <w:b/>
                <w:bCs/>
              </w:rPr>
              <w:t> </w:t>
            </w:r>
            <w:r w:rsidRPr="008C0D8F">
              <w:rPr>
                <w:rFonts w:asciiTheme="minorHAnsi" w:hAnsiTheme="minorHAnsi"/>
                <w:b/>
                <w:bCs/>
              </w:rPr>
              <w:t>2010</w:t>
            </w:r>
          </w:p>
          <w:p w14:paraId="5442EE8A" w14:textId="65906F76" w:rsidR="00F85349" w:rsidRPr="00A839DD" w:rsidRDefault="00B9717B" w:rsidP="008C0D8F">
            <w:pPr>
              <w:spacing w:before="120" w:after="120"/>
              <w:ind w:left="174"/>
              <w:rPr>
                <w:sz w:val="20"/>
                <w:szCs w:val="20"/>
              </w:rPr>
            </w:pPr>
            <w:r w:rsidRPr="008C0D8F">
              <w:t>L</w:t>
            </w:r>
            <w:r w:rsidR="003B1E15" w:rsidRPr="008C0D8F">
              <w:t xml:space="preserve">e gérant </w:t>
            </w:r>
            <w:r w:rsidRPr="008C0D8F">
              <w:t xml:space="preserve">du magasin me demande d’arriver </w:t>
            </w:r>
            <w:r w:rsidR="003B1E15" w:rsidRPr="008C0D8F">
              <w:t>15</w:t>
            </w:r>
            <w:r w:rsidR="00291541">
              <w:t> </w:t>
            </w:r>
            <w:r w:rsidRPr="008C0D8F">
              <w:t xml:space="preserve">minutes avant mon quart de travail. Pendant cette rencontre, </w:t>
            </w:r>
            <w:r w:rsidR="00855672">
              <w:t>il</w:t>
            </w:r>
            <w:r w:rsidRPr="008C0D8F">
              <w:t xml:space="preserve"> me demande de ne pas parler de ma vie privée et de ne pas dire que je suis marié à un homme.</w:t>
            </w:r>
          </w:p>
        </w:tc>
      </w:tr>
    </w:tbl>
    <w:p w14:paraId="5742A400" w14:textId="5BFA04AA" w:rsidR="00D41CC5" w:rsidRPr="00A839DD" w:rsidRDefault="00B9717B" w:rsidP="001D3E83">
      <w:pPr>
        <w:pStyle w:val="Titre3"/>
        <w:rPr>
          <w:noProof w:val="0"/>
        </w:rPr>
      </w:pPr>
      <w:bookmarkStart w:id="150" w:name="_Toc229131320"/>
      <w:r w:rsidRPr="00A839DD">
        <w:rPr>
          <w:noProof w:val="0"/>
        </w:rPr>
        <w:t>L</w:t>
      </w:r>
      <w:r w:rsidR="00D41CC5" w:rsidRPr="00A839DD">
        <w:rPr>
          <w:noProof w:val="0"/>
        </w:rPr>
        <w:t>es blagues et moqueries</w:t>
      </w:r>
      <w:bookmarkEnd w:id="150"/>
    </w:p>
    <w:p w14:paraId="73244235" w14:textId="37FFC099" w:rsidR="00704EC8" w:rsidRPr="00A839DD" w:rsidRDefault="00704EC8" w:rsidP="0006339A">
      <w:pPr>
        <w:pStyle w:val="Paragraphe"/>
      </w:pPr>
      <w:r w:rsidRPr="00A839DD">
        <w:t>L’humour est reconnu dans la littérature scientifique comme un des principaux vecteurs de l’homophobie et de la transphobie en milieu de travail</w:t>
      </w:r>
      <w:r w:rsidRPr="00A839DD">
        <w:rPr>
          <w:rStyle w:val="Appelnotedebasdep"/>
        </w:rPr>
        <w:footnoteReference w:id="272"/>
      </w:r>
      <w:r w:rsidRPr="00A839DD">
        <w:t>. Les blagues et moqueries font partie intégrante de l’expérience du travail dans la mesure où elles participent de la sociabilité quotidienne entre collègues et peuvent nourrir le sentiment d’équipe. Parallèlement, elles peuvent contribuer à renforcer des stéréotypes envers les personnes LGBTQ+, à les marginaliser, à alimenter un climat de travail hostile et à les maintenir dans un état de stress et d’anxiété. L’humour au travail mobilisant des références à la diversité sexuelle et de genre place en effet les personnes LGBTQ+ dans la délicate position de devoir constamment jongler entre la participation à ces moqueries pour faire partie du groupe et leur dénonciation au risque d’être perçues comme étant «</w:t>
      </w:r>
      <w:r w:rsidR="002D3AE6" w:rsidRPr="00A839DD">
        <w:rPr>
          <w:rFonts w:ascii="Arial" w:hAnsi="Arial" w:cs="Arial"/>
        </w:rPr>
        <w:t> </w:t>
      </w:r>
      <w:r w:rsidRPr="00A839DD">
        <w:t>rabat-joie</w:t>
      </w:r>
      <w:r w:rsidR="002D3AE6" w:rsidRPr="00A839DD">
        <w:rPr>
          <w:rFonts w:ascii="Arial" w:hAnsi="Arial" w:cs="Arial"/>
        </w:rPr>
        <w:t> </w:t>
      </w:r>
      <w:r w:rsidRPr="00A839DD">
        <w:t>».</w:t>
      </w:r>
    </w:p>
    <w:p w14:paraId="510CE16A" w14:textId="36BD3A63" w:rsidR="00704EC8" w:rsidRPr="00A839DD" w:rsidRDefault="00704EC8" w:rsidP="0006339A">
      <w:pPr>
        <w:pStyle w:val="Paragraphe"/>
      </w:pPr>
      <w:r w:rsidRPr="00A839DD">
        <w:t>Malgré l’importance sociale de l’humour au travail, les blagues et moqueries ne sont dénoncées que dans 15 % des plaintes analysées (ou 18 % de celles visant des propos), généralement aux côtés d’autres allégations. Ce résultat est intéressant parce qu’on entend souvent dire que les personnes visées s’offusqueraient trop facilement, au point où leur sensibilité présumée limiterait la liberté d’expression des personnes à l’origine des propos. Il semble pourtant que les personnes concernées ne portent pas plainte à la première «</w:t>
      </w:r>
      <w:r w:rsidR="002D3AE6" w:rsidRPr="00A839DD">
        <w:rPr>
          <w:rFonts w:ascii="Arial" w:hAnsi="Arial" w:cs="Arial"/>
        </w:rPr>
        <w:t> </w:t>
      </w:r>
      <w:r w:rsidRPr="00A839DD">
        <w:t>blague</w:t>
      </w:r>
      <w:r w:rsidR="002D3AE6" w:rsidRPr="00A839DD">
        <w:rPr>
          <w:rFonts w:ascii="Arial" w:hAnsi="Arial" w:cs="Arial"/>
        </w:rPr>
        <w:t> </w:t>
      </w:r>
      <w:r w:rsidRPr="00A839DD">
        <w:t>».</w:t>
      </w:r>
    </w:p>
    <w:tbl>
      <w:tblPr>
        <w:tblStyle w:val="Grilledutableau"/>
        <w:tblpPr w:leftFromText="141" w:rightFromText="141" w:vertAnchor="text" w:horzAnchor="margin" w:tblpXSpec="right" w:tblpY="301"/>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33"/>
      </w:tblGrid>
      <w:tr w:rsidR="00AC7719" w14:paraId="23A094FF" w14:textId="77777777" w:rsidTr="00071442">
        <w:trPr>
          <w:trHeight w:val="2158"/>
        </w:trPr>
        <w:tc>
          <w:tcPr>
            <w:tcW w:w="4233" w:type="dxa"/>
            <w:shd w:val="clear" w:color="auto" w:fill="E3ECF9"/>
          </w:tcPr>
          <w:p w14:paraId="5484793C" w14:textId="2098B684" w:rsidR="00AC7719" w:rsidRPr="00AC7719" w:rsidRDefault="00AC7719" w:rsidP="00AC7719">
            <w:pPr>
              <w:spacing w:before="120" w:after="120"/>
              <w:ind w:left="174"/>
              <w:rPr>
                <w:b/>
                <w:bCs/>
              </w:rPr>
            </w:pPr>
            <w:r w:rsidRPr="00AC7719">
              <w:rPr>
                <w:b/>
                <w:bCs/>
              </w:rPr>
              <w:t>Plainte d’une femme lesbienne, années</w:t>
            </w:r>
            <w:r w:rsidR="00291541">
              <w:rPr>
                <w:b/>
                <w:bCs/>
              </w:rPr>
              <w:t> </w:t>
            </w:r>
            <w:r w:rsidRPr="00AC7719">
              <w:rPr>
                <w:b/>
                <w:bCs/>
              </w:rPr>
              <w:t>1990</w:t>
            </w:r>
          </w:p>
          <w:p w14:paraId="792BE296" w14:textId="77777777" w:rsidR="00AC7719" w:rsidRDefault="00AC7719" w:rsidP="00AC7719">
            <w:pPr>
              <w:spacing w:after="120"/>
              <w:ind w:left="174"/>
            </w:pPr>
            <w:r>
              <w:t>Il était tout à fait normal que les patrouilleurs fassent des commentaires ou des blagues au sujet de ma conjointe et moi. Même si mon supérieur leur demandait de cesser, il n’avait de toute façon pas de contrôle véritable sur les placotages.</w:t>
            </w:r>
          </w:p>
        </w:tc>
      </w:tr>
    </w:tbl>
    <w:p w14:paraId="76308A94" w14:textId="2C223684" w:rsidR="00704EC8" w:rsidRDefault="00704EC8" w:rsidP="0006339A">
      <w:pPr>
        <w:pStyle w:val="Paragraphe"/>
      </w:pPr>
      <w:r w:rsidRPr="00A839DD">
        <w:t>Les plaintes analysées sont principalement formulées par des personnes homosexuelles, fort probablement en raison du fait que les personnes trans sont plus fréquemment exclues dès l’embauche ou font l’objet d’un traitement encore plus défavorable. Elles décrivent ce qu’elles appellent des «</w:t>
      </w:r>
      <w:r w:rsidR="002D3AE6" w:rsidRPr="00A839DD">
        <w:rPr>
          <w:rFonts w:ascii="Arial" w:hAnsi="Arial" w:cs="Arial"/>
        </w:rPr>
        <w:t> </w:t>
      </w:r>
      <w:r w:rsidRPr="00A839DD">
        <w:t>jokes plates</w:t>
      </w:r>
      <w:r w:rsidR="002D3AE6" w:rsidRPr="00A839DD">
        <w:rPr>
          <w:rFonts w:ascii="Arial" w:hAnsi="Arial" w:cs="Arial"/>
        </w:rPr>
        <w:t> </w:t>
      </w:r>
      <w:r w:rsidRPr="00A839DD">
        <w:t>», des collègues imitant une voix dite «</w:t>
      </w:r>
      <w:r w:rsidR="002D3AE6" w:rsidRPr="00A839DD">
        <w:rPr>
          <w:rFonts w:ascii="Arial" w:hAnsi="Arial" w:cs="Arial"/>
        </w:rPr>
        <w:t> </w:t>
      </w:r>
      <w:r w:rsidRPr="00A839DD">
        <w:t>homosexuelle</w:t>
      </w:r>
      <w:r w:rsidR="002D3AE6" w:rsidRPr="00A839DD">
        <w:rPr>
          <w:rFonts w:ascii="Arial" w:hAnsi="Arial" w:cs="Arial"/>
        </w:rPr>
        <w:t> </w:t>
      </w:r>
      <w:r w:rsidRPr="00A839DD">
        <w:t>», des blagues à caractère sexuel, le climat hostile engendré, mais aussi les racontars et blagues qu’elles tolèrent ou acceptent comme étant normales au travail.</w:t>
      </w:r>
    </w:p>
    <w:p w14:paraId="3F413F42" w14:textId="521E9E88" w:rsidR="00704EC8" w:rsidRPr="00A839DD" w:rsidRDefault="00704EC8" w:rsidP="0006339A">
      <w:pPr>
        <w:pStyle w:val="Paragraphe"/>
      </w:pPr>
      <w:r w:rsidRPr="00A839DD">
        <w:lastRenderedPageBreak/>
        <w:t xml:space="preserve">Bien que le seuil juridique soit très élevé pour conclure que des blagues sont discriminatoires, </w:t>
      </w:r>
      <w:r w:rsidR="002724D6" w:rsidRPr="00A839DD">
        <w:t>particulièrement</w:t>
      </w:r>
      <w:r w:rsidRPr="00A839DD">
        <w:t xml:space="preserve"> depuis le jugement de la Cour suprême du Canada dans l’affaire </w:t>
      </w:r>
      <w:r w:rsidRPr="00A839DD">
        <w:rPr>
          <w:i/>
          <w:iCs/>
        </w:rPr>
        <w:t>Ward</w:t>
      </w:r>
      <w:r w:rsidRPr="00A839DD">
        <w:rPr>
          <w:rStyle w:val="Appelnotedebasdep"/>
        </w:rPr>
        <w:footnoteReference w:id="273"/>
      </w:r>
      <w:r w:rsidRPr="00A839DD">
        <w:t xml:space="preserve">, il n’en demeure pas moins que l’humour affecte l’expérience des personnes LGBTQ+ au travail. Ce seuil est </w:t>
      </w:r>
      <w:r w:rsidR="00BE75C2" w:rsidRPr="00A839DD">
        <w:t>en outre</w:t>
      </w:r>
      <w:r w:rsidRPr="00A839DD">
        <w:t xml:space="preserve"> tributaire de l’ensemble des circonstances</w:t>
      </w:r>
      <w:r w:rsidRPr="00A839DD">
        <w:rPr>
          <w:rStyle w:val="Appelnotedebasdep"/>
        </w:rPr>
        <w:footnoteReference w:id="274"/>
      </w:r>
      <w:r w:rsidRPr="00A839DD">
        <w:t>. Il est donc possible que des propos prononcés sous le couvert de l’humour, mais qui incitent à discriminer la personne, puissent atteindre le seuil de gravité nécessaire pour entraîner une atteinte discriminatoire au droit à la sauvegarde de la dignité de la personne (art.</w:t>
      </w:r>
      <w:r w:rsidR="00F9183B" w:rsidRPr="00A839DD">
        <w:t> </w:t>
      </w:r>
      <w:r w:rsidRPr="00A839DD">
        <w:t>4). Par ailleurs, dans le contexte particulier du travail, des blagues portant sur l’orientation sexuelle ou l’identité ou l’expression de genre sont susceptibles de porter atteinte au droit des personnes concernées à un milieu de travail exempt de discrimination (art.</w:t>
      </w:r>
      <w:r w:rsidR="00F9183B" w:rsidRPr="00A839DD">
        <w:t> </w:t>
      </w:r>
      <w:r w:rsidRPr="00A839DD">
        <w:t>16), à des conditions de travail justes et raisonnables et qui respectent leur santé, leur sécurité et leur intégrité physique (art. 46) ou encore constituer du harcèlement discriminatoire (art. 10.1).</w:t>
      </w:r>
    </w:p>
    <w:tbl>
      <w:tblPr>
        <w:tblStyle w:val="Grilledutableau"/>
        <w:tblpPr w:leftFromText="141" w:rightFromText="141" w:vertAnchor="text" w:horzAnchor="margin" w:tblpY="6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7"/>
      </w:tblGrid>
      <w:tr w:rsidR="00E238B8" w:rsidRPr="00AC7719" w14:paraId="5D6FEA0F" w14:textId="77777777" w:rsidTr="00E238B8">
        <w:trPr>
          <w:trHeight w:val="976"/>
        </w:trPr>
        <w:tc>
          <w:tcPr>
            <w:tcW w:w="9357" w:type="dxa"/>
            <w:shd w:val="clear" w:color="auto" w:fill="E3ECF9"/>
          </w:tcPr>
          <w:p w14:paraId="59D4A6E5" w14:textId="77777777" w:rsidR="00E238B8" w:rsidRPr="00AC7719" w:rsidRDefault="00E238B8" w:rsidP="00E238B8">
            <w:pPr>
              <w:spacing w:before="120" w:after="120"/>
              <w:rPr>
                <w:b/>
                <w:bCs/>
              </w:rPr>
            </w:pPr>
            <w:r>
              <w:rPr>
                <w:b/>
                <w:bCs/>
              </w:rPr>
              <w:t>P</w:t>
            </w:r>
            <w:r w:rsidRPr="00AC7719">
              <w:rPr>
                <w:b/>
                <w:bCs/>
              </w:rPr>
              <w:t>lainte d’un homme gai, années</w:t>
            </w:r>
            <w:r>
              <w:rPr>
                <w:b/>
                <w:bCs/>
              </w:rPr>
              <w:t> </w:t>
            </w:r>
            <w:r w:rsidRPr="00AC7719">
              <w:rPr>
                <w:b/>
                <w:bCs/>
              </w:rPr>
              <w:t>2010</w:t>
            </w:r>
          </w:p>
          <w:p w14:paraId="4E138205" w14:textId="77777777" w:rsidR="00E238B8" w:rsidRPr="00AC7719" w:rsidRDefault="00E238B8" w:rsidP="00E238B8">
            <w:pPr>
              <w:spacing w:after="120"/>
            </w:pPr>
            <w:r w:rsidRPr="00A839DD">
              <w:t>Les jours les moins occup</w:t>
            </w:r>
            <w:r w:rsidRPr="00A839DD">
              <w:rPr>
                <w:rFonts w:cs="Aptos"/>
              </w:rPr>
              <w:t>é</w:t>
            </w:r>
            <w:r w:rsidRPr="00A839DD">
              <w:t xml:space="preserve">s </w:t>
            </w:r>
            <w:r w:rsidRPr="00A839DD">
              <w:rPr>
                <w:rFonts w:cs="Aptos"/>
              </w:rPr>
              <w:t>à</w:t>
            </w:r>
            <w:r w:rsidRPr="00A839DD">
              <w:t xml:space="preserve"> l</w:t>
            </w:r>
            <w:r w:rsidRPr="00A839DD">
              <w:rPr>
                <w:rFonts w:cs="Aptos"/>
              </w:rPr>
              <w:t>’</w:t>
            </w:r>
            <w:r w:rsidRPr="00A839DD">
              <w:t>entrep</w:t>
            </w:r>
            <w:r w:rsidRPr="00A839DD">
              <w:rPr>
                <w:rFonts w:cs="Aptos"/>
              </w:rPr>
              <w:t>ô</w:t>
            </w:r>
            <w:r w:rsidRPr="00A839DD">
              <w:t xml:space="preserve">t </w:t>
            </w:r>
            <w:r w:rsidRPr="00A839DD">
              <w:rPr>
                <w:rFonts w:cs="Aptos"/>
              </w:rPr>
              <w:t>é</w:t>
            </w:r>
            <w:r w:rsidRPr="00A839DD">
              <w:t>taient les jours des blagues contre moi.</w:t>
            </w:r>
          </w:p>
        </w:tc>
      </w:tr>
      <w:tr w:rsidR="00E238B8" w:rsidRPr="00AC7719" w14:paraId="34514A82" w14:textId="77777777" w:rsidTr="00E238B8">
        <w:trPr>
          <w:trHeight w:val="1260"/>
        </w:trPr>
        <w:tc>
          <w:tcPr>
            <w:tcW w:w="9357" w:type="dxa"/>
            <w:shd w:val="clear" w:color="auto" w:fill="E3ECF9"/>
          </w:tcPr>
          <w:p w14:paraId="29731F09" w14:textId="77777777" w:rsidR="00E238B8" w:rsidRPr="00750FF7" w:rsidRDefault="00E238B8" w:rsidP="00E238B8">
            <w:pPr>
              <w:spacing w:before="120" w:after="120"/>
              <w:rPr>
                <w:b/>
                <w:bCs/>
              </w:rPr>
            </w:pPr>
            <w:r w:rsidRPr="00750FF7">
              <w:rPr>
                <w:b/>
                <w:bCs/>
              </w:rPr>
              <w:t>Plainte d’un homme trans non hétérosexuel, années</w:t>
            </w:r>
            <w:r>
              <w:rPr>
                <w:b/>
                <w:bCs/>
              </w:rPr>
              <w:t> </w:t>
            </w:r>
            <w:r w:rsidRPr="00750FF7">
              <w:rPr>
                <w:b/>
                <w:bCs/>
              </w:rPr>
              <w:t>2010</w:t>
            </w:r>
          </w:p>
          <w:p w14:paraId="407A7117" w14:textId="77777777" w:rsidR="00E238B8" w:rsidRPr="00AC7719" w:rsidRDefault="00E238B8" w:rsidP="00E238B8">
            <w:pPr>
              <w:spacing w:after="120"/>
            </w:pPr>
            <w:r>
              <w:t>Mon chef se moque toujours de mon orientation sexuelle et plaisante à ce sujet avec mes collègues en parlant de moi ouvertement.</w:t>
            </w:r>
          </w:p>
        </w:tc>
      </w:tr>
    </w:tbl>
    <w:p w14:paraId="4524AB9B" w14:textId="58BA65E2" w:rsidR="00704EC8" w:rsidRPr="00A839DD" w:rsidRDefault="00704EC8" w:rsidP="0006339A">
      <w:pPr>
        <w:pStyle w:val="Paragraphe"/>
      </w:pPr>
      <w:r w:rsidRPr="00A839DD">
        <w:t>Aussi, les propos dénoncés dans les plaintes viennent rarement seuls. Sauf dans trois plaintes, ils sont accompagnés d’autres manifestations de l’homophobie ou de la transphobie</w:t>
      </w:r>
      <w:r w:rsidR="00FA00B0" w:rsidRPr="00A839DD">
        <w:t xml:space="preserve">, </w:t>
      </w:r>
      <w:r w:rsidR="00F01E2F" w:rsidRPr="00A839DD">
        <w:t>dont des gestes à connotation homophobe</w:t>
      </w:r>
      <w:r w:rsidR="005A3857" w:rsidRPr="00A839DD">
        <w:t xml:space="preserve"> </w:t>
      </w:r>
      <w:r w:rsidR="00E53836" w:rsidRPr="00A839DD">
        <w:t>(</w:t>
      </w:r>
      <w:r w:rsidR="00910D5D" w:rsidRPr="00A839DD">
        <w:t>18</w:t>
      </w:r>
      <w:r w:rsidR="00E53836" w:rsidRPr="00A839DD">
        <w:t xml:space="preserve"> %) </w:t>
      </w:r>
      <w:r w:rsidR="005A3857" w:rsidRPr="00A839DD">
        <w:t>et de</w:t>
      </w:r>
      <w:r w:rsidR="00667285" w:rsidRPr="00A839DD">
        <w:t xml:space="preserve"> la violence physique</w:t>
      </w:r>
      <w:r w:rsidR="00773DB2" w:rsidRPr="00A839DD">
        <w:t xml:space="preserve"> (11 %)</w:t>
      </w:r>
      <w:r w:rsidRPr="00A839DD">
        <w:t>. Dans 68 % des plaintes, ils sont tenus dans des climats de travail allégués empreints de discrimination.</w:t>
      </w:r>
    </w:p>
    <w:p w14:paraId="7948134E" w14:textId="77777777" w:rsidR="00260B69" w:rsidRPr="00A839DD" w:rsidRDefault="00260B69" w:rsidP="001D3E83">
      <w:pPr>
        <w:pStyle w:val="Titre3"/>
        <w:rPr>
          <w:noProof w:val="0"/>
        </w:rPr>
      </w:pPr>
      <w:bookmarkStart w:id="151" w:name="_Toc229131321"/>
      <w:r w:rsidRPr="00A839DD">
        <w:rPr>
          <w:noProof w:val="0"/>
        </w:rPr>
        <w:t xml:space="preserve">Le </w:t>
      </w:r>
      <w:proofErr w:type="spellStart"/>
      <w:r w:rsidRPr="00A839DD">
        <w:rPr>
          <w:noProof w:val="0"/>
        </w:rPr>
        <w:t>mégenrage</w:t>
      </w:r>
      <w:bookmarkEnd w:id="151"/>
      <w:proofErr w:type="spellEnd"/>
    </w:p>
    <w:p w14:paraId="11B97513" w14:textId="1B5A2E3F" w:rsidR="00882A96" w:rsidRPr="00A839DD" w:rsidRDefault="00882A96" w:rsidP="0006339A">
      <w:pPr>
        <w:pStyle w:val="Paragraphe"/>
      </w:pPr>
      <w:r w:rsidRPr="00A839DD">
        <w:t>Mégenrer consiste à attribuer à une personne un genre qui ne correspond pas à celui auquel elle s’identifie</w:t>
      </w:r>
      <w:r w:rsidRPr="00A839DD">
        <w:rPr>
          <w:rStyle w:val="Appelnotedebasdep"/>
        </w:rPr>
        <w:footnoteReference w:id="275"/>
      </w:r>
      <w:r w:rsidRPr="00A839DD">
        <w:t xml:space="preserve">, notamment lorsqu’on s’adresse à elle, par exemple en utilisant le mauvais titre de civilité (madame, monsieur ou autre) et pronom (elle, il, iel ou autre). Le mégenrage est davantage reconnu lorsqu’il vise les personnes trans. L’analyse réalisée montre cependant que le mégenrage est dénoncé dans 10 % des plaintes analysées (ou 12 % de celles visant des propos), tant sur la base de l’orientation sexuelle que de l’identité ou l’expression de genre, et ce qu’elles soient formulées par des personnes LGBTQ+ cisgenres ou trans. Comme pour les blagues et moqueries, les personnes concernées ne portent généralement pas plainte à la première occasion, simplement parce qu’une </w:t>
      </w:r>
      <w:r w:rsidRPr="00A839DD">
        <w:lastRenderedPageBreak/>
        <w:t>personne s’est trompée de pronom de bonne foi. Ce sont presque toujours des cas de mégenrage qui semble</w:t>
      </w:r>
      <w:r w:rsidR="009C6EB5" w:rsidRPr="00A839DD">
        <w:t>nt</w:t>
      </w:r>
      <w:r w:rsidRPr="00A839DD">
        <w:t xml:space="preserve"> intentionnel</w:t>
      </w:r>
      <w:r w:rsidR="00F317BF" w:rsidRPr="00A839DD">
        <w:t>s</w:t>
      </w:r>
      <w:r w:rsidRPr="00A839DD">
        <w:t xml:space="preserve"> et répété</w:t>
      </w:r>
      <w:r w:rsidR="00F317BF" w:rsidRPr="00A839DD">
        <w:t>s</w:t>
      </w:r>
      <w:r w:rsidRPr="00A839DD">
        <w:t>.</w:t>
      </w:r>
    </w:p>
    <w:tbl>
      <w:tblPr>
        <w:tblStyle w:val="Grilledutableau"/>
        <w:tblW w:w="502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726"/>
      </w:tblGrid>
      <w:tr w:rsidR="004150B1" w:rsidRPr="0050574E" w14:paraId="41EFE1B5" w14:textId="77777777" w:rsidTr="00084533">
        <w:trPr>
          <w:trHeight w:val="882"/>
          <w:jc w:val="center"/>
        </w:trPr>
        <w:tc>
          <w:tcPr>
            <w:tcW w:w="5000" w:type="pct"/>
            <w:shd w:val="clear" w:color="auto" w:fill="E3ECF9"/>
          </w:tcPr>
          <w:p w14:paraId="75881398" w14:textId="73358A38" w:rsidR="004150B1" w:rsidRPr="00393B4F" w:rsidRDefault="004150B1" w:rsidP="00393B4F">
            <w:pPr>
              <w:spacing w:before="120" w:after="120"/>
              <w:ind w:left="174" w:right="122"/>
              <w:rPr>
                <w:b/>
                <w:bCs/>
              </w:rPr>
            </w:pPr>
            <w:r w:rsidRPr="00393B4F">
              <w:rPr>
                <w:b/>
                <w:bCs/>
              </w:rPr>
              <w:t xml:space="preserve">Plainte </w:t>
            </w:r>
            <w:r w:rsidR="00AA2576" w:rsidRPr="00393B4F">
              <w:rPr>
                <w:b/>
                <w:bCs/>
              </w:rPr>
              <w:t xml:space="preserve">d’un </w:t>
            </w:r>
            <w:r w:rsidRPr="00393B4F">
              <w:rPr>
                <w:b/>
                <w:bCs/>
              </w:rPr>
              <w:t>homme gai, années 2010</w:t>
            </w:r>
          </w:p>
          <w:p w14:paraId="230996EE" w14:textId="4670743E" w:rsidR="004150B1" w:rsidRPr="0050574E" w:rsidRDefault="004150B1" w:rsidP="00393B4F">
            <w:pPr>
              <w:spacing w:after="120"/>
              <w:ind w:left="174" w:right="122"/>
              <w:rPr>
                <w:sz w:val="20"/>
                <w:szCs w:val="20"/>
              </w:rPr>
            </w:pPr>
            <w:r w:rsidRPr="0050574E">
              <w:t>Une employée m’appelait toujours en utilisant «</w:t>
            </w:r>
            <w:r w:rsidRPr="0050574E">
              <w:rPr>
                <w:rFonts w:ascii="Arial" w:hAnsi="Arial" w:cs="Arial"/>
              </w:rPr>
              <w:t> </w:t>
            </w:r>
            <w:r w:rsidRPr="0050574E">
              <w:t>elle</w:t>
            </w:r>
            <w:r w:rsidRPr="0050574E">
              <w:rPr>
                <w:rFonts w:ascii="Arial" w:hAnsi="Arial" w:cs="Arial"/>
              </w:rPr>
              <w:t> </w:t>
            </w:r>
            <w:r w:rsidRPr="0050574E">
              <w:rPr>
                <w:rFonts w:cs="Aptos"/>
              </w:rPr>
              <w:t>»</w:t>
            </w:r>
            <w:r w:rsidRPr="0050574E">
              <w:t xml:space="preserve"> ou en f</w:t>
            </w:r>
            <w:r w:rsidRPr="0050574E">
              <w:rPr>
                <w:rFonts w:cs="Aptos"/>
              </w:rPr>
              <w:t>é</w:t>
            </w:r>
            <w:r w:rsidRPr="0050574E">
              <w:t>minisant mon nom. Elle me souhaitait aussi une bonne f</w:t>
            </w:r>
            <w:r w:rsidRPr="0050574E">
              <w:rPr>
                <w:rFonts w:cs="Aptos"/>
              </w:rPr>
              <w:t>ê</w:t>
            </w:r>
            <w:r w:rsidRPr="0050574E">
              <w:t>te des M</w:t>
            </w:r>
            <w:r w:rsidRPr="0050574E">
              <w:rPr>
                <w:rFonts w:cs="Aptos"/>
              </w:rPr>
              <w:t>è</w:t>
            </w:r>
            <w:r w:rsidRPr="0050574E">
              <w:t>res.</w:t>
            </w:r>
          </w:p>
        </w:tc>
      </w:tr>
      <w:tr w:rsidR="00393B4F" w:rsidRPr="0050574E" w14:paraId="56E0E663" w14:textId="77777777" w:rsidTr="00084533">
        <w:trPr>
          <w:trHeight w:val="882"/>
          <w:jc w:val="center"/>
        </w:trPr>
        <w:tc>
          <w:tcPr>
            <w:tcW w:w="5000" w:type="pct"/>
            <w:shd w:val="clear" w:color="auto" w:fill="E3ECF9"/>
          </w:tcPr>
          <w:p w14:paraId="6E80F9DF" w14:textId="43C3777A" w:rsidR="00393B4F" w:rsidRPr="00393B4F" w:rsidRDefault="00393B4F" w:rsidP="00393B4F">
            <w:pPr>
              <w:spacing w:before="120" w:after="120"/>
              <w:ind w:left="174" w:right="122"/>
              <w:rPr>
                <w:b/>
                <w:bCs/>
              </w:rPr>
            </w:pPr>
            <w:r w:rsidRPr="00393B4F">
              <w:rPr>
                <w:b/>
                <w:bCs/>
              </w:rPr>
              <w:t>Plainte d’un homme trans, années</w:t>
            </w:r>
            <w:r w:rsidR="00291541">
              <w:rPr>
                <w:b/>
                <w:bCs/>
              </w:rPr>
              <w:t> </w:t>
            </w:r>
            <w:r w:rsidRPr="00393B4F">
              <w:rPr>
                <w:b/>
                <w:bCs/>
              </w:rPr>
              <w:t>2020</w:t>
            </w:r>
          </w:p>
          <w:p w14:paraId="2EB45300" w14:textId="1F29241C" w:rsidR="00393B4F" w:rsidRPr="0050574E" w:rsidRDefault="00393B4F" w:rsidP="00393B4F">
            <w:pPr>
              <w:spacing w:after="120"/>
              <w:ind w:left="174" w:right="122"/>
            </w:pPr>
            <w:r w:rsidRPr="0050574E">
              <w:t xml:space="preserve">J’ai fait mon </w:t>
            </w:r>
            <w:proofErr w:type="spellStart"/>
            <w:r w:rsidRPr="0050574E">
              <w:t>coming</w:t>
            </w:r>
            <w:proofErr w:type="spellEnd"/>
            <w:r w:rsidRPr="0050574E">
              <w:t xml:space="preserve"> out trans au travail en février. J’ai bien dit que je voulais qu’on utilise mon prénom masculin et qu’on s’adresse à moi au masculin. Dans les jours qui ont suivi, une collègue qui ne me considérait jamais devant les clients a commencé à s’adresser à moi face à la clientèle en utilisant mon ancien prénom féminin.</w:t>
            </w:r>
          </w:p>
        </w:tc>
      </w:tr>
    </w:tbl>
    <w:p w14:paraId="5FAF5219" w14:textId="13A564A5" w:rsidR="00882A96" w:rsidRPr="00A839DD" w:rsidRDefault="00882A96" w:rsidP="0006339A">
      <w:pPr>
        <w:pStyle w:val="Paragraphe"/>
      </w:pPr>
      <w:r w:rsidRPr="00A839DD">
        <w:t>Le mégenrage se voit progressivement reconnu dans la jurisprudence canadienne depuis le début des années</w:t>
      </w:r>
      <w:r w:rsidR="00F9183B" w:rsidRPr="00A839DD">
        <w:t> </w:t>
      </w:r>
      <w:r w:rsidRPr="00A839DD">
        <w:t>2020</w:t>
      </w:r>
      <w:bookmarkStart w:id="152" w:name="_Ref219810779"/>
      <w:r w:rsidRPr="00A839DD">
        <w:rPr>
          <w:rStyle w:val="Appelnotedebasdep"/>
        </w:rPr>
        <w:footnoteReference w:id="276"/>
      </w:r>
      <w:bookmarkEnd w:id="152"/>
      <w:r w:rsidRPr="00A839DD">
        <w:t>. En 2021, le Tribunal des droits de la personne de la Colombie-Britannique a par exemple conclu que mégenrer une personne employée sur le lieu de travail constitue une discrimination fondée sur l’identité ou l’expression de genre</w:t>
      </w:r>
      <w:bookmarkStart w:id="153" w:name="_Ref219811311"/>
      <w:r w:rsidRPr="00A839DD">
        <w:rPr>
          <w:rStyle w:val="Appelnotedebasdep"/>
        </w:rPr>
        <w:footnoteReference w:id="277"/>
      </w:r>
      <w:bookmarkEnd w:id="153"/>
      <w:r w:rsidRPr="00A839DD">
        <w:t>. Dans cette décision, le tribunal a considéré «</w:t>
      </w:r>
      <w:r w:rsidR="002D3AE6" w:rsidRPr="00A839DD">
        <w:rPr>
          <w:rFonts w:ascii="Arial" w:hAnsi="Arial" w:cs="Arial"/>
        </w:rPr>
        <w:t> </w:t>
      </w:r>
      <w:r w:rsidRPr="00A839DD">
        <w:t>l’utilisation de pronoms appropriés comme un droit fondamental et non comme un accommodement</w:t>
      </w:r>
      <w:r w:rsidR="002D3AE6" w:rsidRPr="00A839DD">
        <w:rPr>
          <w:rFonts w:ascii="Arial" w:hAnsi="Arial" w:cs="Arial"/>
        </w:rPr>
        <w:t> </w:t>
      </w:r>
      <w:r w:rsidRPr="00A839DD">
        <w:t>»</w:t>
      </w:r>
      <w:r w:rsidRPr="00A839DD">
        <w:rPr>
          <w:rStyle w:val="Appelnotedebasdep"/>
        </w:rPr>
        <w:footnoteReference w:id="278"/>
      </w:r>
      <w:r w:rsidRPr="00A839DD">
        <w:t>. Il ajoute que les pronoms sont «</w:t>
      </w:r>
      <w:r w:rsidR="002D3AE6" w:rsidRPr="00A839DD">
        <w:rPr>
          <w:rFonts w:ascii="Arial" w:hAnsi="Arial" w:cs="Arial"/>
        </w:rPr>
        <w:t> </w:t>
      </w:r>
      <w:r w:rsidRPr="00A839DD">
        <w:rPr>
          <w:u w:val="single"/>
        </w:rPr>
        <w:t>une partie fondamentale de l’identité d’une personne</w:t>
      </w:r>
      <w:r w:rsidR="002D3AE6" w:rsidRPr="00A839DD">
        <w:rPr>
          <w:rFonts w:ascii="Arial" w:hAnsi="Arial" w:cs="Arial"/>
        </w:rPr>
        <w:t> </w:t>
      </w:r>
      <w:r w:rsidRPr="00A839DD">
        <w:t>» et qu’utiliser les bons pronoms affirme et valide qu’une personne mérite respect et dignité</w:t>
      </w:r>
      <w:r w:rsidRPr="00A839DD">
        <w:rPr>
          <w:rStyle w:val="Appelnotedebasdep"/>
        </w:rPr>
        <w:footnoteReference w:id="279"/>
      </w:r>
      <w:r w:rsidRPr="00A839DD">
        <w:t>. Le Tribunal canadien des droits de la personne a repris cette analyse</w:t>
      </w:r>
      <w:r w:rsidRPr="00A839DD">
        <w:rPr>
          <w:rStyle w:val="Appelnotedebasdep"/>
        </w:rPr>
        <w:footnoteReference w:id="280"/>
      </w:r>
      <w:r w:rsidRPr="00A839DD">
        <w:t>. Mégenrer une personne au travail est ainsi susceptible de violer le droit à l’égalité dans les différents aspects de l’emploi (art.</w:t>
      </w:r>
      <w:r w:rsidR="00F9183B" w:rsidRPr="00A839DD">
        <w:t> </w:t>
      </w:r>
      <w:r w:rsidRPr="00A839DD">
        <w:t>16 de la Charte), voire, dans certains cas, de constituer des propos discriminatoires portant atteinte au droit d’une personne à la sauvegarde de sa dignité (art.</w:t>
      </w:r>
      <w:r w:rsidR="00F9183B" w:rsidRPr="00A839DD">
        <w:t> </w:t>
      </w:r>
      <w:r w:rsidRPr="00A839DD">
        <w:t>4). Si les propos sont particulièrement méprisants ou répétés, ils pourraient aussi être une manifestation de harcèlement discriminatoire (art.</w:t>
      </w:r>
      <w:r w:rsidR="00F9183B" w:rsidRPr="00A839DD">
        <w:t> </w:t>
      </w:r>
      <w:r w:rsidRPr="00A839DD">
        <w:t>10.1).</w:t>
      </w:r>
    </w:p>
    <w:p w14:paraId="4860C3AB" w14:textId="77777777" w:rsidR="00A03D1F" w:rsidRPr="00A839DD" w:rsidRDefault="00A03D1F" w:rsidP="001D3E83">
      <w:pPr>
        <w:pStyle w:val="Titre3"/>
        <w:rPr>
          <w:noProof w:val="0"/>
        </w:rPr>
      </w:pPr>
      <w:bookmarkStart w:id="154" w:name="_Toc229131322"/>
      <w:r w:rsidRPr="00A839DD">
        <w:rPr>
          <w:noProof w:val="0"/>
        </w:rPr>
        <w:t>Le rôle de l’expression de genre</w:t>
      </w:r>
      <w:bookmarkEnd w:id="154"/>
    </w:p>
    <w:p w14:paraId="21A366A6" w14:textId="761C7A80" w:rsidR="00A02F31" w:rsidRPr="00A839DD" w:rsidRDefault="00A02F31" w:rsidP="0006339A">
      <w:pPr>
        <w:pStyle w:val="Paragraphe"/>
      </w:pPr>
      <w:r w:rsidRPr="00A839DD">
        <w:t>L’analyse des plaintes révèle à quel point l’expression de genre est centrale dans les discriminations alléguées envers les personnes LGBTQ+, et ce</w:t>
      </w:r>
      <w:r w:rsidR="00542F93" w:rsidRPr="00A839DD">
        <w:t>,</w:t>
      </w:r>
      <w:r w:rsidRPr="00A839DD">
        <w:t xml:space="preserve"> tant dans les propos les visant que dans les conduites adoptées à leur égard, qui seront abordées dans la section suivante. Dans nombre de plaintes, l’apparence des personnes plaignantes est jugée par des collègues ou des supérieurs comme étant «</w:t>
      </w:r>
      <w:r w:rsidR="002D3AE6" w:rsidRPr="00A839DD">
        <w:rPr>
          <w:rFonts w:ascii="Arial" w:hAnsi="Arial" w:cs="Arial"/>
        </w:rPr>
        <w:t> </w:t>
      </w:r>
      <w:r w:rsidRPr="00A839DD">
        <w:t>trop</w:t>
      </w:r>
      <w:r w:rsidR="002D3AE6" w:rsidRPr="00A839DD">
        <w:rPr>
          <w:rFonts w:ascii="Arial" w:hAnsi="Arial" w:cs="Arial"/>
        </w:rPr>
        <w:t> </w:t>
      </w:r>
      <w:r w:rsidRPr="00A839DD">
        <w:t>» féminine ou «</w:t>
      </w:r>
      <w:r w:rsidR="002D3AE6" w:rsidRPr="00A839DD">
        <w:rPr>
          <w:rFonts w:ascii="Arial" w:hAnsi="Arial" w:cs="Arial"/>
        </w:rPr>
        <w:t> </w:t>
      </w:r>
      <w:r w:rsidRPr="00A839DD">
        <w:t>trop</w:t>
      </w:r>
      <w:r w:rsidR="002D3AE6" w:rsidRPr="00A839DD">
        <w:rPr>
          <w:rFonts w:ascii="Arial" w:hAnsi="Arial" w:cs="Arial"/>
        </w:rPr>
        <w:t> </w:t>
      </w:r>
      <w:r w:rsidRPr="00A839DD">
        <w:t>» masculine. Les «</w:t>
      </w:r>
      <w:r w:rsidR="002D3AE6" w:rsidRPr="00A839DD">
        <w:rPr>
          <w:rFonts w:ascii="Arial" w:hAnsi="Arial" w:cs="Arial"/>
        </w:rPr>
        <w:t> </w:t>
      </w:r>
      <w:r w:rsidRPr="00A839DD">
        <w:t>manières</w:t>
      </w:r>
      <w:r w:rsidR="002D3AE6" w:rsidRPr="00A839DD">
        <w:rPr>
          <w:rFonts w:ascii="Arial" w:hAnsi="Arial" w:cs="Arial"/>
        </w:rPr>
        <w:t> </w:t>
      </w:r>
      <w:r w:rsidRPr="00A839DD">
        <w:t xml:space="preserve">» qualifiées d’homosexuelles sont moquées, </w:t>
      </w:r>
      <w:r w:rsidRPr="00A839DD">
        <w:lastRenderedPageBreak/>
        <w:t>ridiculisées ou imitées. Sur la base de stéréotypes sur l’apparence des personnes LGBTQ+, des rumeurs sont lancées quant à l’appartenance de personnes plaignantes à ce groupe.</w:t>
      </w:r>
    </w:p>
    <w:tbl>
      <w:tblPr>
        <w:tblStyle w:val="Grilledutableau"/>
        <w:tblW w:w="4834" w:type="pct"/>
        <w:tblInd w:w="-5" w:type="dxa"/>
        <w:tblBorders>
          <w:top w:val="dotted" w:sz="4" w:space="0" w:color="202C4B"/>
          <w:left w:val="dotted" w:sz="4" w:space="0" w:color="202C4B"/>
          <w:bottom w:val="dotted" w:sz="6" w:space="0" w:color="202C4B"/>
          <w:right w:val="dotted" w:sz="4" w:space="0" w:color="202C4B"/>
          <w:insideH w:val="dotted" w:sz="4" w:space="0" w:color="202C4B"/>
          <w:insideV w:val="dotted" w:sz="4" w:space="0" w:color="202C4B"/>
        </w:tblBorders>
        <w:tblLook w:val="04A0" w:firstRow="1" w:lastRow="0" w:firstColumn="1" w:lastColumn="0" w:noHBand="0" w:noVBand="1"/>
      </w:tblPr>
      <w:tblGrid>
        <w:gridCol w:w="9357"/>
      </w:tblGrid>
      <w:tr w:rsidR="002671CD" w:rsidRPr="0050574E" w14:paraId="2215800F" w14:textId="77777777" w:rsidTr="00F41D0E">
        <w:trPr>
          <w:trHeight w:val="935"/>
        </w:trPr>
        <w:tc>
          <w:tcPr>
            <w:tcW w:w="5000" w:type="pct"/>
            <w:shd w:val="clear" w:color="auto" w:fill="E3ECF9"/>
          </w:tcPr>
          <w:p w14:paraId="6FD42DEA" w14:textId="6362614D" w:rsidR="002671CD" w:rsidRDefault="002671CD" w:rsidP="0054635C">
            <w:pPr>
              <w:spacing w:before="120" w:after="120"/>
              <w:ind w:left="174" w:right="122"/>
              <w:rPr>
                <w:b/>
                <w:bCs/>
              </w:rPr>
            </w:pPr>
            <w:r w:rsidRPr="0078694C">
              <w:rPr>
                <w:b/>
                <w:bCs/>
              </w:rPr>
              <w:t>Plainte d’une femme trans en transition, années</w:t>
            </w:r>
            <w:r w:rsidR="00291541">
              <w:rPr>
                <w:b/>
                <w:bCs/>
              </w:rPr>
              <w:t> </w:t>
            </w:r>
            <w:r w:rsidRPr="0078694C">
              <w:rPr>
                <w:b/>
                <w:bCs/>
              </w:rPr>
              <w:t>2010</w:t>
            </w:r>
          </w:p>
          <w:p w14:paraId="39F25E39" w14:textId="60093B3E" w:rsidR="002671CD" w:rsidRPr="0050574E" w:rsidRDefault="002671CD" w:rsidP="00E33176">
            <w:pPr>
              <w:spacing w:after="120"/>
              <w:ind w:left="174" w:right="122"/>
              <w:rPr>
                <w:sz w:val="20"/>
                <w:szCs w:val="20"/>
              </w:rPr>
            </w:pPr>
            <w:r w:rsidRPr="0078694C">
              <w:t>Je suis arrivée au travail avec du maquillage. Vers 11</w:t>
            </w:r>
            <w:r w:rsidR="0032515A">
              <w:t> </w:t>
            </w:r>
            <w:r w:rsidRPr="0078694C">
              <w:t>h, mon patron est venu me rencontrer à la caisse et m’a dit qu’il ne voulait pas de «</w:t>
            </w:r>
            <w:r w:rsidRPr="0078694C">
              <w:rPr>
                <w:rFonts w:ascii="Arial" w:hAnsi="Arial" w:cs="Arial"/>
              </w:rPr>
              <w:t> </w:t>
            </w:r>
            <w:r w:rsidRPr="0078694C">
              <w:rPr>
                <w:rFonts w:cs="Aptos"/>
              </w:rPr>
              <w:t>ç</w:t>
            </w:r>
            <w:r w:rsidRPr="0078694C">
              <w:t>a</w:t>
            </w:r>
            <w:r w:rsidRPr="0078694C">
              <w:rPr>
                <w:rFonts w:ascii="Arial" w:hAnsi="Arial" w:cs="Arial"/>
              </w:rPr>
              <w:t> </w:t>
            </w:r>
            <w:r w:rsidRPr="0078694C">
              <w:rPr>
                <w:rFonts w:cs="Aptos"/>
              </w:rPr>
              <w:t>»</w:t>
            </w:r>
            <w:r w:rsidRPr="0078694C">
              <w:t xml:space="preserve"> en pointant mon visage, que </w:t>
            </w:r>
            <w:r w:rsidRPr="0078694C">
              <w:rPr>
                <w:rFonts w:cs="Aptos"/>
              </w:rPr>
              <w:t>ç</w:t>
            </w:r>
            <w:r w:rsidRPr="0078694C">
              <w:t xml:space="preserve">a ne faisait pas </w:t>
            </w:r>
            <w:r w:rsidRPr="0078694C">
              <w:rPr>
                <w:rFonts w:cs="Aptos"/>
              </w:rPr>
              <w:t>«</w:t>
            </w:r>
            <w:r w:rsidRPr="0078694C">
              <w:rPr>
                <w:rFonts w:ascii="Arial" w:hAnsi="Arial" w:cs="Arial"/>
              </w:rPr>
              <w:t> </w:t>
            </w:r>
            <w:r w:rsidRPr="0078694C">
              <w:t>professionnel</w:t>
            </w:r>
            <w:r w:rsidRPr="0078694C">
              <w:rPr>
                <w:rFonts w:ascii="Arial" w:hAnsi="Arial" w:cs="Arial"/>
              </w:rPr>
              <w:t> </w:t>
            </w:r>
            <w:r w:rsidRPr="0078694C">
              <w:rPr>
                <w:rFonts w:cs="Aptos"/>
              </w:rPr>
              <w:t>»</w:t>
            </w:r>
            <w:r w:rsidRPr="0078694C">
              <w:t>. Il ajoute</w:t>
            </w:r>
            <w:r w:rsidR="00F21382">
              <w:t> </w:t>
            </w:r>
            <w:r w:rsidRPr="0078694C">
              <w:t xml:space="preserve">: </w:t>
            </w:r>
            <w:r w:rsidRPr="0078694C">
              <w:rPr>
                <w:rFonts w:cs="Aptos"/>
              </w:rPr>
              <w:t>«</w:t>
            </w:r>
            <w:r w:rsidRPr="0078694C">
              <w:rPr>
                <w:rFonts w:ascii="Arial" w:hAnsi="Arial" w:cs="Arial"/>
              </w:rPr>
              <w:t> </w:t>
            </w:r>
            <w:r w:rsidRPr="0078694C">
              <w:t>On ne sait pas ce que les clients pourraient penser</w:t>
            </w:r>
            <w:r w:rsidRPr="0078694C">
              <w:rPr>
                <w:rFonts w:cs="Aptos"/>
              </w:rPr>
              <w:t>…</w:t>
            </w:r>
            <w:r w:rsidRPr="0078694C">
              <w:rPr>
                <w:rFonts w:ascii="Arial" w:hAnsi="Arial" w:cs="Arial"/>
              </w:rPr>
              <w:t> </w:t>
            </w:r>
            <w:r w:rsidRPr="0078694C">
              <w:rPr>
                <w:rFonts w:cs="Aptos"/>
              </w:rPr>
              <w:t>»</w:t>
            </w:r>
          </w:p>
        </w:tc>
      </w:tr>
      <w:tr w:rsidR="002671CD" w:rsidRPr="0050574E" w14:paraId="487E73F2" w14:textId="77777777" w:rsidTr="00F41D0E">
        <w:trPr>
          <w:trHeight w:val="935"/>
        </w:trPr>
        <w:tc>
          <w:tcPr>
            <w:tcW w:w="5000" w:type="pct"/>
            <w:shd w:val="clear" w:color="auto" w:fill="E3ECF9"/>
          </w:tcPr>
          <w:p w14:paraId="2DDE80A3" w14:textId="1F7A64DA" w:rsidR="002671CD" w:rsidRDefault="002671CD" w:rsidP="0054635C">
            <w:pPr>
              <w:spacing w:before="120" w:after="120"/>
              <w:ind w:left="174" w:right="122"/>
              <w:rPr>
                <w:b/>
                <w:bCs/>
              </w:rPr>
            </w:pPr>
            <w:r w:rsidRPr="0078694C">
              <w:rPr>
                <w:b/>
                <w:bCs/>
              </w:rPr>
              <w:t>Plainte d’un homme gai, années</w:t>
            </w:r>
            <w:r w:rsidR="00291541">
              <w:rPr>
                <w:b/>
                <w:bCs/>
              </w:rPr>
              <w:t> </w:t>
            </w:r>
            <w:r w:rsidRPr="0078694C">
              <w:rPr>
                <w:b/>
                <w:bCs/>
              </w:rPr>
              <w:t>2010</w:t>
            </w:r>
          </w:p>
          <w:p w14:paraId="4BF9C81A" w14:textId="77777777" w:rsidR="002671CD" w:rsidRPr="0050574E" w:rsidRDefault="002671CD" w:rsidP="00E33176">
            <w:pPr>
              <w:spacing w:after="120"/>
              <w:ind w:left="174" w:right="122"/>
            </w:pPr>
            <w:r w:rsidRPr="0078694C">
              <w:t>Les gens me reprochent d’avoir des manières soi-disant homosexuelles. On m’a dit que j’étais trop expressif, que mes manières sont trop féminines et que je parle avec mes mains.</w:t>
            </w:r>
          </w:p>
        </w:tc>
      </w:tr>
    </w:tbl>
    <w:p w14:paraId="14A5C24D" w14:textId="4B1CA4F0" w:rsidR="00A02F31" w:rsidRPr="00E33176" w:rsidRDefault="00A02F31" w:rsidP="0006339A">
      <w:pPr>
        <w:pStyle w:val="Paragraphe"/>
      </w:pPr>
      <w:r w:rsidRPr="00A839DD">
        <w:t>En 2017, la Commission ontarienne des droits de la personne a par ailleurs étudié la façon dont les codes vestimentaires sexualisés ou fondés sur le sexe dans le secteur de la restauration peuvent être discrim</w:t>
      </w:r>
      <w:r w:rsidR="00036344" w:rsidRPr="00A839DD">
        <w:t>in</w:t>
      </w:r>
      <w:r w:rsidRPr="00A839DD">
        <w:t>atoires sur la base du sexe, de l’expression de l’identité de genre [identité sexuelle] ou d’autres motifs interdits, ainsi que de l’intersection de ceux-ci</w:t>
      </w:r>
      <w:r w:rsidRPr="00A839DD">
        <w:rPr>
          <w:rStyle w:val="Appelnotedebasdep"/>
        </w:rPr>
        <w:footnoteReference w:id="281"/>
      </w:r>
      <w:r w:rsidRPr="00A839DD">
        <w:t xml:space="preserve">. Les jeunes femmes seraient particulièrement susceptibles de subir les conséquences négatives de telles politiques (vêtements plus chers, moins confortables, plus stéréotypés, </w:t>
      </w:r>
      <w:r w:rsidRPr="00BA1395">
        <w:t>plus sexualisés, etc.)</w:t>
      </w:r>
      <w:r w:rsidRPr="00E33176">
        <w:rPr>
          <w:rStyle w:val="Appelnotedebasdep"/>
        </w:rPr>
        <w:footnoteReference w:id="282"/>
      </w:r>
      <w:r w:rsidRPr="00E33176">
        <w:t>.</w:t>
      </w:r>
    </w:p>
    <w:p w14:paraId="361BCF34" w14:textId="1D6BA60C" w:rsidR="00A02F31" w:rsidRPr="00A839DD" w:rsidRDefault="00A02F31" w:rsidP="0006339A">
      <w:pPr>
        <w:pStyle w:val="Paragraphe"/>
      </w:pPr>
      <w:r w:rsidRPr="00A839DD">
        <w:t>Plus récemment, dans une affaire jugée par le Tribunal des droits de la personne, le gérant d’un bar a demandé à une candidate à l’embauche comme serveuse si elle était trans. Elle a répondu par l’affirmative, en ajoutant que ses documents d’identité avaient été modifiés, qu’elle avait été opérée et que sa transition était terminée. Le gérant lui a alors rétorqué que «</w:t>
      </w:r>
      <w:r w:rsidR="002D3AE6" w:rsidRPr="00A839DD">
        <w:rPr>
          <w:rFonts w:ascii="Arial" w:hAnsi="Arial" w:cs="Arial"/>
        </w:rPr>
        <w:t> </w:t>
      </w:r>
      <w:r w:rsidRPr="00A839DD">
        <w:t>ça paraît un peu dans [s]a voix</w:t>
      </w:r>
      <w:r w:rsidR="002D3AE6" w:rsidRPr="00A839DD">
        <w:rPr>
          <w:rFonts w:ascii="Arial" w:hAnsi="Arial" w:cs="Arial"/>
        </w:rPr>
        <w:t> </w:t>
      </w:r>
      <w:r w:rsidRPr="00A839DD">
        <w:t>», lui laissant ainsi l’impression que, quoi qu’elle fasse, elle ne serait jamais assez «</w:t>
      </w:r>
      <w:r w:rsidR="002D3AE6" w:rsidRPr="00A839DD">
        <w:rPr>
          <w:rFonts w:ascii="Arial" w:hAnsi="Arial" w:cs="Arial"/>
        </w:rPr>
        <w:t> </w:t>
      </w:r>
      <w:r w:rsidRPr="00A839DD">
        <w:t>femme</w:t>
      </w:r>
      <w:r w:rsidR="002D3AE6" w:rsidRPr="00A839DD">
        <w:rPr>
          <w:rFonts w:ascii="Arial" w:hAnsi="Arial" w:cs="Arial"/>
        </w:rPr>
        <w:t> </w:t>
      </w:r>
      <w:r w:rsidRPr="00A839DD">
        <w:t>» pour être embauchée. Bien que le juge conclu</w:t>
      </w:r>
      <w:r w:rsidR="00867089">
        <w:t>e</w:t>
      </w:r>
      <w:r w:rsidRPr="00A839DD">
        <w:t xml:space="preserve"> uniquement à une discrimination fondée sur l’identité de genre, les faits donnent </w:t>
      </w:r>
      <w:r w:rsidR="00867089">
        <w:t>à</w:t>
      </w:r>
      <w:r w:rsidRPr="00A839DD">
        <w:t xml:space="preserve"> penser qu’il s’agit également d’une discrimination fondée sur le sexe et l’expression de genre.</w:t>
      </w:r>
    </w:p>
    <w:p w14:paraId="63E8BF73" w14:textId="1F9B27F3" w:rsidR="00A02F31" w:rsidRPr="00A839DD" w:rsidRDefault="00A02F31" w:rsidP="0006339A">
      <w:pPr>
        <w:pStyle w:val="Paragraphe"/>
      </w:pPr>
      <w:r w:rsidRPr="00A839DD">
        <w:t>Les résultats qui précèdent confirment l’analyse de la Commission selon laquelle les motifs «</w:t>
      </w:r>
      <w:r w:rsidRPr="00A839DD">
        <w:rPr>
          <w:rFonts w:ascii="Arial" w:hAnsi="Arial" w:cs="Arial"/>
        </w:rPr>
        <w:t> </w:t>
      </w:r>
      <w:r w:rsidRPr="00A839DD">
        <w:t>sexe</w:t>
      </w:r>
      <w:r w:rsidRPr="00A839DD">
        <w:rPr>
          <w:rFonts w:ascii="Arial" w:hAnsi="Arial" w:cs="Arial"/>
        </w:rPr>
        <w:t> </w:t>
      </w:r>
      <w:r w:rsidRPr="00A839DD">
        <w:rPr>
          <w:rFonts w:cs="Aptos"/>
        </w:rPr>
        <w:t>»</w:t>
      </w:r>
      <w:r w:rsidRPr="00A839DD">
        <w:t>, «</w:t>
      </w:r>
      <w:r w:rsidR="002D3AE6" w:rsidRPr="00A839DD">
        <w:rPr>
          <w:rFonts w:ascii="Arial" w:hAnsi="Arial" w:cs="Arial"/>
        </w:rPr>
        <w:t> </w:t>
      </w:r>
      <w:r w:rsidRPr="00A839DD">
        <w:t>orientation sexuelle</w:t>
      </w:r>
      <w:r w:rsidR="002D3AE6" w:rsidRPr="00A839DD">
        <w:rPr>
          <w:rFonts w:ascii="Arial" w:hAnsi="Arial" w:cs="Arial"/>
        </w:rPr>
        <w:t> </w:t>
      </w:r>
      <w:r w:rsidRPr="00A839DD">
        <w:t>» et «</w:t>
      </w:r>
      <w:r w:rsidRPr="00A839DD">
        <w:rPr>
          <w:rFonts w:ascii="Arial" w:hAnsi="Arial" w:cs="Arial"/>
        </w:rPr>
        <w:t> </w:t>
      </w:r>
      <w:r w:rsidRPr="00A839DD">
        <w:t>identit</w:t>
      </w:r>
      <w:r w:rsidRPr="00A839DD">
        <w:rPr>
          <w:rFonts w:cs="Aptos"/>
        </w:rPr>
        <w:t>é</w:t>
      </w:r>
      <w:r w:rsidRPr="00A839DD">
        <w:t xml:space="preserve"> ou expression de genre</w:t>
      </w:r>
      <w:r w:rsidRPr="00A839DD">
        <w:rPr>
          <w:rFonts w:ascii="Arial" w:hAnsi="Arial" w:cs="Arial"/>
        </w:rPr>
        <w:t> </w:t>
      </w:r>
      <w:r w:rsidRPr="00A839DD">
        <w:rPr>
          <w:rFonts w:cs="Aptos"/>
        </w:rPr>
        <w:t>»</w:t>
      </w:r>
      <w:r w:rsidRPr="00A839DD">
        <w:t xml:space="preserve"> offrent des protections compl</w:t>
      </w:r>
      <w:r w:rsidRPr="00A839DD">
        <w:rPr>
          <w:rFonts w:cs="Aptos"/>
        </w:rPr>
        <w:t>é</w:t>
      </w:r>
      <w:r w:rsidRPr="00A839DD">
        <w:t>mentaires contre la discrimination</w:t>
      </w:r>
      <w:r w:rsidRPr="00A839DD">
        <w:rPr>
          <w:rStyle w:val="Appelnotedebasdep"/>
        </w:rPr>
        <w:footnoteReference w:id="283"/>
      </w:r>
      <w:r w:rsidRPr="00A839DD">
        <w:t>. Ils se renforcent mutuellement pour couvrir les différents aspects du sexisme, de l’hétérosexisme et du cissexisme</w:t>
      </w:r>
      <w:r w:rsidRPr="00A839DD">
        <w:rPr>
          <w:rStyle w:val="Appelnotedebasdep"/>
        </w:rPr>
        <w:footnoteReference w:id="284"/>
      </w:r>
      <w:r w:rsidRPr="00A839DD">
        <w:t>.</w:t>
      </w:r>
    </w:p>
    <w:p w14:paraId="3871DDB7" w14:textId="77777777" w:rsidR="00D8689C" w:rsidRPr="00A839DD" w:rsidRDefault="00D8689C" w:rsidP="001D3E83">
      <w:pPr>
        <w:pStyle w:val="Titre2"/>
        <w:rPr>
          <w:noProof w:val="0"/>
        </w:rPr>
      </w:pPr>
      <w:bookmarkStart w:id="155" w:name="_Toc229131323"/>
      <w:r w:rsidRPr="00A839DD">
        <w:rPr>
          <w:noProof w:val="0"/>
        </w:rPr>
        <w:lastRenderedPageBreak/>
        <w:t>Les conduites dénoncées</w:t>
      </w:r>
      <w:bookmarkEnd w:id="155"/>
    </w:p>
    <w:p w14:paraId="79C32553" w14:textId="15A1A8F3" w:rsidR="00C51884" w:rsidRPr="00A839DD" w:rsidRDefault="00C51884" w:rsidP="0006339A">
      <w:pPr>
        <w:pStyle w:val="Paragraphe"/>
      </w:pPr>
      <w:r w:rsidRPr="00A839DD">
        <w:t xml:space="preserve">Dans 32 % des plaintes </w:t>
      </w:r>
      <w:r w:rsidR="00156285">
        <w:t>ayant fait l’objet d’une analyse qualitative</w:t>
      </w:r>
      <w:r w:rsidRPr="00A839DD">
        <w:t xml:space="preserve">, il est fait référence à des conduites que la personne plaignante considère comme étant discriminatoires sur la base de l’orientation sexuelle ou de l’identité ou l’expression de genre. Les </w:t>
      </w:r>
      <w:r w:rsidR="00CC28E6">
        <w:t>extraits de plaintes</w:t>
      </w:r>
      <w:r w:rsidRPr="00A839DD">
        <w:t xml:space="preserve"> ainsi catégorisés mettent l’accent sur les comportements, bien qu’</w:t>
      </w:r>
      <w:r w:rsidR="00FA77C5">
        <w:t>ils</w:t>
      </w:r>
      <w:r w:rsidRPr="00A839DD">
        <w:t xml:space="preserve"> puissent être accompagnés de propos. Ces comportements incluent des gestes (55 %), tels que l’adoption d’une gestuelle particulière («</w:t>
      </w:r>
      <w:r w:rsidR="002D3AE6" w:rsidRPr="00A839DD">
        <w:rPr>
          <w:rFonts w:ascii="Arial" w:hAnsi="Arial" w:cs="Arial"/>
        </w:rPr>
        <w:t> </w:t>
      </w:r>
      <w:r w:rsidRPr="00A839DD">
        <w:t>poignets cassés</w:t>
      </w:r>
      <w:r w:rsidR="002D3AE6" w:rsidRPr="00A839DD">
        <w:rPr>
          <w:rFonts w:ascii="Arial" w:hAnsi="Arial" w:cs="Arial"/>
        </w:rPr>
        <w:t> </w:t>
      </w:r>
      <w:r w:rsidRPr="00A839DD">
        <w:t>») en présence d’un homme gai, des gestes obscènes ou à connotation sexuelle, le retrait d’affiches liées à la diversité sexuelle et de genre sur le lieu de travail et l’évitement. Dans 28 % des plaintes décrivant des conduites, la personne plaignante décrit des violences physiques, pouvant aller de la destruction d’objets aux coups. Suivent des plaintes présentant des comportements insistants (14 %), comme des avances ou visites répétées, et des formes d’invasion de la vie personnelle (12 %), comme des visites à domicile, la lecture du courrier et des contacts non sollicités sur les réseaux sociaux personnels. Dans quelques cas (6 %), ce sont des attouchement</w:t>
      </w:r>
      <w:r w:rsidR="00036344" w:rsidRPr="00A839DD">
        <w:t>s</w:t>
      </w:r>
      <w:r w:rsidRPr="00A839DD">
        <w:t xml:space="preserve"> sexuels qui sont allégués. Ces différents types de conduites sont susceptibles de porter atteinte aux droits des personnes plaignantes à la sûreté et à l’intégrité, à la sauvegarde de </w:t>
      </w:r>
      <w:r w:rsidR="00F559E3">
        <w:t>leur</w:t>
      </w:r>
      <w:r w:rsidRPr="00A839DD">
        <w:t xml:space="preserve"> dignité et au respect de </w:t>
      </w:r>
      <w:r w:rsidR="00656CA4">
        <w:t>leur</w:t>
      </w:r>
      <w:r w:rsidRPr="00A839DD">
        <w:t xml:space="preserve"> vie privée.</w:t>
      </w:r>
    </w:p>
    <w:tbl>
      <w:tblPr>
        <w:tblStyle w:val="Grilledutableau"/>
        <w:tblW w:w="4834"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7"/>
      </w:tblGrid>
      <w:tr w:rsidR="00351FB7" w:rsidRPr="0050574E" w14:paraId="1ABE26A4" w14:textId="77777777" w:rsidTr="0011580C">
        <w:trPr>
          <w:trHeight w:val="935"/>
        </w:trPr>
        <w:tc>
          <w:tcPr>
            <w:tcW w:w="5000" w:type="pct"/>
            <w:shd w:val="clear" w:color="auto" w:fill="E3ECF9"/>
          </w:tcPr>
          <w:p w14:paraId="6316F062" w14:textId="77777777" w:rsidR="004E1E8C" w:rsidRPr="004E1E8C" w:rsidRDefault="004E1E8C" w:rsidP="003F405A">
            <w:pPr>
              <w:spacing w:before="120" w:after="120"/>
              <w:ind w:left="174" w:right="122"/>
              <w:rPr>
                <w:b/>
                <w:bCs/>
              </w:rPr>
            </w:pPr>
            <w:r w:rsidRPr="004E1E8C">
              <w:rPr>
                <w:b/>
                <w:bCs/>
              </w:rPr>
              <w:t>Plainte d’une femme lesbienne, années 1990</w:t>
            </w:r>
          </w:p>
          <w:p w14:paraId="42AA4FA4" w14:textId="6746A14D" w:rsidR="00351FB7" w:rsidRPr="0050574E" w:rsidRDefault="004E1E8C" w:rsidP="00351FB7">
            <w:pPr>
              <w:spacing w:after="120"/>
              <w:ind w:left="174" w:right="122"/>
              <w:rPr>
                <w:sz w:val="20"/>
                <w:szCs w:val="20"/>
              </w:rPr>
            </w:pPr>
            <w:r w:rsidRPr="004E1E8C">
              <w:t>Il a démoli à coups de pied une poubelle murale. Il a jeté à bout de bras un bac de recyclage dans le corridor. Cette violence était dirigée contre ma conjointe et moi-même.</w:t>
            </w:r>
          </w:p>
        </w:tc>
      </w:tr>
      <w:tr w:rsidR="00351FB7" w:rsidRPr="0050574E" w14:paraId="33267685" w14:textId="77777777" w:rsidTr="0011580C">
        <w:trPr>
          <w:trHeight w:val="935"/>
        </w:trPr>
        <w:tc>
          <w:tcPr>
            <w:tcW w:w="5000" w:type="pct"/>
            <w:shd w:val="clear" w:color="auto" w:fill="E3ECF9"/>
          </w:tcPr>
          <w:p w14:paraId="0BDD0FD0" w14:textId="66627811" w:rsidR="00351FB7" w:rsidRDefault="00351FB7" w:rsidP="003F405A">
            <w:pPr>
              <w:spacing w:before="120" w:after="120"/>
              <w:ind w:left="174" w:right="122"/>
              <w:rPr>
                <w:b/>
                <w:bCs/>
              </w:rPr>
            </w:pPr>
            <w:r w:rsidRPr="0078694C">
              <w:rPr>
                <w:b/>
                <w:bCs/>
              </w:rPr>
              <w:t>Plainte d’un homme gai, années</w:t>
            </w:r>
            <w:r w:rsidR="00291541">
              <w:rPr>
                <w:b/>
                <w:bCs/>
              </w:rPr>
              <w:t> </w:t>
            </w:r>
            <w:r w:rsidRPr="0078694C">
              <w:rPr>
                <w:b/>
                <w:bCs/>
              </w:rPr>
              <w:t>2010</w:t>
            </w:r>
          </w:p>
          <w:p w14:paraId="3AB454D0" w14:textId="2C5ED602" w:rsidR="00351FB7" w:rsidRPr="0050574E" w:rsidRDefault="004E1E8C" w:rsidP="00351FB7">
            <w:pPr>
              <w:spacing w:after="120"/>
              <w:ind w:left="174" w:right="122"/>
            </w:pPr>
            <w:r w:rsidRPr="004E1E8C">
              <w:t>À chaque fois qu’il me parle, il utilise une gestuelle souvent associée aux homosexuels.</w:t>
            </w:r>
          </w:p>
        </w:tc>
      </w:tr>
      <w:tr w:rsidR="004E1E8C" w:rsidRPr="0050574E" w14:paraId="38822EAC" w14:textId="77777777" w:rsidTr="0011580C">
        <w:trPr>
          <w:trHeight w:val="935"/>
        </w:trPr>
        <w:tc>
          <w:tcPr>
            <w:tcW w:w="5000" w:type="pct"/>
            <w:shd w:val="clear" w:color="auto" w:fill="E3ECF9"/>
          </w:tcPr>
          <w:p w14:paraId="46A4A5F0" w14:textId="5A3288C6" w:rsidR="004E1E8C" w:rsidRPr="004E1E8C" w:rsidRDefault="004E1E8C" w:rsidP="003F405A">
            <w:pPr>
              <w:spacing w:before="120" w:after="120"/>
              <w:ind w:left="174" w:right="122"/>
              <w:rPr>
                <w:b/>
                <w:bCs/>
              </w:rPr>
            </w:pPr>
            <w:r w:rsidRPr="004E1E8C">
              <w:rPr>
                <w:b/>
                <w:bCs/>
              </w:rPr>
              <w:t>Plainte d’un homme gai, années</w:t>
            </w:r>
            <w:r w:rsidR="00291541">
              <w:rPr>
                <w:b/>
                <w:bCs/>
              </w:rPr>
              <w:t> </w:t>
            </w:r>
            <w:r w:rsidRPr="004E1E8C">
              <w:rPr>
                <w:b/>
                <w:bCs/>
              </w:rPr>
              <w:t>2020</w:t>
            </w:r>
          </w:p>
          <w:p w14:paraId="66D5F0C2" w14:textId="357ED210" w:rsidR="004E1E8C" w:rsidRPr="0078694C" w:rsidRDefault="004E1E8C" w:rsidP="004E1E8C">
            <w:pPr>
              <w:spacing w:after="120"/>
              <w:ind w:left="174" w:right="122"/>
              <w:rPr>
                <w:b/>
                <w:bCs/>
              </w:rPr>
            </w:pPr>
            <w:r w:rsidRPr="004E1E8C">
              <w:t>Elle me regardait en disant que j’étais une grosse tapette. Elle riait et mimait les gestes de baguettes en l’air avec ses mains.</w:t>
            </w:r>
          </w:p>
        </w:tc>
      </w:tr>
    </w:tbl>
    <w:p w14:paraId="7D8E022B" w14:textId="77777777" w:rsidR="004D49D5" w:rsidRPr="00A839DD" w:rsidRDefault="004D49D5" w:rsidP="001D3E83">
      <w:pPr>
        <w:pStyle w:val="Titre2"/>
        <w:rPr>
          <w:noProof w:val="0"/>
        </w:rPr>
      </w:pPr>
      <w:bookmarkStart w:id="156" w:name="_Toc229131324"/>
      <w:r w:rsidRPr="00A839DD">
        <w:rPr>
          <w:noProof w:val="0"/>
        </w:rPr>
        <w:t>Les normes dénoncées</w:t>
      </w:r>
      <w:bookmarkEnd w:id="156"/>
    </w:p>
    <w:p w14:paraId="6E7EAEAF" w14:textId="63A1DF2D" w:rsidR="00C30600" w:rsidRPr="00A839DD" w:rsidRDefault="00C30600" w:rsidP="0006339A">
      <w:pPr>
        <w:pStyle w:val="Paragraphe"/>
      </w:pPr>
      <w:r w:rsidRPr="00A839DD">
        <w:t>Dans 7</w:t>
      </w:r>
      <w:r w:rsidR="005516C0" w:rsidRPr="00A839DD">
        <w:t> </w:t>
      </w:r>
      <w:r w:rsidRPr="00A839DD">
        <w:t xml:space="preserve">plaintes </w:t>
      </w:r>
      <w:r w:rsidR="00C12482">
        <w:t>(4 %)</w:t>
      </w:r>
      <w:r w:rsidRPr="00A839DD">
        <w:t xml:space="preserve"> </w:t>
      </w:r>
      <w:r w:rsidR="006A4E90">
        <w:t>ayant fait l’objet d’une analyse qualitative</w:t>
      </w:r>
      <w:r w:rsidRPr="00A839DD">
        <w:t>, la personne plaignante dénonce des règles écrites ou non écrites qu’elle estime discriminatoires sur la base de l’orientation sexuelle ou l’identité ou l’expression de genre. Comme mentionné précédemment</w:t>
      </w:r>
      <w:r w:rsidR="004F4795" w:rsidRPr="00A839DD">
        <w:t xml:space="preserve"> dans la section</w:t>
      </w:r>
      <w:r w:rsidR="00291541">
        <w:t> </w:t>
      </w:r>
      <w:r w:rsidR="002E5BE9" w:rsidRPr="00A839DD">
        <w:t>4.3.1 C.</w:t>
      </w:r>
      <w:r w:rsidRPr="00A839DD">
        <w:t xml:space="preserve">, la Commission ne reçoit plus de plaintes pour des cas de discrimination fondée sur ces motifs dans des documents comme des conventions collectives et des régimes d’assurances collectives. Dans les dernières années, elle a cependant reçu quelques plaintes relatives à des </w:t>
      </w:r>
      <w:r w:rsidR="00FD5B01">
        <w:t xml:space="preserve">politiques </w:t>
      </w:r>
      <w:r w:rsidR="00561ECC">
        <w:t xml:space="preserve">institutionnelles </w:t>
      </w:r>
      <w:r w:rsidR="00FD5B01">
        <w:t xml:space="preserve">ou </w:t>
      </w:r>
      <w:r w:rsidRPr="00A839DD">
        <w:t xml:space="preserve">règles informelles imposées par l’employeur, par exemple l’obligation d’utiliser son rabais de membres du personnel d’un magasin pour acheter des vêtements associés à son sexe ou encore sur l’exclusion des personnes homosexuelles dans un organisme religieux. De telles règles sont </w:t>
      </w:r>
      <w:r w:rsidRPr="00A839DD">
        <w:lastRenderedPageBreak/>
        <w:t>susceptibles de constituer une atteinte à différents droits des personnes concernées, par exemple la liberté d’expression ou encore le droit à un milieu de travail exempt de discrimination.</w:t>
      </w:r>
    </w:p>
    <w:p w14:paraId="6242DEA5" w14:textId="77777777" w:rsidR="004609C3" w:rsidRPr="00A839DD" w:rsidRDefault="004609C3" w:rsidP="001D3E83">
      <w:pPr>
        <w:pStyle w:val="Titre2"/>
        <w:rPr>
          <w:noProof w:val="0"/>
        </w:rPr>
      </w:pPr>
      <w:bookmarkStart w:id="157" w:name="_Toc229131325"/>
      <w:r w:rsidRPr="00A839DD">
        <w:rPr>
          <w:noProof w:val="0"/>
        </w:rPr>
        <w:t>Les climats de travail dénoncés</w:t>
      </w:r>
      <w:bookmarkEnd w:id="157"/>
    </w:p>
    <w:p w14:paraId="179CA392" w14:textId="1750C5DC" w:rsidR="006F4FC9" w:rsidRPr="00A839DD" w:rsidRDefault="006F4FC9" w:rsidP="0006339A">
      <w:pPr>
        <w:pStyle w:val="Paragraphe"/>
      </w:pPr>
      <w:r w:rsidRPr="00A839DD">
        <w:t xml:space="preserve">Les personnes plaignantes dénoncent le climat de travail dans 63 % des plaintes </w:t>
      </w:r>
      <w:r w:rsidR="00C940D0">
        <w:t>ayant fait l’objet d’une analyse qualitative</w:t>
      </w:r>
      <w:r w:rsidRPr="00A839DD">
        <w:rPr>
          <w:rStyle w:val="Appelnotedebasdep"/>
        </w:rPr>
        <w:footnoteReference w:id="285"/>
      </w:r>
      <w:r w:rsidRPr="00A839DD">
        <w:t>. Les plaintes ont été ainsi catégorisées lorsque l’homophobie ou la transphobie alléguée est répandue de façon générale dans un milieu sans qu’il soit toujours possible d’identifier une personne responsable, ou encore quand un tel climat est entretenu par une personne en autorité.</w:t>
      </w:r>
    </w:p>
    <w:p w14:paraId="65098C77" w14:textId="7AAE0DE4" w:rsidR="006F4FC9" w:rsidRPr="004E1E8C" w:rsidRDefault="006F4FC9" w:rsidP="0006339A">
      <w:pPr>
        <w:pStyle w:val="Paragraphe"/>
        <w:rPr>
          <w:color w:val="auto"/>
        </w:rPr>
      </w:pPr>
      <w:r w:rsidRPr="00A839DD">
        <w:t xml:space="preserve">Ces allégations ont été catégorisées séparément des manifestations de l’homophobie </w:t>
      </w:r>
      <w:r w:rsidR="001019AE">
        <w:t>et de la transphobie</w:t>
      </w:r>
      <w:r w:rsidRPr="00A839DD">
        <w:t xml:space="preserve"> parce que le climat de travail est à la fois un ensemble d’incarnations de ces phénomènes et une conséquence de ceux-ci. Le climat de travail fonctionne en quelque sorte comme une boucle de rétroaction entre les manifestations et leurs conséquences qui perpétue un environnement empreint de discrimination ou perçu comme tel. </w:t>
      </w:r>
      <w:r w:rsidRPr="00603358">
        <w:rPr>
          <w:rStyle w:val="Appelnotedebasdep"/>
          <w:color w:val="auto"/>
        </w:rPr>
        <w:footnoteReference w:id="286"/>
      </w:r>
    </w:p>
    <w:p w14:paraId="4F708688" w14:textId="3E0B2819" w:rsidR="004609C3" w:rsidRPr="00A839DD" w:rsidRDefault="00FF3504" w:rsidP="0006339A">
      <w:pPr>
        <w:pStyle w:val="Paragraphe"/>
      </w:pPr>
      <w:r w:rsidRPr="0040694D">
        <w:rPr>
          <w:rFonts w:eastAsia="MS Mincho"/>
        </w:rPr>
        <w:lastRenderedPageBreak/>
        <w:drawing>
          <wp:inline distT="0" distB="0" distL="0" distR="0" wp14:anchorId="4D0E25DE" wp14:editId="177DDDD1">
            <wp:extent cx="6213475" cy="4086026"/>
            <wp:effectExtent l="0" t="0" r="0" b="0"/>
            <wp:docPr id="1838849477" name="Diagramme 1" descr="Représentation visuelle des statistiques détaillées des causes inclues dans le climat de travail qui se retrouvent dans le corps du text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D60167F" w14:textId="6D82D74C" w:rsidR="00C142FC" w:rsidRPr="00A839DD" w:rsidRDefault="00C142FC" w:rsidP="0006339A">
      <w:pPr>
        <w:pStyle w:val="Paragraphe"/>
        <w:rPr>
          <w:rFonts w:eastAsia="MS Mincho" w:cs="Arial"/>
          <w:bdr w:val="none" w:sz="0" w:space="0" w:color="auto" w:frame="1"/>
          <w:lang w:eastAsia="ja-JP"/>
        </w:rPr>
      </w:pPr>
      <w:r w:rsidRPr="00A839DD">
        <w:rPr>
          <w:rFonts w:eastAsia="MS Mincho"/>
        </w:rPr>
        <w:t>Dans 45 % de ces plaintes, c’est la tolérance de l’homophobie ou de la transphobie par l’employeur qui est mise en cause. Une part de tolérance de l’employeur est probablement souvent en jeu si une personne en vient à porter plainte à la Commission. Ce qui est cependant plus particulièrement visé ici, ce sont des situations o</w:t>
      </w:r>
      <w:r w:rsidR="00D655E8">
        <w:rPr>
          <w:rFonts w:eastAsia="MS Mincho"/>
        </w:rPr>
        <w:t>ù</w:t>
      </w:r>
      <w:r w:rsidRPr="00A839DD">
        <w:rPr>
          <w:rFonts w:eastAsia="MS Mincho"/>
        </w:rPr>
        <w:t xml:space="preserve"> la personne plaignante raconte avoir tenté d’aborder le problème directement avec l’employeur sans recevoir une réponse satisfaisante, voire aucune réponse. Par exemple, l’employeur minimise le problème, ignore simplement la personne plaignante ou promet d’agir sans donner suite. Même en présence d’une politique contre la discrimination, une application inégale, voire une absence d’application, est susceptible de renvoyer au personnel LGBTQ+ l’image d’une fausse promesse</w:t>
      </w:r>
      <w:r w:rsidRPr="00A839DD">
        <w:rPr>
          <w:rFonts w:eastAsia="MS Mincho"/>
          <w:vertAlign w:val="superscript"/>
        </w:rPr>
        <w:footnoteReference w:id="287"/>
      </w:r>
      <w:r w:rsidRPr="00A839DD">
        <w:rPr>
          <w:rFonts w:eastAsia="MS Mincho"/>
        </w:rPr>
        <w:t>. Des interventions auprès des employeurs pourraient possiblement permettre de s’attaquer à plusieurs de ces situations</w:t>
      </w:r>
      <w:r w:rsidRPr="00A839DD">
        <w:rPr>
          <w:rFonts w:eastAsia="MS Mincho" w:cs="Arial"/>
          <w:bdr w:val="none" w:sz="0" w:space="0" w:color="auto" w:frame="1"/>
          <w:lang w:eastAsia="ja-JP"/>
        </w:rPr>
        <w:t>.</w:t>
      </w:r>
    </w:p>
    <w:tbl>
      <w:tblPr>
        <w:tblStyle w:val="Grilledutableau"/>
        <w:tblW w:w="4834"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7"/>
      </w:tblGrid>
      <w:tr w:rsidR="005A19F1" w:rsidRPr="0050574E" w14:paraId="2F34F17D" w14:textId="77777777" w:rsidTr="00B47FCC">
        <w:trPr>
          <w:trHeight w:val="935"/>
        </w:trPr>
        <w:tc>
          <w:tcPr>
            <w:tcW w:w="5000" w:type="pct"/>
            <w:shd w:val="clear" w:color="auto" w:fill="E3ECF9"/>
          </w:tcPr>
          <w:p w14:paraId="526D2A56" w14:textId="77777777" w:rsidR="00FA5B4B" w:rsidRDefault="00FA5B4B" w:rsidP="00FA5B4B">
            <w:pPr>
              <w:spacing w:before="120" w:after="120"/>
              <w:ind w:left="174" w:right="122"/>
              <w:rPr>
                <w:b/>
                <w:bCs/>
              </w:rPr>
            </w:pPr>
            <w:r w:rsidRPr="00FA5B4B">
              <w:rPr>
                <w:b/>
                <w:bCs/>
              </w:rPr>
              <w:t>Plainte d’un homme trans, années 2020</w:t>
            </w:r>
          </w:p>
          <w:p w14:paraId="79759729" w14:textId="52C82FE7" w:rsidR="005A19F1" w:rsidRPr="0050574E" w:rsidRDefault="00FA5B4B">
            <w:pPr>
              <w:spacing w:after="120"/>
              <w:ind w:left="174" w:right="122"/>
              <w:rPr>
                <w:sz w:val="20"/>
                <w:szCs w:val="20"/>
              </w:rPr>
            </w:pPr>
            <w:r w:rsidRPr="00FA5B4B">
              <w:t>Ma supérieure a refusé de gérer la situation. Par la suite, j’ai progressivement été retiré de l’horaire.</w:t>
            </w:r>
          </w:p>
        </w:tc>
      </w:tr>
      <w:tr w:rsidR="005A19F1" w:rsidRPr="0050574E" w14:paraId="67C3AC8C" w14:textId="77777777" w:rsidTr="00B47FCC">
        <w:trPr>
          <w:trHeight w:val="935"/>
        </w:trPr>
        <w:tc>
          <w:tcPr>
            <w:tcW w:w="5000" w:type="pct"/>
            <w:shd w:val="clear" w:color="auto" w:fill="E3ECF9"/>
          </w:tcPr>
          <w:p w14:paraId="1D2109FA" w14:textId="77777777" w:rsidR="005A19F1" w:rsidRDefault="005A19F1" w:rsidP="00FA5B4B">
            <w:pPr>
              <w:spacing w:before="120" w:after="120"/>
              <w:ind w:left="174" w:right="122"/>
              <w:rPr>
                <w:b/>
                <w:bCs/>
              </w:rPr>
            </w:pPr>
            <w:r w:rsidRPr="0078694C">
              <w:rPr>
                <w:b/>
                <w:bCs/>
              </w:rPr>
              <w:lastRenderedPageBreak/>
              <w:t>Plainte d’un homme gai, années 2010</w:t>
            </w:r>
          </w:p>
          <w:p w14:paraId="17886CD4" w14:textId="3E0B1689" w:rsidR="005A19F1" w:rsidRPr="0050574E" w:rsidRDefault="00FA5B4B">
            <w:pPr>
              <w:spacing w:after="120"/>
              <w:ind w:left="174" w:right="122"/>
            </w:pPr>
            <w:r w:rsidRPr="00FA5B4B">
              <w:t>Mon supérieur m’a dit qu’on va rire de moi si je dénonce ma collègue. Il a ajouté que je ne pouvais pas porter plainte contre elle, sinon il allait perdre sa meilleure employée.</w:t>
            </w:r>
          </w:p>
        </w:tc>
      </w:tr>
    </w:tbl>
    <w:p w14:paraId="2716A275" w14:textId="3C028E7E" w:rsidR="00C142FC" w:rsidRPr="00A839DD" w:rsidRDefault="00C142FC" w:rsidP="0006339A">
      <w:pPr>
        <w:pStyle w:val="Paragraphe"/>
        <w:rPr>
          <w:rFonts w:eastAsia="MS Mincho"/>
          <w:bdr w:val="none" w:sz="0" w:space="0" w:color="auto" w:frame="1"/>
        </w:rPr>
      </w:pPr>
      <w:r w:rsidRPr="00A839DD">
        <w:rPr>
          <w:rFonts w:eastAsia="MS Mincho"/>
          <w:bdr w:val="none" w:sz="0" w:space="0" w:color="auto" w:frame="1"/>
        </w:rPr>
        <w:t xml:space="preserve">Outre la tolérance </w:t>
      </w:r>
      <w:r w:rsidR="004D29B7">
        <w:rPr>
          <w:rFonts w:eastAsia="MS Mincho"/>
          <w:bdr w:val="none" w:sz="0" w:space="0" w:color="auto" w:frame="1"/>
        </w:rPr>
        <w:t xml:space="preserve">par </w:t>
      </w:r>
      <w:r w:rsidRPr="00A839DD">
        <w:rPr>
          <w:rFonts w:eastAsia="MS Mincho"/>
          <w:bdr w:val="none" w:sz="0" w:space="0" w:color="auto" w:frame="1"/>
        </w:rPr>
        <w:t>des employeurs, les personnes plaignantes alléguant des climats de travail discriminatoires pointent d’autres aspects de ceux-ci :</w:t>
      </w:r>
    </w:p>
    <w:p w14:paraId="60A53608" w14:textId="77777777" w:rsidR="000971C3" w:rsidRPr="00A839DD" w:rsidRDefault="000971C3" w:rsidP="000971C3">
      <w:pPr>
        <w:pStyle w:val="puces0"/>
      </w:pPr>
      <w:r w:rsidRPr="002122A1">
        <w:rPr>
          <w:b/>
        </w:rPr>
        <w:t>Un climat de travail hostile :</w:t>
      </w:r>
      <w:r w:rsidRPr="00A839DD">
        <w:t xml:space="preserve"> des collègues qui se liguent systématiquement contre une personne, des commentaires dégradants et méprisants à répétition, des blagues et des moqueries sur la diversité sexuelle et de genre, etc.</w:t>
      </w:r>
    </w:p>
    <w:p w14:paraId="3D16BAA1" w14:textId="77777777" w:rsidR="000971C3" w:rsidRPr="00A839DD" w:rsidRDefault="000971C3" w:rsidP="000971C3">
      <w:pPr>
        <w:pStyle w:val="puces0"/>
      </w:pPr>
      <w:r w:rsidRPr="002122A1">
        <w:rPr>
          <w:b/>
        </w:rPr>
        <w:t>Un climat de travail désagréable :</w:t>
      </w:r>
      <w:r w:rsidRPr="00A839DD">
        <w:t xml:space="preserve"> des commentaires sur la diversité sexuelle et de genre rendant la personne plaignante inconfortable, des échanges difficiles avec les collègues, une ambiance tendue et inconfortable, etc.</w:t>
      </w:r>
    </w:p>
    <w:p w14:paraId="2C0297A5" w14:textId="77777777" w:rsidR="000971C3" w:rsidRPr="00A839DD" w:rsidRDefault="000971C3" w:rsidP="000971C3">
      <w:pPr>
        <w:pStyle w:val="puces0"/>
      </w:pPr>
      <w:r w:rsidRPr="002122A1">
        <w:rPr>
          <w:b/>
        </w:rPr>
        <w:t>L’isolement :</w:t>
      </w:r>
      <w:r w:rsidRPr="00A839DD">
        <w:t xml:space="preserve"> des discussions excluant la personne plaignante, le refus de regarder la personne ou de lui adresser la parole, le retrait par des collègues du profil de la personne plaignante sur leurs réseaux sociaux, etc.</w:t>
      </w:r>
    </w:p>
    <w:p w14:paraId="7A8050A8" w14:textId="3EB8BEBA" w:rsidR="000971C3" w:rsidRPr="00A839DD" w:rsidRDefault="000971C3" w:rsidP="000971C3">
      <w:pPr>
        <w:pStyle w:val="puces0"/>
      </w:pPr>
      <w:r w:rsidRPr="002122A1">
        <w:rPr>
          <w:b/>
        </w:rPr>
        <w:t>La circulation de rumeurs et commérages</w:t>
      </w:r>
      <w:r w:rsidRPr="00A839DD">
        <w:t>, y compris auprès de la clientèle</w:t>
      </w:r>
      <w:r w:rsidR="00577C83" w:rsidRPr="00A839DD">
        <w:t> </w:t>
      </w:r>
      <w:r w:rsidRPr="00A839DD">
        <w:t>: des allusions ou supputations quant au fait qu’une personne serait homosexuelle ou trans, des allégations sur la qualité du travail de la personne plaignante, etc.</w:t>
      </w:r>
    </w:p>
    <w:p w14:paraId="27A33452" w14:textId="77777777" w:rsidR="000971C3" w:rsidRPr="00A839DD" w:rsidRDefault="000971C3" w:rsidP="000971C3">
      <w:pPr>
        <w:pStyle w:val="puces0"/>
      </w:pPr>
      <w:r w:rsidRPr="002122A1">
        <w:rPr>
          <w:b/>
        </w:rPr>
        <w:t>Un traitement humiliant :</w:t>
      </w:r>
      <w:r w:rsidRPr="00A839DD">
        <w:t xml:space="preserve"> des propos dégradants proférés devant plusieurs personnes, y compris parfois la clientèle, le dévoilement de détails de la vie privée d’une personne sans son consentement, etc.</w:t>
      </w:r>
    </w:p>
    <w:p w14:paraId="3B1AE7DC" w14:textId="77777777" w:rsidR="000971C3" w:rsidRPr="00A839DD" w:rsidRDefault="000971C3" w:rsidP="000971C3">
      <w:pPr>
        <w:pStyle w:val="puces0"/>
      </w:pPr>
      <w:r w:rsidRPr="002122A1">
        <w:rPr>
          <w:b/>
        </w:rPr>
        <w:t>Des questions gênantes :</w:t>
      </w:r>
      <w:r w:rsidRPr="00A839DD">
        <w:t xml:space="preserve"> des questions déplacées régulièrement adressées à la personne plaignante, notamment concernant ses relations hors du travail, ses pratiques sexuelles ou l’apparence de ses organes génitaux. </w:t>
      </w:r>
    </w:p>
    <w:p w14:paraId="177BC138" w14:textId="178D4A8C" w:rsidR="00004948" w:rsidRPr="00A839DD" w:rsidRDefault="00004948" w:rsidP="0006339A">
      <w:pPr>
        <w:pStyle w:val="Paragraphe"/>
      </w:pPr>
      <w:r w:rsidRPr="00A839DD">
        <w:t>Les allégations portant sur le climat de travail sont parfois plus difficiles à lier explicitement à l’orientation sexuelle ou à l’identité ou l’expression de genre de la personne plaignante. Cet aspect est néanmoins fortement compris comme y étant lié par les personnes plaignantes. La plupart du temps sans avoir recours à ce vocable, des plaintes identifient des micro</w:t>
      </w:r>
      <w:r w:rsidR="00256890" w:rsidRPr="00A839DD">
        <w:t>-</w:t>
      </w:r>
      <w:r w:rsidRPr="00A839DD">
        <w:t>agressions.</w:t>
      </w:r>
    </w:p>
    <w:p w14:paraId="01B04648" w14:textId="2BEEFD42" w:rsidR="00004948" w:rsidRPr="00A839DD" w:rsidRDefault="00004948" w:rsidP="0006339A">
      <w:pPr>
        <w:pStyle w:val="Paragraphe"/>
      </w:pPr>
      <w:r w:rsidRPr="00A839DD">
        <w:t xml:space="preserve">Selon la Commission canadienne des droits de la personne, les </w:t>
      </w:r>
      <w:r w:rsidR="00591E70" w:rsidRPr="00A839DD">
        <w:t>micro-agressions</w:t>
      </w:r>
      <w:r w:rsidRPr="00A839DD">
        <w:t xml:space="preserve"> sont «</w:t>
      </w:r>
      <w:r w:rsidR="002D3AE6" w:rsidRPr="00A839DD">
        <w:rPr>
          <w:rFonts w:ascii="Arial" w:hAnsi="Arial" w:cs="Arial"/>
        </w:rPr>
        <w:t> </w:t>
      </w:r>
      <w:r w:rsidRPr="00A839DD">
        <w:t xml:space="preserve">des remarques, des indignités, des rabaissements et des insultes qui sont commis de manière brève, indirecte et quotidienne et qui communiquent des attitudes discriminatoires envers les membres de groupes méritant l'équité. Intentionnelles ou non, elles peuvent être comportementales, verbales ou environnementales. Les personnes qui les subissent peuvent se sentir mal à l’aise, malvenues, </w:t>
      </w:r>
      <w:r w:rsidRPr="00A839DD">
        <w:lastRenderedPageBreak/>
        <w:t>insultées ou stigmatisée</w:t>
      </w:r>
      <w:r w:rsidR="00AE211C" w:rsidRPr="00A839DD">
        <w:t>s</w:t>
      </w:r>
      <w:r w:rsidRPr="00A839DD">
        <w:t xml:space="preserve"> comme étant « l'autre » et se rappeler douloureusement les stéréotypes associés à leur identité.</w:t>
      </w:r>
      <w:r w:rsidR="002D3AE6" w:rsidRPr="00A839DD">
        <w:rPr>
          <w:rFonts w:ascii="Arial" w:hAnsi="Arial" w:cs="Arial"/>
        </w:rPr>
        <w:t> </w:t>
      </w:r>
      <w:r w:rsidRPr="00A839DD">
        <w:t>»</w:t>
      </w:r>
      <w:r w:rsidRPr="00A839DD">
        <w:rPr>
          <w:rStyle w:val="Appelnotedebasdep"/>
        </w:rPr>
        <w:footnoteReference w:id="288"/>
      </w:r>
    </w:p>
    <w:p w14:paraId="6284EFD4" w14:textId="77777777" w:rsidR="00004948" w:rsidRPr="00A839DD" w:rsidRDefault="00004948" w:rsidP="0006339A">
      <w:pPr>
        <w:pStyle w:val="Paragraphe"/>
      </w:pPr>
      <w:r w:rsidRPr="00A839DD">
        <w:t>Bien que ce terme se retrouve dans la jurisprudence, il n’a pas fait l’objet d’un traitement judiciaire permettant de l’articuler clairement à des violations de droits. Cependant, lorsqu’elles sont répétées, elles peuvent constituer du harcèlement discriminatoire, voire contribuer à rendre un climat de travail discriminatoire.</w:t>
      </w:r>
    </w:p>
    <w:p w14:paraId="20F17049" w14:textId="0F6F6B19" w:rsidR="00004948" w:rsidRPr="00A839DD" w:rsidRDefault="00004948" w:rsidP="0006339A">
      <w:pPr>
        <w:pStyle w:val="Paragraphe"/>
      </w:pPr>
      <w:r w:rsidRPr="00A839DD">
        <w:t>Selon les circonstances et compte tenu du caractère englobant du climat de travail, de telles situations peuvent entraîner des violations de multiples droits garantis aux personnes en emploi, que ce soit le droit à la sûreté, à l’intégrité, à la liberté d’expression, à la sauvegarde de sa dignité, de son honneur et de sa réputation, au respect de sa vie privée, à l’égalité, dont à un environnement de travail exempt de discrimination, et à des conditions de travail justes et raisonnables et qui respectent sa santé, sa sécurité et son intégrité physique.</w:t>
      </w:r>
    </w:p>
    <w:p w14:paraId="22504FDC" w14:textId="77777777" w:rsidR="008B7EF0" w:rsidRPr="00A839DD" w:rsidRDefault="008B7EF0" w:rsidP="001D3E83">
      <w:pPr>
        <w:pStyle w:val="Titre2"/>
        <w:rPr>
          <w:noProof w:val="0"/>
        </w:rPr>
      </w:pPr>
      <w:bookmarkStart w:id="158" w:name="_Toc229131326"/>
      <w:r w:rsidRPr="00A839DD">
        <w:rPr>
          <w:noProof w:val="0"/>
        </w:rPr>
        <w:t>Des enjeux spécifiques dans certains contextes</w:t>
      </w:r>
      <w:bookmarkEnd w:id="158"/>
    </w:p>
    <w:p w14:paraId="388E396D" w14:textId="77777777" w:rsidR="00A66598" w:rsidRPr="00A839DD" w:rsidRDefault="00A66598" w:rsidP="0006339A">
      <w:pPr>
        <w:pStyle w:val="Paragraphe"/>
      </w:pPr>
      <w:r w:rsidRPr="00A839DD">
        <w:t>Les situations alléguées de discrimination prennent des formes particulières ou soulèvent des enjeux qui leur sont propres dans certains contextes ou situations.</w:t>
      </w:r>
    </w:p>
    <w:p w14:paraId="2A99E497" w14:textId="77777777" w:rsidR="005414DA" w:rsidRPr="00A839DD" w:rsidRDefault="005414DA" w:rsidP="001D3E83">
      <w:pPr>
        <w:pStyle w:val="Titre3"/>
        <w:rPr>
          <w:noProof w:val="0"/>
        </w:rPr>
      </w:pPr>
      <w:bookmarkStart w:id="159" w:name="_Toc229131327"/>
      <w:r w:rsidRPr="00A839DD">
        <w:rPr>
          <w:noProof w:val="0"/>
        </w:rPr>
        <w:t>Les emplois de service à la clientèle</w:t>
      </w:r>
      <w:bookmarkEnd w:id="159"/>
    </w:p>
    <w:p w14:paraId="297A2365" w14:textId="2E390BE8" w:rsidR="00DE748A" w:rsidRPr="00A839DD" w:rsidRDefault="00DE748A" w:rsidP="0006339A">
      <w:pPr>
        <w:pStyle w:val="Paragraphe"/>
      </w:pPr>
      <w:r w:rsidRPr="00A839DD">
        <w:t xml:space="preserve">Comme </w:t>
      </w:r>
      <w:r w:rsidR="00392DEA">
        <w:t xml:space="preserve">le suggèrent la littérature et </w:t>
      </w:r>
      <w:r w:rsidRPr="00A839DD">
        <w:t xml:space="preserve"> les données quantitatives, le secteur du service à la clientèle place les personnes LGBTQ+ dans une position délicate où elles sont exposées au regard de leurs collègues, de leurs gestionnaires mais aussi de la clientèle. Ces milieux de travail accordent aussi généralement une attention particulière à l’apparence du personnel, posant ainsi un risque supplémentaire pour la discrimination sur la base de l’expression de genre dont on a vu qu’elle pouvait être centrale dans l’expérience des personnes LGBTQ+ en emploi. </w:t>
      </w:r>
    </w:p>
    <w:p w14:paraId="4DACA30C" w14:textId="6078E46F" w:rsidR="00DE748A" w:rsidRPr="00A839DD" w:rsidRDefault="00DE748A" w:rsidP="0006339A">
      <w:pPr>
        <w:pStyle w:val="Paragraphe"/>
      </w:pPr>
      <w:r w:rsidRPr="00A839DD">
        <w:t xml:space="preserve">Dans </w:t>
      </w:r>
      <w:r w:rsidR="005367A2" w:rsidRPr="00A839DD">
        <w:t>la</w:t>
      </w:r>
      <w:r w:rsidRPr="00A839DD">
        <w:t xml:space="preserve"> décision </w:t>
      </w:r>
      <w:r w:rsidR="005367A2" w:rsidRPr="00A839DD">
        <w:t>précitée</w:t>
      </w:r>
      <w:r w:rsidRPr="00A839DD">
        <w:t xml:space="preserve"> portant sur le refus d’un bar d’embaucher une femme trans comme serveuse, le </w:t>
      </w:r>
      <w:r w:rsidR="005B4886" w:rsidRPr="00A839DD">
        <w:t>Tribunal des droits de la personne</w:t>
      </w:r>
      <w:r w:rsidRPr="00A839DD">
        <w:t xml:space="preserve"> a rappelé qu’une telle pratique ne peut être justifiée par :</w:t>
      </w:r>
    </w:p>
    <w:p w14:paraId="18BBF962" w14:textId="199B5E34" w:rsidR="00E62289" w:rsidRPr="00A839DD" w:rsidRDefault="00E62289" w:rsidP="00E62289">
      <w:pPr>
        <w:pStyle w:val="puces0"/>
      </w:pPr>
      <w:proofErr w:type="gramStart"/>
      <w:r w:rsidRPr="00A839DD">
        <w:t>un</w:t>
      </w:r>
      <w:proofErr w:type="gramEnd"/>
      <w:r w:rsidRPr="00A839DD">
        <w:t xml:space="preserve"> souci de protéger une personne contre de possibles violences de la part de la clientèle, à moins que ce risque soit suffisamment grave et excessif au point de constituer une contrainte excessive pour l’employeur</w:t>
      </w:r>
      <w:r w:rsidRPr="00A839DD">
        <w:rPr>
          <w:rStyle w:val="Appelnotedebasdep"/>
        </w:rPr>
        <w:footnoteReference w:id="289"/>
      </w:r>
      <w:r w:rsidR="00F01F5E" w:rsidRPr="00A839DD">
        <w:rPr>
          <w:rFonts w:ascii="Arial" w:hAnsi="Arial" w:cs="Arial"/>
        </w:rPr>
        <w:t> </w:t>
      </w:r>
      <w:r w:rsidRPr="00A839DD">
        <w:t>;</w:t>
      </w:r>
    </w:p>
    <w:p w14:paraId="7E5AD1EE" w14:textId="1F202FCE" w:rsidR="00E62289" w:rsidRPr="00A839DD" w:rsidRDefault="00E62289" w:rsidP="00E62289">
      <w:pPr>
        <w:pStyle w:val="puces0"/>
      </w:pPr>
      <w:proofErr w:type="gramStart"/>
      <w:r w:rsidRPr="00A839DD">
        <w:lastRenderedPageBreak/>
        <w:t>les</w:t>
      </w:r>
      <w:proofErr w:type="gramEnd"/>
      <w:r w:rsidRPr="00A839DD">
        <w:t xml:space="preserve"> préjugés ou «</w:t>
      </w:r>
      <w:r w:rsidR="002D3AE6" w:rsidRPr="00A839DD">
        <w:rPr>
          <w:rFonts w:ascii="Arial" w:hAnsi="Arial" w:cs="Arial"/>
        </w:rPr>
        <w:t> </w:t>
      </w:r>
      <w:r w:rsidRPr="00A839DD">
        <w:t>préférences</w:t>
      </w:r>
      <w:r w:rsidR="002D3AE6" w:rsidRPr="00A839DD">
        <w:rPr>
          <w:rFonts w:ascii="Arial" w:hAnsi="Arial" w:cs="Arial"/>
        </w:rPr>
        <w:t> </w:t>
      </w:r>
      <w:r w:rsidRPr="00A839DD">
        <w:t>» de la clientèle</w:t>
      </w:r>
      <w:r w:rsidRPr="00A839DD">
        <w:rPr>
          <w:rStyle w:val="Appelnotedebasdep"/>
        </w:rPr>
        <w:footnoteReference w:id="290"/>
      </w:r>
      <w:r w:rsidRPr="00A839DD">
        <w:t>, ce qui reviendrait à faire subir une «</w:t>
      </w:r>
      <w:r w:rsidR="002D3AE6" w:rsidRPr="00A839DD">
        <w:rPr>
          <w:rFonts w:ascii="Arial" w:hAnsi="Arial" w:cs="Arial"/>
        </w:rPr>
        <w:t> </w:t>
      </w:r>
      <w:r w:rsidRPr="00A839DD">
        <w:t>double discrimination</w:t>
      </w:r>
      <w:r w:rsidR="002D3AE6" w:rsidRPr="00A839DD">
        <w:rPr>
          <w:rFonts w:ascii="Arial" w:hAnsi="Arial" w:cs="Arial"/>
        </w:rPr>
        <w:t> </w:t>
      </w:r>
      <w:r w:rsidRPr="00A839DD">
        <w:t>» (par l’employeur et par la clientèle)</w:t>
      </w:r>
      <w:r w:rsidRPr="00A839DD">
        <w:rPr>
          <w:rStyle w:val="Appelnotedebasdep"/>
        </w:rPr>
        <w:footnoteReference w:id="291"/>
      </w:r>
      <w:r w:rsidRPr="00A839DD">
        <w:t>.</w:t>
      </w:r>
    </w:p>
    <w:p w14:paraId="2F8539C0" w14:textId="679A9811" w:rsidR="00025CD9" w:rsidRPr="00A839DD" w:rsidRDefault="00025CD9" w:rsidP="0006339A">
      <w:pPr>
        <w:pStyle w:val="Paragraphe"/>
      </w:pPr>
      <w:r w:rsidRPr="00A839DD">
        <w:t xml:space="preserve">La juge </w:t>
      </w:r>
      <w:r w:rsidR="005B4886" w:rsidRPr="00A839DD">
        <w:t>réitère</w:t>
      </w:r>
      <w:r w:rsidRPr="00A839DD">
        <w:t xml:space="preserve"> plutôt l’obligation légale qu’ont les employeurs d’assurer la sécurité du personnel</w:t>
      </w:r>
      <w:r w:rsidRPr="00A839DD">
        <w:rPr>
          <w:rStyle w:val="Appelnotedebasdep"/>
        </w:rPr>
        <w:footnoteReference w:id="292"/>
      </w:r>
      <w:r w:rsidRPr="00A839DD">
        <w:t>, en plus de garantir un environnement de travail exempt de discrimination.</w:t>
      </w:r>
    </w:p>
    <w:p w14:paraId="0624B619" w14:textId="77E63951" w:rsidR="00AF36E3" w:rsidRPr="00A839DD" w:rsidRDefault="00AF36E3" w:rsidP="001D3E83">
      <w:pPr>
        <w:pStyle w:val="Titre3"/>
        <w:rPr>
          <w:noProof w:val="0"/>
        </w:rPr>
      </w:pPr>
      <w:bookmarkStart w:id="160" w:name="_Toc229131328"/>
      <w:r w:rsidRPr="00A839DD">
        <w:rPr>
          <w:noProof w:val="0"/>
        </w:rPr>
        <w:t xml:space="preserve">Les milieux de travail hors des grands centres </w:t>
      </w:r>
      <w:r w:rsidR="00EC7DD6" w:rsidRPr="00A839DD">
        <w:rPr>
          <w:noProof w:val="0"/>
        </w:rPr>
        <w:t>urbains</w:t>
      </w:r>
      <w:bookmarkEnd w:id="160"/>
    </w:p>
    <w:p w14:paraId="0337D9FD" w14:textId="5B1ACBD1" w:rsidR="004D0BA2" w:rsidRPr="00A839DD" w:rsidRDefault="004D0BA2" w:rsidP="0006339A">
      <w:pPr>
        <w:pStyle w:val="Paragraphe"/>
      </w:pPr>
      <w:r w:rsidRPr="00A839DD">
        <w:t>Dans quelques plaintes, les personnes plaignantes présentent leur situation comme étant particulière en raison du fait qu’elles travaillent dans de petites municipalités ou en milieu rural. À la lecture des plaintes, il ressort que le grand niveau d’interconnaissance entre les personnes employées et la clientèle, aussi parfois côtoyée dans la vie personnelle, contribue à plusieurs situations de discrimination alléguée. Dans ces cas, ce n</w:t>
      </w:r>
      <w:r w:rsidR="00C34724">
        <w:t>e sont</w:t>
      </w:r>
      <w:r w:rsidRPr="00A839DD">
        <w:t xml:space="preserve"> pas tant les valeurs ou la perception de la clientèle qui est en cause, mais plutôt des caractéristiques du milieu qui rendent concrètement plus difficile de protéger le droit au respect de la vie privée des personnes LGBTQ+ employées. Ce constat rejoint celui déjà formulé dans la recherche selon lequel les milieux urbains et ruraux se distinguent respectivement par l’anonymat relatif qu’ils offrent et la survisibilité à laquelle ils exposent les personnes LGBTQ+</w:t>
      </w:r>
      <w:r w:rsidRPr="00A839DD">
        <w:rPr>
          <w:rStyle w:val="Appelnotedebasdep"/>
        </w:rPr>
        <w:footnoteReference w:id="293"/>
      </w:r>
      <w:r w:rsidRPr="00A839DD">
        <w:t>. Par exemple, dans les plaintes analysées, le dévoilement de la transition de genre d’une personne au travail est rapidement susceptible d’être connu de toute la communauté, de même que les rumeurs sur l’orientation sexuelle d’une personne membre du personnel sont peu susceptibles de rester cantonnées au milieu de travail. Les répercussions d’un dévoilement au travail ou à l’extérieur de celui-ci peuvent ainsi rapidement se répercuter dans d’autres domaines de la vie de la personne concernée.</w:t>
      </w:r>
    </w:p>
    <w:p w14:paraId="10B2801A" w14:textId="296C25BB" w:rsidR="004D0BA2" w:rsidRPr="00A839DD" w:rsidRDefault="004D0BA2" w:rsidP="0006339A">
      <w:pPr>
        <w:pStyle w:val="Paragraphe"/>
      </w:pPr>
      <w:r w:rsidRPr="00A839DD">
        <w:t xml:space="preserve">Dans d’autres plaintes, le milieu est jugé plus conservateur que </w:t>
      </w:r>
      <w:r w:rsidR="00612653" w:rsidRPr="00A839DD">
        <w:t>celui des</w:t>
      </w:r>
      <w:r w:rsidRPr="00A839DD">
        <w:t xml:space="preserve"> grandes villes par la personne plaignante. Par exemple, un employeur met en garde un employé gai quant au fait que la clientèle «</w:t>
      </w:r>
      <w:r w:rsidR="002D3AE6" w:rsidRPr="00A839DD">
        <w:rPr>
          <w:rFonts w:ascii="Arial" w:hAnsi="Arial" w:cs="Arial"/>
        </w:rPr>
        <w:t> </w:t>
      </w:r>
      <w:r w:rsidRPr="00A839DD">
        <w:t>en région</w:t>
      </w:r>
      <w:r w:rsidR="002D3AE6" w:rsidRPr="00A839DD">
        <w:rPr>
          <w:rFonts w:ascii="Arial" w:hAnsi="Arial" w:cs="Arial"/>
        </w:rPr>
        <w:t> </w:t>
      </w:r>
      <w:r w:rsidRPr="00A839DD">
        <w:t>» ne serait pas habituée à être servie par un homme ou encore la direction d’une entreprise agricole craint la perception de la clientèle si elle embauche une personne trans. Ces derniers cas, bien qu’ils soient survenus en dehors de grands centres, recoupent les enjeux plus généraux auxquels sont confronté</w:t>
      </w:r>
      <w:r w:rsidR="001656EC" w:rsidRPr="00A839DD">
        <w:t>e</w:t>
      </w:r>
      <w:r w:rsidRPr="00A839DD">
        <w:t>s les personnes LGBTQ+ travaillant dans le service à la clientèle.</w:t>
      </w:r>
    </w:p>
    <w:p w14:paraId="0F55AF41" w14:textId="77777777" w:rsidR="002B360A" w:rsidRPr="00A839DD" w:rsidRDefault="002B360A" w:rsidP="001D3E83">
      <w:pPr>
        <w:pStyle w:val="Titre3"/>
        <w:rPr>
          <w:noProof w:val="0"/>
        </w:rPr>
      </w:pPr>
      <w:bookmarkStart w:id="161" w:name="_Toc215748730"/>
      <w:bookmarkStart w:id="162" w:name="_Toc229131329"/>
      <w:r w:rsidRPr="00A839DD">
        <w:rPr>
          <w:rFonts w:hint="eastAsia"/>
          <w:noProof w:val="0"/>
        </w:rPr>
        <w:lastRenderedPageBreak/>
        <w:t>L</w:t>
      </w:r>
      <w:r w:rsidRPr="00A839DD">
        <w:rPr>
          <w:noProof w:val="0"/>
        </w:rPr>
        <w:t>es milieux de travail dits traditionnellement masculins ou féminins</w:t>
      </w:r>
      <w:bookmarkEnd w:id="161"/>
      <w:bookmarkEnd w:id="162"/>
    </w:p>
    <w:p w14:paraId="7B0EA8F9" w14:textId="33305BD5" w:rsidR="006629EF" w:rsidRPr="00A839DD" w:rsidRDefault="006629EF" w:rsidP="0006339A">
      <w:pPr>
        <w:pStyle w:val="Paragraphe"/>
      </w:pPr>
      <w:r w:rsidRPr="00A839DD">
        <w:t xml:space="preserve">Dans environ le cinquième des plaintes </w:t>
      </w:r>
      <w:r w:rsidR="00337E67">
        <w:t>ayant fait l’objet d’une analyse qualitative</w:t>
      </w:r>
      <w:r w:rsidRPr="00A839DD">
        <w:t>, le milieu visé peut, selon les informations disponibles dans la plainte, être considéré comme étant à prédominance masculine ou féminine. Considérant qu’environ 80 % de la main-d’œuvre travaillent dans des secteurs à prédominance masculine ou féminine</w:t>
      </w:r>
      <w:r w:rsidRPr="00A839DD">
        <w:rPr>
          <w:rStyle w:val="Appelnotedebasdep"/>
        </w:rPr>
        <w:footnoteReference w:id="294"/>
      </w:r>
      <w:r w:rsidRPr="00A839DD">
        <w:t>, ceux-ci semblent donc sous-représentés dans les plaintes analysées. Sur la base des informations disponibles dans les plaintes, il n’était toutefois pas toujours possible de déterminer la composition du milieu de travail ou les normes de genre qui y dominent. Davantage de plaintes que celles catégorisées comme telles sont donc susceptibles de viser ce type de milieu.</w:t>
      </w:r>
    </w:p>
    <w:p w14:paraId="7C754D1E" w14:textId="77777777" w:rsidR="006629EF" w:rsidRPr="00A839DD" w:rsidRDefault="006629EF" w:rsidP="0006339A">
      <w:pPr>
        <w:pStyle w:val="Paragraphe"/>
      </w:pPr>
      <w:r w:rsidRPr="00A839DD">
        <w:t>Généralement, au Québec, une catégorie d’emploi est qualifiée comme étant à prédominance masculine ou féminine lorsqu’elle est majoritairement composée de personnes d’un même sexe (60 % ou plus), ou lorsqu’elle est historiquement ou culturellement associée à un sexe, selon une analyse fondée sur la composition de la main-d’œuvre, les stéréotypes occupationnels et l’évolution de la représentation dans les emplois</w:t>
      </w:r>
      <w:r w:rsidRPr="00A839DD">
        <w:rPr>
          <w:rStyle w:val="Appelnotedebasdep"/>
        </w:rPr>
        <w:footnoteReference w:id="295"/>
      </w:r>
      <w:r w:rsidRPr="00A839DD">
        <w:t xml:space="preserve">. </w:t>
      </w:r>
    </w:p>
    <w:p w14:paraId="3B1C710F" w14:textId="77777777" w:rsidR="006629EF" w:rsidRPr="00A839DD" w:rsidRDefault="006629EF" w:rsidP="0006339A">
      <w:pPr>
        <w:pStyle w:val="Paragraphe"/>
      </w:pPr>
      <w:r w:rsidRPr="00A839DD">
        <w:t>Parmi les plaintes analysées qui ont pu être associées à un milieu à prédominance masculine ou féminine, près de neuf sur dix concernaient des catégories d’emploi à prédominance masculine, notamment dans les secteurs de la sécurité privée, du commerce de gros, du transport et de l’industrie.</w:t>
      </w:r>
    </w:p>
    <w:p w14:paraId="4D2A1B59" w14:textId="3F7D91F2" w:rsidR="006629EF" w:rsidRPr="00A839DD" w:rsidRDefault="006629EF" w:rsidP="0006339A">
      <w:pPr>
        <w:pStyle w:val="Paragraphe"/>
      </w:pPr>
      <w:r w:rsidRPr="00A839DD">
        <w:t>Compte tenu qu’une forte proportion de personnes travaillent dans des secteurs à prédominance masculine ou féminine et que les personnes LGBTQ+ rencontrent des obstacles dans les milieux fortement genrés, en particulier ceux associés à la masculinité, une plus grande représentation de ceux-ci aurait ainsi pu être attendue. Or, il est possible que les personnes LGBTQ+ y travaillant portent moins plainte en raison des conséquences qu’une telle démarche pourrait avoir sur leur carrière. Comme l’a d’ailleurs déjà relevé la Commission au sujet de l’industrie de la construction, la culture machiste qui y prévaut «</w:t>
      </w:r>
      <w:r w:rsidR="002D3AE6" w:rsidRPr="00A839DD">
        <w:rPr>
          <w:rFonts w:ascii="Arial" w:hAnsi="Arial" w:cs="Arial"/>
        </w:rPr>
        <w:t> </w:t>
      </w:r>
      <w:r w:rsidRPr="00A839DD">
        <w:t>soutient une forme de loi du silence qui participe à la banalisation des atteintes aux droits des travailleuses et travailleurs et milite en défaveur de l’exercice de recours</w:t>
      </w:r>
      <w:r w:rsidRPr="00A839DD">
        <w:rPr>
          <w:rStyle w:val="Appelnotedebasdep"/>
        </w:rPr>
        <w:footnoteReference w:id="296"/>
      </w:r>
      <w:r w:rsidRPr="00A839DD">
        <w:t>.</w:t>
      </w:r>
      <w:r w:rsidR="002D3AE6" w:rsidRPr="00A839DD">
        <w:rPr>
          <w:rFonts w:ascii="Arial" w:hAnsi="Arial" w:cs="Arial"/>
        </w:rPr>
        <w:t> </w:t>
      </w:r>
      <w:r w:rsidRPr="00A839DD">
        <w:t>»</w:t>
      </w:r>
    </w:p>
    <w:p w14:paraId="6368096F" w14:textId="77777777" w:rsidR="006629EF" w:rsidRPr="00A839DD" w:rsidRDefault="006629EF" w:rsidP="0006339A">
      <w:pPr>
        <w:pStyle w:val="Paragraphe"/>
      </w:pPr>
      <w:r w:rsidRPr="00A839DD">
        <w:t>Par ailleurs, les discriminations alléguées dans les plaintes issues de ces secteurs ne semblent pas revêtir une forme particulière (types de propos, de conduite, etc.) qui les distinguerait des autres, du moins sur la seule base des éléments y étant décrits.</w:t>
      </w:r>
    </w:p>
    <w:p w14:paraId="036EDC7B" w14:textId="77777777" w:rsidR="00D920ED" w:rsidRPr="00A839DD" w:rsidRDefault="00D920ED" w:rsidP="001D3E83">
      <w:pPr>
        <w:pStyle w:val="Titre3"/>
        <w:rPr>
          <w:noProof w:val="0"/>
        </w:rPr>
      </w:pPr>
      <w:bookmarkStart w:id="163" w:name="_Toc229131330"/>
      <w:r w:rsidRPr="00A839DD">
        <w:rPr>
          <w:noProof w:val="0"/>
        </w:rPr>
        <w:lastRenderedPageBreak/>
        <w:t>Les postes réservés à un sexe ou un genre</w:t>
      </w:r>
      <w:bookmarkEnd w:id="163"/>
      <w:r w:rsidRPr="00A839DD">
        <w:rPr>
          <w:noProof w:val="0"/>
        </w:rPr>
        <w:t xml:space="preserve"> </w:t>
      </w:r>
    </w:p>
    <w:p w14:paraId="53914145" w14:textId="3A3D2B20" w:rsidR="00952580" w:rsidRPr="00A839DD" w:rsidRDefault="00952580" w:rsidP="0006339A">
      <w:pPr>
        <w:pStyle w:val="Paragraphe"/>
      </w:pPr>
      <w:r w:rsidRPr="00A839DD">
        <w:t xml:space="preserve">Le fait pour un employeur de réserver un poste aux personnes appartenant à un sexe ou un genre donné peut s’avérer discriminatoire. Ce peut notamment être le cas envers les personnes trans si celles-ci ne sont pas reconnues par l’employeur comme appartenant au sexe ou genre </w:t>
      </w:r>
      <w:r w:rsidRPr="00513775">
        <w:t>visé</w:t>
      </w:r>
      <w:r w:rsidRPr="00A839DD">
        <w:t xml:space="preserve"> par l’offre d’emploi ou encore envers les personnes non binaires si le poste est réservé aux hommes ou aux femmes. Parmi les plaintes analysées, très peu correspondent à ce type de situations. Par exemple, dans un cas, un homme trans a postulé un emploi dans un commerce de détail. Celui-ci est réservé à des «</w:t>
      </w:r>
      <w:r w:rsidR="002D3AE6" w:rsidRPr="00A839DD">
        <w:rPr>
          <w:rFonts w:ascii="Arial" w:hAnsi="Arial" w:cs="Arial"/>
        </w:rPr>
        <w:t> </w:t>
      </w:r>
      <w:r w:rsidRPr="00A839DD">
        <w:t>gars</w:t>
      </w:r>
      <w:r w:rsidR="002D3AE6" w:rsidRPr="00A839DD">
        <w:rPr>
          <w:rFonts w:ascii="Arial" w:hAnsi="Arial" w:cs="Arial"/>
        </w:rPr>
        <w:t> </w:t>
      </w:r>
      <w:r w:rsidRPr="00A839DD">
        <w:t>» en raison de la force physique demandé</w:t>
      </w:r>
      <w:r w:rsidR="000D4D32" w:rsidRPr="00A839DD">
        <w:t>e</w:t>
      </w:r>
      <w:r w:rsidRPr="00A839DD">
        <w:t xml:space="preserve"> pour l’exercer. L’employeur a refusé d’accorder une période d’essai à la personne en question pour s’assurer de sa capacité à occuper le poste.</w:t>
      </w:r>
    </w:p>
    <w:p w14:paraId="0681C61E" w14:textId="144C3B6F" w:rsidR="00952580" w:rsidRPr="00A839DD" w:rsidRDefault="00952580" w:rsidP="0006339A">
      <w:pPr>
        <w:pStyle w:val="Paragraphe"/>
      </w:pPr>
      <w:r w:rsidRPr="00A839DD">
        <w:t>Bien que ce type de situations soit peu fréquent dans les plaintes reçues pour discrimination en emploi, il convient d’y porter attention compte tenu des controverses sur l’accès des personnes trans aux espaces non mixtes sur le plan du sexe et du genre, incluant l’emploi. L’article</w:t>
      </w:r>
      <w:r w:rsidR="00F9183B" w:rsidRPr="00A839DD">
        <w:t> </w:t>
      </w:r>
      <w:r w:rsidRPr="00A839DD">
        <w:t>20 de la Charte encadre d’ailleurs de façon particulière de telles situations</w:t>
      </w:r>
      <w:r w:rsidRPr="00A839DD">
        <w:rPr>
          <w:rStyle w:val="Appelnotedebasdep"/>
        </w:rPr>
        <w:footnoteReference w:id="297"/>
      </w:r>
      <w:r w:rsidRPr="00A839DD">
        <w:t>. Son premier volet énonce la défense dite «</w:t>
      </w:r>
      <w:r w:rsidR="002D3AE6" w:rsidRPr="00A839DD">
        <w:rPr>
          <w:rFonts w:ascii="Arial" w:hAnsi="Arial" w:cs="Arial"/>
        </w:rPr>
        <w:t> </w:t>
      </w:r>
      <w:r w:rsidRPr="00A839DD">
        <w:t>d’exigence professionnelle justifiée</w:t>
      </w:r>
      <w:r w:rsidR="002D3AE6" w:rsidRPr="00A839DD">
        <w:rPr>
          <w:rFonts w:ascii="Arial" w:hAnsi="Arial" w:cs="Arial"/>
        </w:rPr>
        <w:t> </w:t>
      </w:r>
      <w:r w:rsidRPr="00A839DD">
        <w:t xml:space="preserve">» qui pourrait être invoquée notamment par un employeur qui estimerait qu’un poste à combler devrait absolument l’être par une personne d’un sexe ou genre donné. Son second volet prévoit quant à lui que des distinctions, exclusions ou préférences, liées à un motif interdit de discrimination, pourraient être justifiées par le caractère charitable, philanthropique, religieux, politique ou éducatif d’une institution sans but lucratif ou qui serait vouée exclusivement au bien-être d’un groupe ethnique. </w:t>
      </w:r>
      <w:r w:rsidR="00E71B87" w:rsidRPr="00A839DD">
        <w:t>Pour que les exceptions puissent s’appliquer, des conditions précises doivent être remplies et faire l’objet d’une analyse au cas par cas. Celle-ci doit s’appuyer sur des faits concrets, rationnellement liés au poste visé, plutôt que sur des impressions, des craintes ou des préjugés.</w:t>
      </w:r>
    </w:p>
    <w:p w14:paraId="0244B2D4" w14:textId="77777777" w:rsidR="00E35062" w:rsidRPr="00A839DD" w:rsidRDefault="00E35062" w:rsidP="001D3E83">
      <w:pPr>
        <w:pStyle w:val="Titre2"/>
        <w:rPr>
          <w:noProof w:val="0"/>
        </w:rPr>
      </w:pPr>
      <w:bookmarkStart w:id="164" w:name="_Toc215748732"/>
      <w:bookmarkStart w:id="165" w:name="_Toc229131331"/>
      <w:r w:rsidRPr="00A839DD">
        <w:rPr>
          <w:noProof w:val="0"/>
        </w:rPr>
        <w:t>Les effets sur les personnes plaignantes et le travail</w:t>
      </w:r>
      <w:bookmarkEnd w:id="164"/>
      <w:bookmarkEnd w:id="165"/>
    </w:p>
    <w:p w14:paraId="71B43D56" w14:textId="24984046" w:rsidR="00FC151F" w:rsidRDefault="00FC151F" w:rsidP="0006339A">
      <w:pPr>
        <w:pStyle w:val="Paragraphe"/>
      </w:pPr>
      <w:r w:rsidRPr="00A839DD">
        <w:t>Le corpus analysé permet de mettre en lumière des conséquences vécues par les personnes ayant déposé une plainte pour discrimination en emploi fondée su</w:t>
      </w:r>
      <w:r w:rsidR="000D4D32" w:rsidRPr="00A839DD">
        <w:t>r</w:t>
      </w:r>
      <w:r w:rsidRPr="00A839DD">
        <w:t xml:space="preserve"> l’orientation sexuelle ou l’identité ou l’expression de genre. Les résultats présentés ici sont issus de l’analyse qualitative des plaintes. Dans </w:t>
      </w:r>
      <w:r w:rsidR="00886A09" w:rsidRPr="00A839DD">
        <w:t>92,5 %</w:t>
      </w:r>
      <w:r w:rsidR="005516C0" w:rsidRPr="00A839DD">
        <w:t> </w:t>
      </w:r>
      <w:r w:rsidR="003C7473">
        <w:t xml:space="preserve">de </w:t>
      </w:r>
      <w:r w:rsidRPr="00A839DD">
        <w:t>plaintes analysées, des effets précis sont décrits. Elles révèlent des impacts variés, tant sur le plan professionnel que personnel, qui peuvent également se combiner et se cumuler.</w:t>
      </w:r>
    </w:p>
    <w:p w14:paraId="75D73399" w14:textId="77777777" w:rsidR="00904554" w:rsidRDefault="00904554" w:rsidP="0006339A">
      <w:pPr>
        <w:pStyle w:val="Paragraphe"/>
      </w:pPr>
    </w:p>
    <w:p w14:paraId="3DC80E6D" w14:textId="77777777" w:rsidR="00904554" w:rsidRDefault="00904554" w:rsidP="0006339A">
      <w:pPr>
        <w:pStyle w:val="Paragraphe"/>
      </w:pPr>
    </w:p>
    <w:p w14:paraId="7234332C" w14:textId="77777777" w:rsidR="00904554" w:rsidRPr="00A839DD" w:rsidRDefault="00904554" w:rsidP="0006339A">
      <w:pPr>
        <w:pStyle w:val="Paragraphe"/>
      </w:pPr>
    </w:p>
    <w:p w14:paraId="10B1E56E" w14:textId="286840EF" w:rsidR="00FB03AC" w:rsidRPr="00A839DD" w:rsidRDefault="00FC151F" w:rsidP="00335714">
      <w:pPr>
        <w:pStyle w:val="Paragraphe"/>
        <w:spacing w:line="240" w:lineRule="auto"/>
        <w:jc w:val="center"/>
      </w:pPr>
      <w:r w:rsidRPr="002412E2">
        <w:rPr>
          <w:b/>
          <w:color w:val="2A73D0"/>
        </w:rPr>
        <w:lastRenderedPageBreak/>
        <w:t>Schéma</w:t>
      </w:r>
      <w:r w:rsidR="00F9183B" w:rsidRPr="002412E2">
        <w:rPr>
          <w:b/>
          <w:color w:val="2A73D0"/>
        </w:rPr>
        <w:t> </w:t>
      </w:r>
      <w:r w:rsidRPr="002412E2">
        <w:rPr>
          <w:b/>
          <w:color w:val="2A73D0"/>
        </w:rPr>
        <w:t>3</w:t>
      </w:r>
      <w:r w:rsidRPr="002412E2">
        <w:rPr>
          <w:color w:val="2A73D0"/>
        </w:rPr>
        <w:t> </w:t>
      </w:r>
      <w:r w:rsidR="00463133" w:rsidRPr="002412E2">
        <w:rPr>
          <w:color w:val="2A73D0"/>
        </w:rPr>
        <w:br/>
      </w:r>
      <w:r w:rsidRPr="002412E2">
        <w:rPr>
          <w:color w:val="2A73D0"/>
        </w:rPr>
        <w:t xml:space="preserve">Proportions de plaintes pour discrimination en emploi fondée sur l’orientation sexuelle </w:t>
      </w:r>
      <w:r w:rsidR="00463133" w:rsidRPr="002412E2">
        <w:rPr>
          <w:color w:val="2A73D0"/>
        </w:rPr>
        <w:br/>
      </w:r>
      <w:r w:rsidRPr="002412E2">
        <w:rPr>
          <w:color w:val="2A73D0"/>
        </w:rPr>
        <w:t>et l’identité ou l’expression de genre alléguant différents effets sur les personnes plaignantes</w:t>
      </w:r>
      <w:r w:rsidR="00463133" w:rsidRPr="002412E2">
        <w:rPr>
          <w:color w:val="2A73D0"/>
        </w:rPr>
        <w:br/>
      </w:r>
      <w:r w:rsidRPr="002412E2">
        <w:rPr>
          <w:color w:val="2A73D0"/>
        </w:rPr>
        <w:t xml:space="preserve"> et leur </w:t>
      </w:r>
      <w:r w:rsidR="00E6489B" w:rsidRPr="002412E2">
        <w:rPr>
          <w:color w:val="2A73D0"/>
        </w:rPr>
        <w:t>t</w:t>
      </w:r>
      <w:r w:rsidRPr="002412E2">
        <w:rPr>
          <w:color w:val="2A73D0"/>
        </w:rPr>
        <w:t>ravail dans le corpus qualitatif (1994 –</w:t>
      </w:r>
      <w:r w:rsidR="00B30485" w:rsidRPr="002412E2">
        <w:rPr>
          <w:rFonts w:ascii="Arial" w:hAnsi="Arial" w:cs="Arial"/>
          <w:color w:val="2A73D0"/>
        </w:rPr>
        <w:t> </w:t>
      </w:r>
      <w:r w:rsidRPr="002412E2">
        <w:rPr>
          <w:color w:val="2A73D0"/>
        </w:rPr>
        <w:t>2020), n = 201</w:t>
      </w:r>
      <w:r w:rsidRPr="00A839DD">
        <w:rPr>
          <w:rStyle w:val="Appelnotedebasdep"/>
        </w:rPr>
        <w:footnoteReference w:id="298"/>
      </w:r>
      <w:r w:rsidR="00FB03AC" w:rsidRPr="00A839DD">
        <w:rPr>
          <w:rFonts w:ascii="Arial" w:eastAsia="MS Mincho" w:hAnsi="Arial" w:cs="Arial"/>
          <w:bdr w:val="none" w:sz="0" w:space="0" w:color="auto" w:frame="1"/>
          <w:lang w:eastAsia="ja-JP"/>
        </w:rPr>
        <w:drawing>
          <wp:inline distT="0" distB="0" distL="0" distR="0" wp14:anchorId="286CB946" wp14:editId="2451EFA4">
            <wp:extent cx="6054519" cy="5389008"/>
            <wp:effectExtent l="0" t="0" r="3810" b="2540"/>
            <wp:docPr id="1843588813" name="Diagramme 27" descr="Quatre colonnes présentant visuellement les statistiques détaillées des effets sur les conditions de travail, des effets sur la vie personnelle, des effets sur la personne au travail et des effets sur l'éxécution du travail, qui se retrouvent dans le corps du text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52C5619" w14:textId="77777777" w:rsidR="00CB596B" w:rsidRPr="00A839DD" w:rsidRDefault="00CB596B" w:rsidP="001D3E83">
      <w:pPr>
        <w:pStyle w:val="Titre3"/>
        <w:rPr>
          <w:noProof w:val="0"/>
        </w:rPr>
      </w:pPr>
      <w:bookmarkStart w:id="166" w:name="_Toc229131332"/>
      <w:r w:rsidRPr="00A839DD">
        <w:rPr>
          <w:noProof w:val="0"/>
        </w:rPr>
        <w:lastRenderedPageBreak/>
        <w:t>Les effets sur les conditions de travail</w:t>
      </w:r>
      <w:bookmarkEnd w:id="166"/>
    </w:p>
    <w:p w14:paraId="118C2802" w14:textId="5E42E723" w:rsidR="0008075C" w:rsidRPr="00A839DD" w:rsidRDefault="0008075C" w:rsidP="0006339A">
      <w:pPr>
        <w:pStyle w:val="Paragraphe"/>
      </w:pPr>
      <w:r w:rsidRPr="00A839DD">
        <w:t xml:space="preserve">Dans 78 % des plaintes </w:t>
      </w:r>
      <w:r w:rsidR="00FE2D7D">
        <w:t>ayant fait l’objet d’une analyse qualitative</w:t>
      </w:r>
      <w:r w:rsidR="00BA2D38" w:rsidRPr="00A839DD">
        <w:t xml:space="preserve"> (n = 201)</w:t>
      </w:r>
      <w:r w:rsidRPr="00A839DD">
        <w:t>, les personnes plaignantes soutiennent que leurs conditions de travail ont été modifiées de manière injuste, voire punitive, ou qu’elles n’ont tout simplement pas été embauchées. Parmi celles-ci, plusieurs effets sont allégués :</w:t>
      </w:r>
    </w:p>
    <w:p w14:paraId="23BBE6E6" w14:textId="450B539E" w:rsidR="000010EA" w:rsidRPr="00A839DD" w:rsidRDefault="000010EA" w:rsidP="000010EA">
      <w:pPr>
        <w:pStyle w:val="puces0"/>
      </w:pPr>
      <w:r w:rsidRPr="00A839DD">
        <w:rPr>
          <w:b/>
          <w:bCs/>
        </w:rPr>
        <w:t>Perte d’emploi </w:t>
      </w:r>
      <w:r w:rsidRPr="00A839DD">
        <w:t xml:space="preserve">: Les personnes plaignantes déclarent avoir perdu leur emploi, que ce soit par voie de congédiement, licenciement, </w:t>
      </w:r>
      <w:r w:rsidR="000D4D32" w:rsidRPr="00A839DD">
        <w:t>mises</w:t>
      </w:r>
      <w:r w:rsidRPr="00A839DD">
        <w:t xml:space="preserve"> à pied, non</w:t>
      </w:r>
      <w:r w:rsidR="00FA620F">
        <w:t xml:space="preserve"> </w:t>
      </w:r>
      <w:r w:rsidRPr="00A839DD">
        <w:t>renouvellement de contrat ou demande de démission. Dans certaines plaintes, les personnes ne peuvent pas ou ne savent pas identifier la forme juridique correspondant à leur perte d’emploi. Elles s’y réfèrent d’ailleurs souvent par des expressions familières ou générales. Ces personnes sont surtout préoccupées par les conséquences de ce qui leur arrive, soit la perte de leur emploi.</w:t>
      </w:r>
    </w:p>
    <w:p w14:paraId="7A95D906" w14:textId="68609FF2" w:rsidR="000010EA" w:rsidRPr="00A839DD" w:rsidRDefault="000010EA" w:rsidP="000010EA">
      <w:pPr>
        <w:pStyle w:val="puces0"/>
      </w:pPr>
      <w:r w:rsidRPr="00A839DD">
        <w:rPr>
          <w:b/>
          <w:bCs/>
        </w:rPr>
        <w:t>Charge de travail</w:t>
      </w:r>
      <w:r w:rsidR="00577C83" w:rsidRPr="00A839DD">
        <w:t> </w:t>
      </w:r>
      <w:r w:rsidRPr="00A839DD">
        <w:t>: La personne plaignante décrit s’être fait imposer un alourdissement de ses tâches, des attentes excessives, une diminution de sa charge au point de rendre son travail insignifiant ou encore le retrait d’heures de travail. Ce changement ne serait pas explicable par des raisons organisationnelles raisonnables. Dans certains cas, des collègues limiteraient volontairement leur contribution dans le but de surcharger la personne plaignante.</w:t>
      </w:r>
    </w:p>
    <w:p w14:paraId="61B3A25B" w14:textId="1A39206B" w:rsidR="000010EA" w:rsidRPr="00A839DD" w:rsidRDefault="000010EA" w:rsidP="000010EA">
      <w:pPr>
        <w:pStyle w:val="puces0"/>
      </w:pPr>
      <w:r w:rsidRPr="00A839DD">
        <w:rPr>
          <w:b/>
          <w:bCs/>
        </w:rPr>
        <w:t>Refus d’embauche </w:t>
      </w:r>
      <w:r w:rsidRPr="00A839DD">
        <w:t xml:space="preserve">: La personne plaignante estime </w:t>
      </w:r>
      <w:r w:rsidR="00BA1AE1">
        <w:t>s’être fait r</w:t>
      </w:r>
      <w:r w:rsidR="00831E1B">
        <w:t>efuser un emploi</w:t>
      </w:r>
      <w:r w:rsidRPr="00A839DD">
        <w:t xml:space="preserve"> </w:t>
      </w:r>
      <w:r w:rsidR="000C4BA7">
        <w:t xml:space="preserve">pour </w:t>
      </w:r>
      <w:r w:rsidRPr="00A839DD">
        <w:t>des motifs discriminatoires, notamment en raison de questions sur son orientation sexuelle ou son identité de genre lors de l’entrevue ou du fait qu’une personne qu’elle estime moins qualifiée a été embauchée. Les questions discriminatoires prennent généralement appui sur l’expression de genre de la personne. Dans le cas de personnes trans, le refus suit parfois la découverte par l’employeur de discordances entre le genre indiqué sur les documents d’identité et le genre auquel s’identifie la personne plaignante.</w:t>
      </w:r>
    </w:p>
    <w:p w14:paraId="43685B8B" w14:textId="06C52A44" w:rsidR="000010EA" w:rsidRPr="00A839DD" w:rsidRDefault="000010EA" w:rsidP="000010EA">
      <w:pPr>
        <w:pStyle w:val="puces0"/>
      </w:pPr>
      <w:r w:rsidRPr="00A839DD">
        <w:rPr>
          <w:b/>
          <w:bCs/>
        </w:rPr>
        <w:t>Représailles</w:t>
      </w:r>
      <w:r w:rsidR="00577C83" w:rsidRPr="00A839DD">
        <w:t> </w:t>
      </w:r>
      <w:r w:rsidRPr="00A839DD">
        <w:t xml:space="preserve">: La personne plaignante déclare que son employeur lui a imposé des conséquences après </w:t>
      </w:r>
      <w:r w:rsidR="00073649">
        <w:t>le dépôt d’une</w:t>
      </w:r>
      <w:r w:rsidR="00636DA2">
        <w:t xml:space="preserve"> plainte ou un signalement</w:t>
      </w:r>
      <w:r w:rsidRPr="00A839DD">
        <w:t>. Cela inclut toute plainte auprès de l’employeur en raison d’un traitement considéré discriminatoire, et non seulement les plaintes adressées à la Commission des droits. La forme de représailles le plus souvent mentionnée est le congédiement.</w:t>
      </w:r>
    </w:p>
    <w:p w14:paraId="158CBF36" w14:textId="7244B128" w:rsidR="000010EA" w:rsidRPr="00A839DD" w:rsidRDefault="000010EA" w:rsidP="000010EA">
      <w:pPr>
        <w:pStyle w:val="puces0"/>
      </w:pPr>
      <w:r w:rsidRPr="00A839DD">
        <w:rPr>
          <w:b/>
          <w:bCs/>
        </w:rPr>
        <w:t>Évaluation biaisée</w:t>
      </w:r>
      <w:r w:rsidR="00577C83" w:rsidRPr="00A839DD">
        <w:t> </w:t>
      </w:r>
      <w:r w:rsidRPr="00A839DD">
        <w:t>: La personne plaignante estime que l’évaluation de son travail n'est pas fondée sur sa performance réelle ou sur la qualité de son travail, mais plutôt sur des préjugés et stéréotypes discriminatoires.</w:t>
      </w:r>
    </w:p>
    <w:p w14:paraId="53903AAE" w14:textId="1EB3C25F" w:rsidR="000010EA" w:rsidRPr="00A839DD" w:rsidRDefault="000010EA" w:rsidP="000010EA">
      <w:pPr>
        <w:pStyle w:val="puces0"/>
      </w:pPr>
      <w:r w:rsidRPr="00A839DD">
        <w:rPr>
          <w:b/>
          <w:bCs/>
        </w:rPr>
        <w:t>Refus de promotion ou d’une mutation</w:t>
      </w:r>
      <w:r w:rsidR="00577C83" w:rsidRPr="00A839DD">
        <w:rPr>
          <w:b/>
          <w:bCs/>
        </w:rPr>
        <w:t> </w:t>
      </w:r>
      <w:r w:rsidRPr="00A839DD">
        <w:t>: La personne soutient qu’elle n'a pas obtenu un poste convoité, davantage de responsabilités ou un salaire supérieur pour des raisons discriminatoires, et ce</w:t>
      </w:r>
      <w:r w:rsidR="00002CB6">
        <w:t>,</w:t>
      </w:r>
      <w:r w:rsidRPr="00A839DD">
        <w:t xml:space="preserve"> bien qu’elle estime rencontrer les conditions pour progresser dans son travail (expérience, années de travail, formation).</w:t>
      </w:r>
    </w:p>
    <w:p w14:paraId="5F280AAA" w14:textId="77777777" w:rsidR="000010EA" w:rsidRPr="00A839DD" w:rsidRDefault="000010EA" w:rsidP="000010EA">
      <w:pPr>
        <w:pStyle w:val="puces0"/>
      </w:pPr>
      <w:r w:rsidRPr="00A839DD">
        <w:rPr>
          <w:b/>
          <w:bCs/>
        </w:rPr>
        <w:lastRenderedPageBreak/>
        <w:t>Démission </w:t>
      </w:r>
      <w:r w:rsidRPr="00A839DD">
        <w:t>: La personne plaignante quitte son emploi de façon définitive en raison de la discrimination alléguée.</w:t>
      </w:r>
    </w:p>
    <w:p w14:paraId="1E2DF35A" w14:textId="6428B71D" w:rsidR="000010EA" w:rsidRPr="00A839DD" w:rsidRDefault="000010EA" w:rsidP="000010EA">
      <w:pPr>
        <w:pStyle w:val="puces0"/>
      </w:pPr>
      <w:r w:rsidRPr="00A839DD">
        <w:rPr>
          <w:b/>
          <w:bCs/>
        </w:rPr>
        <w:t>Application des conditions de travail</w:t>
      </w:r>
      <w:r w:rsidR="00577C83" w:rsidRPr="00A839DD">
        <w:t> </w:t>
      </w:r>
      <w:r w:rsidRPr="00A839DD">
        <w:t>: La personne plaignante juge que l’application de ses conditions de travail est inéquitable ou arbitraire, par exemple l’approbation des vacances et autres congés ou encore le non-paiement d’heures travaillées.</w:t>
      </w:r>
    </w:p>
    <w:p w14:paraId="63DD8422" w14:textId="3A23CA2F" w:rsidR="000010EA" w:rsidRPr="00A839DD" w:rsidRDefault="000010EA" w:rsidP="000010EA">
      <w:pPr>
        <w:pStyle w:val="puces0"/>
      </w:pPr>
      <w:r w:rsidRPr="00A839DD">
        <w:rPr>
          <w:b/>
          <w:bCs/>
        </w:rPr>
        <w:t>Sanctions disciplinaires</w:t>
      </w:r>
      <w:r w:rsidR="00577C83" w:rsidRPr="00A839DD">
        <w:t> </w:t>
      </w:r>
      <w:r w:rsidRPr="00A839DD">
        <w:t>: La personne plaignante considère qu’une sanction la visant est discriminatoire en raison de son caractère arbitraire ou injuste.</w:t>
      </w:r>
    </w:p>
    <w:p w14:paraId="4422EE48" w14:textId="2E9CC3C0" w:rsidR="000010EA" w:rsidRPr="00A839DD" w:rsidRDefault="000010EA" w:rsidP="000010EA">
      <w:pPr>
        <w:pStyle w:val="puces0"/>
      </w:pPr>
      <w:r w:rsidRPr="00A839DD">
        <w:rPr>
          <w:b/>
          <w:bCs/>
        </w:rPr>
        <w:t>Modification du travail quotidien</w:t>
      </w:r>
      <w:r w:rsidR="00577C83" w:rsidRPr="00A839DD">
        <w:t> </w:t>
      </w:r>
      <w:r w:rsidRPr="00A839DD">
        <w:t>: La personne plaignante décrit la façon dont son supérieur ou sa supérieure a modifié l’exercice quotidien de son travail, par exemple par le retrait de responsabilités ou de collaborations, une surveillance accrue ou encore l’octroi de tâches susceptibles de placer la personne en situation d’échec.</w:t>
      </w:r>
    </w:p>
    <w:p w14:paraId="4ED95288" w14:textId="77777777" w:rsidR="00EB56E6" w:rsidRPr="00A839DD" w:rsidRDefault="00EB56E6" w:rsidP="001D3E83">
      <w:pPr>
        <w:pStyle w:val="Titre3"/>
        <w:rPr>
          <w:noProof w:val="0"/>
        </w:rPr>
      </w:pPr>
      <w:bookmarkStart w:id="167" w:name="_Toc229131333"/>
      <w:r w:rsidRPr="00A839DD">
        <w:rPr>
          <w:noProof w:val="0"/>
        </w:rPr>
        <w:t>Les effets sur la personne au travail</w:t>
      </w:r>
      <w:bookmarkEnd w:id="167"/>
    </w:p>
    <w:p w14:paraId="77172E34" w14:textId="49323B99" w:rsidR="00770F59" w:rsidRPr="00A839DD" w:rsidRDefault="00770F59" w:rsidP="0006339A">
      <w:pPr>
        <w:pStyle w:val="Paragraphe"/>
      </w:pPr>
      <w:r w:rsidRPr="00A839DD">
        <w:t>Les personnes plaignantes rapportent différentes formes d’atteintes à leur bien-être au travail dans 31</w:t>
      </w:r>
      <w:r w:rsidR="00F72574">
        <w:t> </w:t>
      </w:r>
      <w:r w:rsidRPr="00A839DD">
        <w:t xml:space="preserve">% des plaintes </w:t>
      </w:r>
      <w:r w:rsidR="002C214E">
        <w:t>ayant fait l’objet d’une analyse qualitative</w:t>
      </w:r>
      <w:r w:rsidR="00BA2D38" w:rsidRPr="00A839DD">
        <w:t xml:space="preserve"> (n = 201)</w:t>
      </w:r>
      <w:r w:rsidRPr="00A839DD">
        <w:t>. Parmi celles-ci, plusieurs effets sont allégués :</w:t>
      </w:r>
    </w:p>
    <w:p w14:paraId="53184031" w14:textId="4F0E59AB" w:rsidR="00C0500B" w:rsidRPr="00A839DD" w:rsidRDefault="00C0500B" w:rsidP="00C0500B">
      <w:pPr>
        <w:pStyle w:val="puces0"/>
      </w:pPr>
      <w:r w:rsidRPr="00A839DD">
        <w:rPr>
          <w:b/>
          <w:bCs/>
        </w:rPr>
        <w:t>Angoisse, anxiété et peur</w:t>
      </w:r>
      <w:r w:rsidR="00577C83" w:rsidRPr="00A839DD">
        <w:rPr>
          <w:b/>
          <w:bCs/>
        </w:rPr>
        <w:t> </w:t>
      </w:r>
      <w:r w:rsidRPr="00A839DD">
        <w:t>: La personne exprime, de différentes façons, de la crainte à l’idée de se rendre au travail ou de croiser certaines personnes, que ce soit pour des raisons de sécurité psychologique ou physique.</w:t>
      </w:r>
    </w:p>
    <w:p w14:paraId="6463869E" w14:textId="3D3A7AA3" w:rsidR="00C0500B" w:rsidRPr="00A839DD" w:rsidRDefault="00C0500B" w:rsidP="00C0500B">
      <w:pPr>
        <w:pStyle w:val="puces0"/>
      </w:pPr>
      <w:r w:rsidRPr="00A839DD">
        <w:rPr>
          <w:b/>
          <w:bCs/>
        </w:rPr>
        <w:t>Problèmes médicaux</w:t>
      </w:r>
      <w:r w:rsidR="00577C83" w:rsidRPr="00A839DD">
        <w:t> </w:t>
      </w:r>
      <w:r w:rsidRPr="00A839DD">
        <w:t>: La personne décrit l’apparition ou l’aggravation de problèmes médicaux, généralement de santé mentale, mais aussi parfois de troubles physiques, et ce, en se fondant sur le résultat d’une consultation médicale. Ces problèmes impliquent parfois des arrêts de travail.</w:t>
      </w:r>
    </w:p>
    <w:p w14:paraId="59304E0A" w14:textId="44B8046A" w:rsidR="00C0500B" w:rsidRPr="00A839DD" w:rsidRDefault="00C0500B" w:rsidP="00C0500B">
      <w:pPr>
        <w:pStyle w:val="puces0"/>
      </w:pPr>
      <w:r w:rsidRPr="00A839DD">
        <w:rPr>
          <w:b/>
          <w:bCs/>
        </w:rPr>
        <w:t>Humiliation</w:t>
      </w:r>
      <w:r w:rsidR="00577C83" w:rsidRPr="00A839DD">
        <w:t> </w:t>
      </w:r>
      <w:r w:rsidRPr="00A839DD">
        <w:t>: La personne dit se sentir rabaissée, ridiculisée, honteuse, humiliée ou attaquée dans son estime d’elle-même.</w:t>
      </w:r>
    </w:p>
    <w:p w14:paraId="2D2EAC07" w14:textId="030CE194" w:rsidR="00C0500B" w:rsidRPr="00A839DD" w:rsidRDefault="00C0500B" w:rsidP="00C0500B">
      <w:pPr>
        <w:pStyle w:val="puces0"/>
      </w:pPr>
      <w:r w:rsidRPr="00A839DD">
        <w:rPr>
          <w:b/>
          <w:bCs/>
        </w:rPr>
        <w:t>Adaptation du comportement</w:t>
      </w:r>
      <w:r w:rsidR="00577C83" w:rsidRPr="00A839DD">
        <w:t> </w:t>
      </w:r>
      <w:r w:rsidRPr="00A839DD">
        <w:t>: La personne décrit avoir changé certaines choses au travail, comme ses habitudes, ses comportements, ses vêtements ou sa façon de s’exprimer, pour se soustraire à des manifestations d’hostilité. Certaines adaptations impliquent de cacher son orientation sexuelle ou sa transidentité.</w:t>
      </w:r>
    </w:p>
    <w:p w14:paraId="728A4C93" w14:textId="6A058655" w:rsidR="00C0500B" w:rsidRPr="00A839DD" w:rsidRDefault="00C0500B" w:rsidP="00C0500B">
      <w:pPr>
        <w:pStyle w:val="puces0"/>
      </w:pPr>
      <w:r w:rsidRPr="00A839DD">
        <w:rPr>
          <w:b/>
          <w:bCs/>
        </w:rPr>
        <w:t>Mépris</w:t>
      </w:r>
      <w:r w:rsidR="00577C83" w:rsidRPr="00A839DD">
        <w:t> </w:t>
      </w:r>
      <w:r w:rsidRPr="00A839DD">
        <w:t>: La personne décrit le sentiment qu’elle ressent face à des attitudes dévalorisantes ou hostiles de la part de collègues, de la direction ou de la clientèle.</w:t>
      </w:r>
    </w:p>
    <w:p w14:paraId="3EA8A0E8" w14:textId="11E1349F" w:rsidR="00C0500B" w:rsidRPr="00A839DD" w:rsidRDefault="00C0500B" w:rsidP="00C0500B">
      <w:pPr>
        <w:pStyle w:val="puces0"/>
      </w:pPr>
      <w:r w:rsidRPr="00A839DD">
        <w:rPr>
          <w:b/>
          <w:bCs/>
        </w:rPr>
        <w:t>Atteinte à la réputation</w:t>
      </w:r>
      <w:r w:rsidR="00577C83" w:rsidRPr="00A839DD">
        <w:t> </w:t>
      </w:r>
      <w:r w:rsidRPr="00A839DD">
        <w:t>: La personne décrit la façon dont la perception qu’ont d’elle la direction, ses collègues ou la clientèle a évolué de façon négative, par exemple sous l’effet de rumeurs, de commérages ou de la stigmatisation.</w:t>
      </w:r>
    </w:p>
    <w:p w14:paraId="59BEA3B7" w14:textId="77777777" w:rsidR="007207C5" w:rsidRPr="00A839DD" w:rsidRDefault="007207C5" w:rsidP="001D3E83">
      <w:pPr>
        <w:pStyle w:val="Titre3"/>
        <w:rPr>
          <w:noProof w:val="0"/>
        </w:rPr>
      </w:pPr>
      <w:bookmarkStart w:id="168" w:name="_Toc229131334"/>
      <w:r w:rsidRPr="00A839DD">
        <w:rPr>
          <w:noProof w:val="0"/>
        </w:rPr>
        <w:lastRenderedPageBreak/>
        <w:t>Les effets sur l’exécution du travail</w:t>
      </w:r>
      <w:bookmarkEnd w:id="168"/>
    </w:p>
    <w:p w14:paraId="3C610A71" w14:textId="0004AD85" w:rsidR="00B17E40" w:rsidRPr="00A839DD" w:rsidRDefault="00B17E40" w:rsidP="00F55C58">
      <w:pPr>
        <w:pStyle w:val="puces0"/>
      </w:pPr>
      <w:r w:rsidRPr="00A839DD">
        <w:rPr>
          <w:b/>
          <w:bCs/>
        </w:rPr>
        <w:t>Impossibilité de travailler</w:t>
      </w:r>
      <w:r w:rsidR="00577C83" w:rsidRPr="00A839DD">
        <w:t> </w:t>
      </w:r>
      <w:r w:rsidRPr="00A839DD">
        <w:t>: La personne plaignante déclare qu’elle ne peut travailler en raison de la situation qu'elle a vécue. Cela se traduit généralement par une demande d’arrêt de travail, plus ou moins long selon le cas. Il arrive aussi que la personne soit au travail mais ne puisse pas travailler ou pas à sa pleine capacité.</w:t>
      </w:r>
    </w:p>
    <w:p w14:paraId="71DA5A7A" w14:textId="5A39396F" w:rsidR="00B17E40" w:rsidRPr="00A839DD" w:rsidRDefault="00B17E40" w:rsidP="00F55C58">
      <w:pPr>
        <w:pStyle w:val="puces0"/>
      </w:pPr>
      <w:r w:rsidRPr="00A839DD">
        <w:rPr>
          <w:b/>
          <w:bCs/>
        </w:rPr>
        <w:t>Difficulté à se concentrer</w:t>
      </w:r>
      <w:r w:rsidR="00577C83" w:rsidRPr="00A839DD">
        <w:t> </w:t>
      </w:r>
      <w:r w:rsidRPr="00A839DD">
        <w:t xml:space="preserve">: La personne déclare ne pas pouvoir se concentrer sur ses tâches, voire </w:t>
      </w:r>
      <w:proofErr w:type="gramStart"/>
      <w:r w:rsidRPr="00A839DD">
        <w:t>fait</w:t>
      </w:r>
      <w:proofErr w:type="gramEnd"/>
      <w:r w:rsidRPr="00A839DD">
        <w:t xml:space="preserve"> des erreurs, à cause de la discrimination alléguée, et ce, particulièrement durant les périodes où celle-ci est vécue plus intensément.</w:t>
      </w:r>
    </w:p>
    <w:p w14:paraId="46797360" w14:textId="77777777" w:rsidR="00F55C58" w:rsidRPr="00A839DD" w:rsidRDefault="00F55C58" w:rsidP="001D3E83">
      <w:pPr>
        <w:pStyle w:val="Titre3"/>
        <w:rPr>
          <w:noProof w:val="0"/>
        </w:rPr>
      </w:pPr>
      <w:bookmarkStart w:id="169" w:name="_Toc229131335"/>
      <w:r w:rsidRPr="00A839DD">
        <w:rPr>
          <w:noProof w:val="0"/>
        </w:rPr>
        <w:t>Les effets sur la vie personnelle</w:t>
      </w:r>
      <w:bookmarkEnd w:id="169"/>
    </w:p>
    <w:p w14:paraId="4530762A" w14:textId="699C3823" w:rsidR="002F5BBA" w:rsidRPr="00A839DD" w:rsidRDefault="002F5BBA" w:rsidP="0006339A">
      <w:pPr>
        <w:pStyle w:val="Paragraphe"/>
      </w:pPr>
      <w:r w:rsidRPr="00A839DD">
        <w:t xml:space="preserve">Bien qu’il ne soit pas possible de distinguer nettement les effets sur la vie au travail de ceux sur la vie personnelle, il importe de souligner que différentes formes de répercussions des discriminations alléguées dépassent souvent le cadre professionnel et affectent parfois profondément la vie privée. C’est le cas dans 38 % des plaintes </w:t>
      </w:r>
      <w:r w:rsidR="009C2F85">
        <w:t>ayant fait l’objet de l’analyse qualitative</w:t>
      </w:r>
      <w:r w:rsidR="00BA2D38" w:rsidRPr="00A839DD">
        <w:t xml:space="preserve"> (n = 201)</w:t>
      </w:r>
      <w:r w:rsidRPr="00A839DD">
        <w:t>. Parmi celles-ci, plusieurs effets sont allégués :</w:t>
      </w:r>
    </w:p>
    <w:p w14:paraId="4A846B7C" w14:textId="77777777" w:rsidR="002E2C6B" w:rsidRPr="00A839DD" w:rsidRDefault="002E2C6B" w:rsidP="002E2C6B">
      <w:pPr>
        <w:pStyle w:val="puces0"/>
      </w:pPr>
      <w:r w:rsidRPr="00A839DD">
        <w:rPr>
          <w:b/>
          <w:bCs/>
        </w:rPr>
        <w:t>Abattement </w:t>
      </w:r>
      <w:r w:rsidRPr="00A839DD">
        <w:t>: La personne plaignante décrit se sentir triste, dévalorisée, honteuse, impuissante et sans espoir, y compris en dehors des heures de travail, en raison de la discrimination alléguée dans le cadre de son emploi. Par exemple, les personnes peuvent déclarer pleurer à répétition à la maison ou s’isoler de leurs proches. Certaines évoquent aussi les effets de l’accumulation d’expériences négatives au travail, y compris dans des emplois antérieurs.</w:t>
      </w:r>
    </w:p>
    <w:p w14:paraId="551C62A4" w14:textId="77777777" w:rsidR="002E2C6B" w:rsidRPr="00A839DD" w:rsidRDefault="002E2C6B" w:rsidP="002E2C6B">
      <w:pPr>
        <w:pStyle w:val="puces0"/>
      </w:pPr>
      <w:r w:rsidRPr="00A839DD">
        <w:rPr>
          <w:b/>
          <w:bCs/>
        </w:rPr>
        <w:t>Angoisse, anxiété et peur </w:t>
      </w:r>
      <w:r w:rsidRPr="00A839DD">
        <w:t>: La personne plaignante déclare se sentir angoissée, stressée ou craintive, y compris en dehors des heures de travail, et ce, parfois au point d’affecter sa capacité à effectuer des tâches du quotidien.</w:t>
      </w:r>
    </w:p>
    <w:p w14:paraId="3D010B50" w14:textId="34A06CA6" w:rsidR="002E2C6B" w:rsidRPr="00A839DD" w:rsidRDefault="002E2C6B" w:rsidP="002E2C6B">
      <w:pPr>
        <w:pStyle w:val="puces0"/>
      </w:pPr>
      <w:r w:rsidRPr="00A839DD">
        <w:rPr>
          <w:b/>
          <w:bCs/>
        </w:rPr>
        <w:t>Conséquences matérielles</w:t>
      </w:r>
      <w:r w:rsidR="00577C83" w:rsidRPr="00A839DD">
        <w:t> </w:t>
      </w:r>
      <w:r w:rsidRPr="00A839DD">
        <w:t>: La personne plaignante expose les conséquences matérielles auxquelles la situation dénoncée l’a exposé, au-delà de la perte de revenus qu’engendre presque inévitablement une perte d’emploi et qui n’est pas nécessairement explicitée dans les plaintes. Certaines personnes expliquent par exemple qu’elles n’ont pas eu droit à l’assurance-emploi parce que leur employeur a refusé de leur fournir un relevé d’emploi ou parce que leur départ était considéré «</w:t>
      </w:r>
      <w:r w:rsidR="002D3AE6" w:rsidRPr="00A839DD">
        <w:rPr>
          <w:rFonts w:ascii="Arial" w:hAnsi="Arial" w:cs="Arial"/>
        </w:rPr>
        <w:t> </w:t>
      </w:r>
      <w:r w:rsidRPr="00A839DD">
        <w:t>volontaire</w:t>
      </w:r>
      <w:r w:rsidR="002D3AE6" w:rsidRPr="00A839DD">
        <w:rPr>
          <w:rFonts w:ascii="Arial" w:hAnsi="Arial" w:cs="Arial"/>
        </w:rPr>
        <w:t> </w:t>
      </w:r>
      <w:r w:rsidRPr="00A839DD">
        <w:t>». D’autres insistent sur la situation de pauvreté dans laquelle elles se retrouvent à la suite de la perte de leur emploi. Pour d’autres, leur réputation a été affectée négativement dans leur industrie, nuisant à leur capacité de se trouver un nouvel emploi. Quelques personnes trans écrivent aussi que les conséquences financières subies les forcent à reporter leurs chirurgies d’affirmation de genre, ce qui ajoute à leur détresse.</w:t>
      </w:r>
    </w:p>
    <w:p w14:paraId="6C1BDED1" w14:textId="18701AB3" w:rsidR="002E2C6B" w:rsidRPr="00A839DD" w:rsidRDefault="002E2C6B" w:rsidP="002E2C6B">
      <w:pPr>
        <w:pStyle w:val="puces0"/>
      </w:pPr>
      <w:r w:rsidRPr="00A839DD">
        <w:rPr>
          <w:b/>
          <w:bCs/>
        </w:rPr>
        <w:lastRenderedPageBreak/>
        <w:t>Colère, mécontentement, irritation</w:t>
      </w:r>
      <w:r w:rsidR="00577C83" w:rsidRPr="00A839DD">
        <w:t> </w:t>
      </w:r>
      <w:r w:rsidRPr="00A839DD">
        <w:t>: La personne plaignante décrit les sentiments négatifs qui l’habitent en raison de la discrimination alléguée, y compris hors du travail. La colère ressentie traduit souvent un sentiment d’injustice.</w:t>
      </w:r>
    </w:p>
    <w:p w14:paraId="043FE134" w14:textId="77777777" w:rsidR="002E2C6B" w:rsidRPr="00A839DD" w:rsidRDefault="002E2C6B" w:rsidP="002E2C6B">
      <w:pPr>
        <w:pStyle w:val="puces0"/>
      </w:pPr>
      <w:r w:rsidRPr="00A839DD">
        <w:rPr>
          <w:b/>
          <w:bCs/>
        </w:rPr>
        <w:t>Pensées suicidaires </w:t>
      </w:r>
      <w:r w:rsidRPr="00A839DD">
        <w:t>: La personne plaignante dit avoir envisagé la possibilité de se suicider.</w:t>
      </w:r>
    </w:p>
    <w:p w14:paraId="21AF4350" w14:textId="2ECFE776" w:rsidR="002E2C6B" w:rsidRPr="00A839DD" w:rsidRDefault="002E2C6B" w:rsidP="002E2C6B">
      <w:pPr>
        <w:pStyle w:val="puces0"/>
      </w:pPr>
      <w:r w:rsidRPr="00A839DD">
        <w:rPr>
          <w:b/>
          <w:bCs/>
        </w:rPr>
        <w:t>Problèmes médicaux</w:t>
      </w:r>
      <w:r w:rsidR="00577C83" w:rsidRPr="00A839DD">
        <w:t> </w:t>
      </w:r>
      <w:r w:rsidRPr="00A839DD">
        <w:t>: La personne plaignante insiste parfois particulièrement sur les conséquences vécues hors de son milieu de travail liées à l’apparition ou l’aggravation de problèmes médicaux en raison de la discrimination alléguée. Comme mentionné précédemment, ces problèmes affectent généralement la personne au travail, mais il peut arriver que ceux-ci se répercutent sur la vie personnelle ou qu’ils y soient ressentis avec plus d’acuité.</w:t>
      </w:r>
    </w:p>
    <w:p w14:paraId="5BB6091C" w14:textId="77777777" w:rsidR="002E2C6B" w:rsidRPr="00A839DD" w:rsidRDefault="002E2C6B" w:rsidP="002E2C6B">
      <w:pPr>
        <w:pStyle w:val="puces0"/>
      </w:pPr>
      <w:r w:rsidRPr="00A839DD">
        <w:rPr>
          <w:b/>
          <w:bCs/>
        </w:rPr>
        <w:t>Insomnie </w:t>
      </w:r>
      <w:r w:rsidRPr="00A839DD">
        <w:t>: Les personnes plaignantes déclarent avoir développé des difficultés à dormir.</w:t>
      </w:r>
    </w:p>
    <w:p w14:paraId="71886816" w14:textId="11C44022" w:rsidR="002E2C6B" w:rsidRPr="00A839DD" w:rsidRDefault="002E2C6B" w:rsidP="002E2C6B">
      <w:pPr>
        <w:pStyle w:val="puces0"/>
      </w:pPr>
      <w:r w:rsidRPr="00A839DD">
        <w:rPr>
          <w:b/>
          <w:bCs/>
        </w:rPr>
        <w:t>Effets sur la vie familiale ou de couple</w:t>
      </w:r>
      <w:r w:rsidR="00577C83" w:rsidRPr="00A839DD">
        <w:t> </w:t>
      </w:r>
      <w:r w:rsidRPr="00A839DD">
        <w:t>: Dans quelques cas, la personne plaignante décrit la façon dont la discrimination alléguée a perturbé son couple ou sa vie familiale, généralement en raison des conséquences financières ou émotionnelles engendrées par la situation dénoncée.</w:t>
      </w:r>
    </w:p>
    <w:p w14:paraId="735D35EA" w14:textId="6D7C1D39" w:rsidR="0080529A" w:rsidRDefault="002E29A8" w:rsidP="002E29A8">
      <w:pPr>
        <w:jc w:val="center"/>
      </w:pPr>
      <w:r>
        <w:t>-----------------------------</w:t>
      </w:r>
    </w:p>
    <w:p w14:paraId="16A2C5F6" w14:textId="1A2E0AB3" w:rsidR="00E10F63" w:rsidRPr="00A839DD" w:rsidRDefault="00E10F63" w:rsidP="0006339A">
      <w:pPr>
        <w:pStyle w:val="Paragraphe"/>
      </w:pPr>
      <w:r w:rsidRPr="00A839DD">
        <w:t>Les effets des situations de discrimination dénoncées par les personnes LGBTQ+ sont parfois ponctuels, mais ils peuvent aussi être profonds, multiformes et systémiques. Ils compromettent non seulement la santé mentale et physique des individus, mais aussi leur stabilité professionnelle, économique et sociale. Comme le démontrent plusieurs études, au Canada comme ailleurs</w:t>
      </w:r>
      <w:r w:rsidRPr="00A839DD">
        <w:rPr>
          <w:rStyle w:val="Appelnotedebasdep"/>
        </w:rPr>
        <w:footnoteReference w:id="299"/>
      </w:r>
      <w:r w:rsidRPr="00A839DD">
        <w:t>, ces discriminations engendrent un climat de travail hostile, favorisent l’invisibilisation de la diversité sexuelle et de genre, et peuvent mener à l’isolement, à la détresse psychologique, à une baisse de performance au travail et à des pertes d’emploi. Ces impacts peuvent s’étendre au-delà du lieu de travail, affectant les relations interpersonnelles, le bien-être général et la sécurité économique des personnes concernées</w:t>
      </w:r>
      <w:r w:rsidRPr="00A839DD">
        <w:rPr>
          <w:rStyle w:val="Appelnotedebasdep"/>
        </w:rPr>
        <w:footnoteReference w:id="300"/>
      </w:r>
      <w:r w:rsidRPr="00A839DD">
        <w:t>.</w:t>
      </w:r>
    </w:p>
    <w:p w14:paraId="7D911EC4" w14:textId="77777777" w:rsidR="00E10F63" w:rsidRPr="00A839DD" w:rsidRDefault="00E10F63" w:rsidP="0006339A">
      <w:pPr>
        <w:pStyle w:val="Paragraphe"/>
      </w:pPr>
      <w:r w:rsidRPr="00A839DD">
        <w:t>Les conséquences des situations de discrimination alléguées exposent de possibles atteintes aux droits garantis par la Charte, notamment les droits à la sûreté, à l’intégrité, à la liberté d’expression, à la sauvegarde de sa dignité et de sa réputation, au respect de sa vie privée, à l’égalité, à des conditions de travail justes et raisonnables et qui respectent sa santé, sa sécurité et son intégrité physique.</w:t>
      </w:r>
    </w:p>
    <w:p w14:paraId="42A119BB" w14:textId="701D6E10" w:rsidR="00DC5F5B" w:rsidRPr="00A839DD" w:rsidRDefault="00DC5F5B" w:rsidP="00C56A88">
      <w:pPr>
        <w:pStyle w:val="Titre1"/>
        <w:rPr>
          <w:noProof w:val="0"/>
        </w:rPr>
      </w:pPr>
      <w:bookmarkStart w:id="170" w:name="_Toc215748737"/>
      <w:bookmarkStart w:id="171" w:name="_Toc229131336"/>
      <w:r w:rsidRPr="00A839DD">
        <w:rPr>
          <w:noProof w:val="0"/>
        </w:rPr>
        <w:lastRenderedPageBreak/>
        <w:t>Les motifs de fermeture des dossiers</w:t>
      </w:r>
      <w:bookmarkEnd w:id="170"/>
      <w:bookmarkEnd w:id="171"/>
      <w:r w:rsidRPr="00A839DD">
        <w:rPr>
          <w:noProof w:val="0"/>
        </w:rPr>
        <w:t xml:space="preserve"> </w:t>
      </w:r>
    </w:p>
    <w:p w14:paraId="347FD970" w14:textId="2EA4EF65" w:rsidR="00184C51" w:rsidRPr="00A839DD" w:rsidRDefault="0067252E" w:rsidP="0006339A">
      <w:pPr>
        <w:pStyle w:val="Paragraphe"/>
      </w:pPr>
      <w:r w:rsidRPr="00A839DD">
        <w:t xml:space="preserve">Les plaintes adressées à la Commission </w:t>
      </w:r>
      <w:r w:rsidR="00DD28AA" w:rsidRPr="00A839DD">
        <w:t xml:space="preserve">peuvent se conclure </w:t>
      </w:r>
      <w:r w:rsidR="00CC02A0" w:rsidRPr="00A839DD">
        <w:t>de différentes façons.</w:t>
      </w:r>
      <w:r w:rsidR="00DD28AA" w:rsidRPr="00A839DD">
        <w:t xml:space="preserve"> L</w:t>
      </w:r>
      <w:r w:rsidR="00550D9C" w:rsidRPr="00A839DD">
        <w:t>a</w:t>
      </w:r>
      <w:r w:rsidR="00DD28AA" w:rsidRPr="00A839DD">
        <w:t xml:space="preserve"> trajectoire </w:t>
      </w:r>
      <w:r w:rsidR="00550D9C" w:rsidRPr="00A839DD">
        <w:t>d’un dossier dépend</w:t>
      </w:r>
      <w:r w:rsidR="00766658" w:rsidRPr="00A839DD">
        <w:t xml:space="preserve"> </w:t>
      </w:r>
      <w:r w:rsidR="00550D9C" w:rsidRPr="00A839DD">
        <w:t>d’</w:t>
      </w:r>
      <w:r w:rsidR="00CC02A0" w:rsidRPr="00A839DD">
        <w:t xml:space="preserve">une grande diversité de facteurs, comme </w:t>
      </w:r>
      <w:r w:rsidR="007D2C16" w:rsidRPr="00A839DD">
        <w:t xml:space="preserve">la nature des faits allégués, la qualité de la preuve, </w:t>
      </w:r>
      <w:r w:rsidR="0058710A" w:rsidRPr="00A839DD">
        <w:t>l’évolution des</w:t>
      </w:r>
      <w:r w:rsidR="007D2C16" w:rsidRPr="00A839DD">
        <w:t xml:space="preserve"> souhaits </w:t>
      </w:r>
      <w:r w:rsidR="0058710A" w:rsidRPr="00A839DD">
        <w:t xml:space="preserve">et attentes </w:t>
      </w:r>
      <w:r w:rsidR="007D2C16" w:rsidRPr="00A839DD">
        <w:t xml:space="preserve">de la personne plaignante </w:t>
      </w:r>
      <w:r w:rsidR="003B0C28" w:rsidRPr="00A839DD">
        <w:t>au</w:t>
      </w:r>
      <w:r w:rsidR="007D2C16" w:rsidRPr="00A839DD">
        <w:t xml:space="preserve"> cours </w:t>
      </w:r>
      <w:r w:rsidR="003B0C28" w:rsidRPr="00A839DD">
        <w:t xml:space="preserve">du traitement </w:t>
      </w:r>
      <w:r w:rsidR="007D2C16" w:rsidRPr="00A839DD">
        <w:t xml:space="preserve">de </w:t>
      </w:r>
      <w:r w:rsidR="003B0C28" w:rsidRPr="00A839DD">
        <w:t>la plainte</w:t>
      </w:r>
      <w:r w:rsidR="007D2C16" w:rsidRPr="00A839DD">
        <w:t xml:space="preserve">, </w:t>
      </w:r>
      <w:r w:rsidR="005E5857" w:rsidRPr="00A839DD">
        <w:t>l</w:t>
      </w:r>
      <w:r w:rsidR="00ED105D" w:rsidRPr="00A839DD">
        <w:t>a volonté</w:t>
      </w:r>
      <w:r w:rsidR="005E5857" w:rsidRPr="00A839DD">
        <w:t xml:space="preserve"> des parties d</w:t>
      </w:r>
      <w:r w:rsidR="00E705A3" w:rsidRPr="00A839DD">
        <w:t>’</w:t>
      </w:r>
      <w:r w:rsidR="00ED105D" w:rsidRPr="00A839DD">
        <w:t>avoir recours à</w:t>
      </w:r>
      <w:r w:rsidR="00E705A3" w:rsidRPr="00A839DD">
        <w:t xml:space="preserve"> la médiation, </w:t>
      </w:r>
      <w:r w:rsidR="00ED105D" w:rsidRPr="00A839DD">
        <w:t xml:space="preserve">ainsi que </w:t>
      </w:r>
      <w:r w:rsidR="001C74F3" w:rsidRPr="00A839DD">
        <w:t xml:space="preserve">les obligations juridiques </w:t>
      </w:r>
      <w:r w:rsidR="003A37C1" w:rsidRPr="00A839DD">
        <w:t xml:space="preserve">qui encadrent le rôle </w:t>
      </w:r>
      <w:r w:rsidR="001C74F3" w:rsidRPr="00A839DD">
        <w:t>de la Commission</w:t>
      </w:r>
      <w:r w:rsidR="00E705A3" w:rsidRPr="00A839DD">
        <w:t>.</w:t>
      </w:r>
    </w:p>
    <w:p w14:paraId="340FCF2B" w14:textId="61C172F2" w:rsidR="00B80569" w:rsidRPr="00A839DD" w:rsidRDefault="00B80569" w:rsidP="0006339A">
      <w:pPr>
        <w:pStyle w:val="Paragraphe"/>
      </w:pPr>
      <w:r w:rsidRPr="00A839DD">
        <w:t>Le tableau 9 expose la diversité des scénarios de fermeture de dossiers de plaintes</w:t>
      </w:r>
      <w:r w:rsidR="005F7F72" w:rsidRPr="00A839DD">
        <w:t xml:space="preserve"> pour discrimination en emploi fondée sur l’orientation sexuelle et l’identité ou l’expression de genre</w:t>
      </w:r>
      <w:r w:rsidRPr="00A839DD">
        <w:t xml:space="preserve">. Il porte uniquement sur les plaintes </w:t>
      </w:r>
      <w:r w:rsidR="00787F7C" w:rsidRPr="00A839DD">
        <w:t>traitées</w:t>
      </w:r>
      <w:r w:rsidRPr="00A839DD">
        <w:t xml:space="preserve"> au cours des cinq dernières années. En effet, au-delà de cette période, l’évolution de la catégorisation administrative des motifs de fermeture rend difficile la comparaison des données.</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6A0" w:firstRow="1" w:lastRow="0" w:firstColumn="1" w:lastColumn="0" w:noHBand="1" w:noVBand="1"/>
      </w:tblPr>
      <w:tblGrid>
        <w:gridCol w:w="4045"/>
        <w:gridCol w:w="918"/>
        <w:gridCol w:w="918"/>
        <w:gridCol w:w="918"/>
        <w:gridCol w:w="918"/>
        <w:gridCol w:w="918"/>
        <w:gridCol w:w="906"/>
      </w:tblGrid>
      <w:tr w:rsidR="00BC72C6" w:rsidRPr="00DF0782" w14:paraId="0E0E0644" w14:textId="77777777" w:rsidTr="00417C13">
        <w:trPr>
          <w:trHeight w:val="282"/>
          <w:jc w:val="center"/>
        </w:trPr>
        <w:tc>
          <w:tcPr>
            <w:tcW w:w="9541" w:type="dxa"/>
            <w:gridSpan w:val="7"/>
            <w:shd w:val="clear" w:color="auto" w:fill="953D89"/>
            <w:tcMar>
              <w:top w:w="15" w:type="dxa"/>
              <w:left w:w="15" w:type="dxa"/>
              <w:right w:w="15" w:type="dxa"/>
            </w:tcMar>
            <w:vAlign w:val="bottom"/>
          </w:tcPr>
          <w:p w14:paraId="4C1661D9" w14:textId="77777777" w:rsidR="00BC72C6" w:rsidRPr="007C4037" w:rsidRDefault="00BC72C6" w:rsidP="00BC72C6">
            <w:pPr>
              <w:jc w:val="center"/>
              <w:rPr>
                <w:rFonts w:eastAsia="Times New Roman" w:cs="Calibri"/>
                <w:b/>
                <w:color w:val="F2F2F2" w:themeColor="background1" w:themeShade="F2"/>
                <w:sz w:val="20"/>
                <w:szCs w:val="20"/>
                <w:lang w:eastAsia="fr-CA"/>
              </w:rPr>
            </w:pPr>
            <w:r w:rsidRPr="007C4037">
              <w:rPr>
                <w:rFonts w:eastAsia="Times New Roman" w:cs="Calibri"/>
                <w:b/>
                <w:color w:val="F2F2F2" w:themeColor="background1" w:themeShade="F2"/>
                <w:sz w:val="20"/>
                <w:szCs w:val="20"/>
                <w:lang w:eastAsia="fr-CA"/>
              </w:rPr>
              <w:t>Tableau 9</w:t>
            </w:r>
          </w:p>
          <w:p w14:paraId="5EC6DCB5" w14:textId="44A79581" w:rsidR="00BC72C6" w:rsidRPr="007C4037" w:rsidRDefault="00BC72C6" w:rsidP="00BC72C6">
            <w:pPr>
              <w:jc w:val="center"/>
              <w:rPr>
                <w:rFonts w:eastAsia="Aptos Narrow" w:cs="Aptos Narrow"/>
                <w:color w:val="FFFFFF" w:themeColor="background1"/>
                <w:sz w:val="20"/>
                <w:szCs w:val="20"/>
              </w:rPr>
            </w:pPr>
            <w:r w:rsidRPr="007C4037">
              <w:rPr>
                <w:rFonts w:eastAsia="Times New Roman" w:cs="Calibri"/>
                <w:color w:val="F2F2F2" w:themeColor="background1" w:themeShade="F2"/>
                <w:sz w:val="20"/>
                <w:szCs w:val="20"/>
                <w:lang w:eastAsia="fr-CA"/>
              </w:rPr>
              <w:t>Motifs de fermeture pour les dossiers ouverts pour discrimination</w:t>
            </w:r>
            <w:r w:rsidR="00DF0782" w:rsidRPr="007C4037">
              <w:rPr>
                <w:rFonts w:eastAsia="Times New Roman" w:cs="Calibri"/>
                <w:color w:val="F2F2F2" w:themeColor="background1" w:themeShade="F2"/>
                <w:sz w:val="20"/>
                <w:szCs w:val="20"/>
                <w:lang w:eastAsia="fr-CA"/>
              </w:rPr>
              <w:br/>
            </w:r>
            <w:r w:rsidRPr="007C4037">
              <w:rPr>
                <w:rFonts w:eastAsia="Times New Roman" w:cs="Calibri"/>
                <w:color w:val="F2F2F2" w:themeColor="background1" w:themeShade="F2"/>
                <w:sz w:val="20"/>
                <w:szCs w:val="20"/>
                <w:lang w:eastAsia="fr-CA"/>
              </w:rPr>
              <w:t xml:space="preserve">en emploi fondée sur l’orientation sexuelle et </w:t>
            </w:r>
            <w:r w:rsidR="00DF0782" w:rsidRPr="007C4037">
              <w:rPr>
                <w:rFonts w:eastAsia="Times New Roman" w:cs="Calibri"/>
                <w:color w:val="F2F2F2" w:themeColor="background1" w:themeShade="F2"/>
                <w:sz w:val="20"/>
                <w:szCs w:val="20"/>
                <w:lang w:eastAsia="fr-CA"/>
              </w:rPr>
              <w:br/>
            </w:r>
            <w:r w:rsidRPr="007C4037">
              <w:rPr>
                <w:rFonts w:eastAsia="Times New Roman" w:cs="Calibri"/>
                <w:color w:val="F2F2F2" w:themeColor="background1" w:themeShade="F2"/>
                <w:sz w:val="20"/>
                <w:szCs w:val="20"/>
                <w:lang w:eastAsia="fr-CA"/>
              </w:rPr>
              <w:t>l’identité ou l’expression de genre</w:t>
            </w:r>
            <w:r w:rsidRPr="007C4037">
              <w:rPr>
                <w:rFonts w:eastAsia="Times New Roman" w:cs="Calibri"/>
                <w:color w:val="F2F2F2" w:themeColor="background1" w:themeShade="F2"/>
                <w:sz w:val="20"/>
                <w:szCs w:val="20"/>
                <w:lang w:eastAsia="fr-CA"/>
              </w:rPr>
              <w:br/>
              <w:t>1</w:t>
            </w:r>
            <w:r w:rsidRPr="007C4037">
              <w:rPr>
                <w:rFonts w:eastAsia="Times New Roman" w:cs="Calibri"/>
                <w:color w:val="F2F2F2" w:themeColor="background1" w:themeShade="F2"/>
                <w:sz w:val="20"/>
                <w:szCs w:val="20"/>
                <w:vertAlign w:val="superscript"/>
                <w:lang w:eastAsia="fr-CA"/>
              </w:rPr>
              <w:t>er</w:t>
            </w:r>
            <w:r w:rsidR="00750B1D">
              <w:rPr>
                <w:rFonts w:eastAsia="Times New Roman" w:cs="Calibri"/>
                <w:bCs/>
                <w:color w:val="F2F2F2" w:themeColor="background1" w:themeShade="F2"/>
                <w:sz w:val="20"/>
                <w:szCs w:val="20"/>
                <w:lang w:eastAsia="fr-CA"/>
              </w:rPr>
              <w:t> </w:t>
            </w:r>
            <w:r w:rsidRPr="007C4037">
              <w:rPr>
                <w:rFonts w:eastAsia="Times New Roman" w:cs="Calibri"/>
                <w:color w:val="F2F2F2" w:themeColor="background1" w:themeShade="F2"/>
                <w:sz w:val="20"/>
                <w:szCs w:val="20"/>
                <w:lang w:eastAsia="fr-CA"/>
              </w:rPr>
              <w:t>janvier 2021 au 31</w:t>
            </w:r>
            <w:r w:rsidR="00750B1D">
              <w:rPr>
                <w:rFonts w:eastAsia="Times New Roman" w:cs="Calibri"/>
                <w:bCs/>
                <w:color w:val="F2F2F2" w:themeColor="background1" w:themeShade="F2"/>
                <w:sz w:val="20"/>
                <w:szCs w:val="20"/>
                <w:lang w:eastAsia="fr-CA"/>
              </w:rPr>
              <w:t> </w:t>
            </w:r>
            <w:r w:rsidRPr="007C4037">
              <w:rPr>
                <w:rFonts w:eastAsia="Times New Roman" w:cs="Calibri"/>
                <w:color w:val="F2F2F2" w:themeColor="background1" w:themeShade="F2"/>
                <w:sz w:val="20"/>
                <w:szCs w:val="20"/>
                <w:lang w:eastAsia="fr-CA"/>
              </w:rPr>
              <w:t>décembre 2025</w:t>
            </w:r>
          </w:p>
        </w:tc>
      </w:tr>
      <w:tr w:rsidR="00B92D8F" w:rsidRPr="00DF0782" w14:paraId="48C69CA6" w14:textId="77777777" w:rsidTr="00417C13">
        <w:trPr>
          <w:trHeight w:val="445"/>
          <w:jc w:val="center"/>
        </w:trPr>
        <w:tc>
          <w:tcPr>
            <w:tcW w:w="4045" w:type="dxa"/>
            <w:shd w:val="clear" w:color="auto" w:fill="0E2841"/>
            <w:tcMar>
              <w:top w:w="15" w:type="dxa"/>
              <w:left w:w="15" w:type="dxa"/>
              <w:right w:w="15" w:type="dxa"/>
            </w:tcMar>
            <w:vAlign w:val="bottom"/>
          </w:tcPr>
          <w:p w14:paraId="6C9FFA62" w14:textId="77777777" w:rsidR="00B92D8F" w:rsidRPr="007C4037" w:rsidRDefault="00B92D8F">
            <w:pPr>
              <w:jc w:val="center"/>
              <w:rPr>
                <w:b/>
                <w:sz w:val="20"/>
                <w:szCs w:val="20"/>
              </w:rPr>
            </w:pPr>
            <w:r w:rsidRPr="007C4037">
              <w:rPr>
                <w:rFonts w:eastAsia="Aptos Narrow" w:cs="Aptos Narrow"/>
                <w:b/>
                <w:color w:val="FFFFFF" w:themeColor="background1"/>
                <w:sz w:val="20"/>
                <w:szCs w:val="20"/>
              </w:rPr>
              <w:t>Motifs de fermeture des dossiers</w:t>
            </w:r>
          </w:p>
        </w:tc>
        <w:tc>
          <w:tcPr>
            <w:tcW w:w="918" w:type="dxa"/>
            <w:shd w:val="clear" w:color="auto" w:fill="0E2841"/>
            <w:tcMar>
              <w:top w:w="15" w:type="dxa"/>
              <w:left w:w="15" w:type="dxa"/>
              <w:right w:w="15" w:type="dxa"/>
            </w:tcMar>
            <w:vAlign w:val="center"/>
          </w:tcPr>
          <w:p w14:paraId="505564E2" w14:textId="77777777" w:rsidR="00B92D8F" w:rsidRPr="007C4037" w:rsidRDefault="00B92D8F">
            <w:pPr>
              <w:jc w:val="center"/>
              <w:rPr>
                <w:b/>
                <w:sz w:val="20"/>
                <w:szCs w:val="20"/>
              </w:rPr>
            </w:pPr>
            <w:r w:rsidRPr="007C4037">
              <w:rPr>
                <w:rFonts w:eastAsia="Aptos Narrow" w:cs="Aptos Narrow"/>
                <w:b/>
                <w:color w:val="FFFFFF" w:themeColor="background1"/>
                <w:sz w:val="20"/>
                <w:szCs w:val="20"/>
              </w:rPr>
              <w:t>2021</w:t>
            </w:r>
          </w:p>
        </w:tc>
        <w:tc>
          <w:tcPr>
            <w:tcW w:w="918" w:type="dxa"/>
            <w:shd w:val="clear" w:color="auto" w:fill="0E2841"/>
            <w:tcMar>
              <w:top w:w="15" w:type="dxa"/>
              <w:left w:w="15" w:type="dxa"/>
              <w:right w:w="15" w:type="dxa"/>
            </w:tcMar>
            <w:vAlign w:val="center"/>
          </w:tcPr>
          <w:p w14:paraId="770BFF80" w14:textId="77777777" w:rsidR="00B92D8F" w:rsidRPr="007C4037" w:rsidRDefault="00B92D8F">
            <w:pPr>
              <w:jc w:val="center"/>
              <w:rPr>
                <w:b/>
                <w:sz w:val="20"/>
                <w:szCs w:val="20"/>
              </w:rPr>
            </w:pPr>
            <w:r w:rsidRPr="007C4037">
              <w:rPr>
                <w:rFonts w:eastAsia="Aptos Narrow" w:cs="Aptos Narrow"/>
                <w:b/>
                <w:color w:val="FFFFFF" w:themeColor="background1"/>
                <w:sz w:val="20"/>
                <w:szCs w:val="20"/>
              </w:rPr>
              <w:t>2022</w:t>
            </w:r>
          </w:p>
        </w:tc>
        <w:tc>
          <w:tcPr>
            <w:tcW w:w="918" w:type="dxa"/>
            <w:shd w:val="clear" w:color="auto" w:fill="0E2841"/>
            <w:tcMar>
              <w:top w:w="15" w:type="dxa"/>
              <w:left w:w="15" w:type="dxa"/>
              <w:right w:w="15" w:type="dxa"/>
            </w:tcMar>
            <w:vAlign w:val="center"/>
          </w:tcPr>
          <w:p w14:paraId="2255C3B1" w14:textId="77777777" w:rsidR="00B92D8F" w:rsidRPr="007C4037" w:rsidRDefault="00B92D8F">
            <w:pPr>
              <w:jc w:val="center"/>
              <w:rPr>
                <w:b/>
                <w:sz w:val="20"/>
                <w:szCs w:val="20"/>
              </w:rPr>
            </w:pPr>
            <w:r w:rsidRPr="007C4037">
              <w:rPr>
                <w:rFonts w:eastAsia="Aptos Narrow" w:cs="Aptos Narrow"/>
                <w:b/>
                <w:color w:val="FFFFFF" w:themeColor="background1"/>
                <w:sz w:val="20"/>
                <w:szCs w:val="20"/>
              </w:rPr>
              <w:t>2023</w:t>
            </w:r>
          </w:p>
        </w:tc>
        <w:tc>
          <w:tcPr>
            <w:tcW w:w="918" w:type="dxa"/>
            <w:shd w:val="clear" w:color="auto" w:fill="0E2841"/>
            <w:tcMar>
              <w:top w:w="15" w:type="dxa"/>
              <w:left w:w="15" w:type="dxa"/>
              <w:right w:w="15" w:type="dxa"/>
            </w:tcMar>
            <w:vAlign w:val="center"/>
          </w:tcPr>
          <w:p w14:paraId="4F41303F" w14:textId="77777777" w:rsidR="00B92D8F" w:rsidRPr="007C4037" w:rsidRDefault="00B92D8F">
            <w:pPr>
              <w:jc w:val="center"/>
              <w:rPr>
                <w:b/>
                <w:sz w:val="20"/>
                <w:szCs w:val="20"/>
              </w:rPr>
            </w:pPr>
            <w:r w:rsidRPr="007C4037">
              <w:rPr>
                <w:rFonts w:eastAsia="Aptos Narrow" w:cs="Aptos Narrow"/>
                <w:b/>
                <w:color w:val="FFFFFF" w:themeColor="background1"/>
                <w:sz w:val="20"/>
                <w:szCs w:val="20"/>
              </w:rPr>
              <w:t>2024</w:t>
            </w:r>
          </w:p>
        </w:tc>
        <w:tc>
          <w:tcPr>
            <w:tcW w:w="918" w:type="dxa"/>
            <w:shd w:val="clear" w:color="auto" w:fill="0E2841"/>
            <w:tcMar>
              <w:top w:w="15" w:type="dxa"/>
              <w:left w:w="15" w:type="dxa"/>
              <w:right w:w="15" w:type="dxa"/>
            </w:tcMar>
            <w:vAlign w:val="center"/>
          </w:tcPr>
          <w:p w14:paraId="12E4BDA7" w14:textId="77777777" w:rsidR="00B92D8F" w:rsidRPr="007C4037" w:rsidRDefault="00B92D8F">
            <w:pPr>
              <w:jc w:val="center"/>
              <w:rPr>
                <w:b/>
                <w:sz w:val="20"/>
                <w:szCs w:val="20"/>
              </w:rPr>
            </w:pPr>
            <w:r w:rsidRPr="007C4037">
              <w:rPr>
                <w:rFonts w:eastAsia="Aptos Narrow" w:cs="Aptos Narrow"/>
                <w:b/>
                <w:color w:val="FFFFFF" w:themeColor="background1"/>
                <w:sz w:val="20"/>
                <w:szCs w:val="20"/>
              </w:rPr>
              <w:t>2025</w:t>
            </w:r>
          </w:p>
        </w:tc>
        <w:tc>
          <w:tcPr>
            <w:tcW w:w="903" w:type="dxa"/>
            <w:shd w:val="clear" w:color="auto" w:fill="0E2841"/>
            <w:tcMar>
              <w:top w:w="15" w:type="dxa"/>
              <w:left w:w="15" w:type="dxa"/>
              <w:right w:w="15" w:type="dxa"/>
            </w:tcMar>
            <w:vAlign w:val="center"/>
          </w:tcPr>
          <w:p w14:paraId="6C4C5E32" w14:textId="77777777" w:rsidR="00B92D8F" w:rsidRPr="007C4037" w:rsidRDefault="00B92D8F">
            <w:pPr>
              <w:jc w:val="center"/>
              <w:rPr>
                <w:b/>
                <w:sz w:val="20"/>
                <w:szCs w:val="20"/>
              </w:rPr>
            </w:pPr>
            <w:r w:rsidRPr="007C4037">
              <w:rPr>
                <w:rFonts w:eastAsia="Aptos Narrow" w:cs="Aptos Narrow"/>
                <w:b/>
                <w:color w:val="FFFFFF" w:themeColor="background1"/>
                <w:sz w:val="20"/>
                <w:szCs w:val="20"/>
              </w:rPr>
              <w:t>Total</w:t>
            </w:r>
          </w:p>
        </w:tc>
      </w:tr>
      <w:tr w:rsidR="00B92D8F" w:rsidRPr="00DF0782" w14:paraId="3BC46973" w14:textId="77777777" w:rsidTr="003D1913">
        <w:trPr>
          <w:trHeight w:val="282"/>
          <w:jc w:val="center"/>
        </w:trPr>
        <w:tc>
          <w:tcPr>
            <w:tcW w:w="4045" w:type="dxa"/>
            <w:shd w:val="clear" w:color="auto" w:fill="E3ECF9"/>
            <w:tcMar>
              <w:top w:w="15" w:type="dxa"/>
              <w:left w:w="15" w:type="dxa"/>
              <w:right w:w="15" w:type="dxa"/>
            </w:tcMar>
            <w:vAlign w:val="center"/>
          </w:tcPr>
          <w:p w14:paraId="06746925" w14:textId="77777777" w:rsidR="00B92D8F" w:rsidRPr="007C4037" w:rsidRDefault="00B92D8F" w:rsidP="003D1913">
            <w:pPr>
              <w:ind w:left="118"/>
              <w:rPr>
                <w:sz w:val="20"/>
                <w:szCs w:val="20"/>
              </w:rPr>
            </w:pPr>
            <w:r w:rsidRPr="007C4037">
              <w:rPr>
                <w:rFonts w:eastAsia="Aptos Narrow" w:cs="Aptos Narrow"/>
                <w:b/>
                <w:color w:val="000000" w:themeColor="text1"/>
                <w:sz w:val="20"/>
                <w:szCs w:val="20"/>
              </w:rPr>
              <w:t xml:space="preserve">Non recevable </w:t>
            </w:r>
          </w:p>
        </w:tc>
        <w:tc>
          <w:tcPr>
            <w:tcW w:w="918" w:type="dxa"/>
            <w:shd w:val="clear" w:color="auto" w:fill="E3ECF9"/>
            <w:tcMar>
              <w:top w:w="15" w:type="dxa"/>
              <w:left w:w="15" w:type="dxa"/>
              <w:right w:w="15" w:type="dxa"/>
            </w:tcMar>
            <w:vAlign w:val="center"/>
          </w:tcPr>
          <w:p w14:paraId="3AF265F1" w14:textId="77777777" w:rsidR="00B92D8F" w:rsidRPr="007C4037" w:rsidRDefault="00B92D8F">
            <w:pPr>
              <w:jc w:val="center"/>
              <w:rPr>
                <w:sz w:val="20"/>
                <w:szCs w:val="20"/>
              </w:rPr>
            </w:pPr>
            <w:r w:rsidRPr="007C4037">
              <w:rPr>
                <w:rFonts w:eastAsia="Aptos Narrow" w:cs="Aptos Narrow"/>
                <w:b/>
                <w:color w:val="000000" w:themeColor="text1"/>
                <w:sz w:val="20"/>
                <w:szCs w:val="20"/>
              </w:rPr>
              <w:t>6</w:t>
            </w:r>
          </w:p>
        </w:tc>
        <w:tc>
          <w:tcPr>
            <w:tcW w:w="918" w:type="dxa"/>
            <w:shd w:val="clear" w:color="auto" w:fill="E3ECF9"/>
            <w:tcMar>
              <w:top w:w="15" w:type="dxa"/>
              <w:left w:w="15" w:type="dxa"/>
              <w:right w:w="15" w:type="dxa"/>
            </w:tcMar>
            <w:vAlign w:val="center"/>
          </w:tcPr>
          <w:p w14:paraId="003D9C8E" w14:textId="77777777" w:rsidR="00B92D8F" w:rsidRPr="007C4037" w:rsidRDefault="00B92D8F">
            <w:pPr>
              <w:jc w:val="center"/>
              <w:rPr>
                <w:sz w:val="20"/>
                <w:szCs w:val="20"/>
              </w:rPr>
            </w:pPr>
            <w:r w:rsidRPr="007C4037">
              <w:rPr>
                <w:rFonts w:eastAsia="Aptos Narrow" w:cs="Aptos Narrow"/>
                <w:b/>
                <w:color w:val="000000" w:themeColor="text1"/>
                <w:sz w:val="20"/>
                <w:szCs w:val="20"/>
              </w:rPr>
              <w:t>1</w:t>
            </w:r>
          </w:p>
        </w:tc>
        <w:tc>
          <w:tcPr>
            <w:tcW w:w="918" w:type="dxa"/>
            <w:shd w:val="clear" w:color="auto" w:fill="E3ECF9"/>
            <w:tcMar>
              <w:top w:w="15" w:type="dxa"/>
              <w:left w:w="15" w:type="dxa"/>
              <w:right w:w="15" w:type="dxa"/>
            </w:tcMar>
            <w:vAlign w:val="center"/>
          </w:tcPr>
          <w:p w14:paraId="56ABAA6F" w14:textId="77777777" w:rsidR="00B92D8F" w:rsidRPr="007C4037" w:rsidRDefault="00B92D8F">
            <w:pPr>
              <w:jc w:val="center"/>
              <w:rPr>
                <w:sz w:val="20"/>
                <w:szCs w:val="20"/>
              </w:rPr>
            </w:pPr>
            <w:r w:rsidRPr="007C4037">
              <w:rPr>
                <w:rFonts w:eastAsia="Aptos Narrow" w:cs="Aptos Narrow"/>
                <w:b/>
                <w:color w:val="000000" w:themeColor="text1"/>
                <w:sz w:val="20"/>
                <w:szCs w:val="20"/>
              </w:rPr>
              <w:t>10</w:t>
            </w:r>
          </w:p>
        </w:tc>
        <w:tc>
          <w:tcPr>
            <w:tcW w:w="918" w:type="dxa"/>
            <w:shd w:val="clear" w:color="auto" w:fill="E3ECF9"/>
            <w:tcMar>
              <w:top w:w="15" w:type="dxa"/>
              <w:left w:w="15" w:type="dxa"/>
              <w:right w:w="15" w:type="dxa"/>
            </w:tcMar>
            <w:vAlign w:val="center"/>
          </w:tcPr>
          <w:p w14:paraId="12B63CAB" w14:textId="77777777" w:rsidR="00B92D8F" w:rsidRPr="007C4037" w:rsidRDefault="00B92D8F">
            <w:pPr>
              <w:jc w:val="center"/>
              <w:rPr>
                <w:sz w:val="20"/>
                <w:szCs w:val="20"/>
              </w:rPr>
            </w:pPr>
            <w:r w:rsidRPr="007C4037">
              <w:rPr>
                <w:rFonts w:eastAsia="Aptos Narrow" w:cs="Aptos Narrow"/>
                <w:b/>
                <w:color w:val="000000" w:themeColor="text1"/>
                <w:sz w:val="20"/>
                <w:szCs w:val="20"/>
              </w:rPr>
              <w:t>8</w:t>
            </w:r>
          </w:p>
        </w:tc>
        <w:tc>
          <w:tcPr>
            <w:tcW w:w="918" w:type="dxa"/>
            <w:shd w:val="clear" w:color="auto" w:fill="E3ECF9"/>
            <w:tcMar>
              <w:top w:w="15" w:type="dxa"/>
              <w:left w:w="15" w:type="dxa"/>
              <w:right w:w="15" w:type="dxa"/>
            </w:tcMar>
            <w:vAlign w:val="center"/>
          </w:tcPr>
          <w:p w14:paraId="744233E6" w14:textId="77777777" w:rsidR="00B92D8F" w:rsidRPr="007C4037" w:rsidRDefault="00B92D8F">
            <w:pPr>
              <w:jc w:val="center"/>
              <w:rPr>
                <w:sz w:val="20"/>
                <w:szCs w:val="20"/>
              </w:rPr>
            </w:pPr>
            <w:r w:rsidRPr="007C4037">
              <w:rPr>
                <w:rFonts w:eastAsia="Aptos Narrow" w:cs="Aptos Narrow"/>
                <w:b/>
                <w:color w:val="000000" w:themeColor="text1"/>
                <w:sz w:val="20"/>
                <w:szCs w:val="20"/>
              </w:rPr>
              <w:t>19</w:t>
            </w:r>
          </w:p>
        </w:tc>
        <w:tc>
          <w:tcPr>
            <w:tcW w:w="903" w:type="dxa"/>
            <w:shd w:val="clear" w:color="auto" w:fill="E3ECF9"/>
            <w:tcMar>
              <w:top w:w="15" w:type="dxa"/>
              <w:left w:w="15" w:type="dxa"/>
              <w:right w:w="15" w:type="dxa"/>
            </w:tcMar>
            <w:vAlign w:val="center"/>
          </w:tcPr>
          <w:p w14:paraId="2ACDFF35" w14:textId="77777777" w:rsidR="00B92D8F" w:rsidRPr="007C4037" w:rsidRDefault="00B92D8F">
            <w:pPr>
              <w:jc w:val="center"/>
              <w:rPr>
                <w:sz w:val="20"/>
                <w:szCs w:val="20"/>
              </w:rPr>
            </w:pPr>
            <w:r w:rsidRPr="007C4037">
              <w:rPr>
                <w:rFonts w:eastAsia="Aptos Narrow" w:cs="Aptos Narrow"/>
                <w:b/>
                <w:color w:val="CF3575"/>
                <w:sz w:val="20"/>
                <w:szCs w:val="20"/>
              </w:rPr>
              <w:t>44</w:t>
            </w:r>
          </w:p>
        </w:tc>
      </w:tr>
      <w:tr w:rsidR="00B92D8F" w:rsidRPr="00DF0782" w14:paraId="51B6DCF5" w14:textId="77777777" w:rsidTr="003D1913">
        <w:trPr>
          <w:trHeight w:val="282"/>
          <w:jc w:val="center"/>
        </w:trPr>
        <w:tc>
          <w:tcPr>
            <w:tcW w:w="4045" w:type="dxa"/>
            <w:tcMar>
              <w:top w:w="15" w:type="dxa"/>
              <w:left w:w="15" w:type="dxa"/>
              <w:right w:w="15" w:type="dxa"/>
            </w:tcMar>
            <w:vAlign w:val="center"/>
          </w:tcPr>
          <w:p w14:paraId="790E2868" w14:textId="359703FF" w:rsidR="00B92D8F" w:rsidRPr="007C4037" w:rsidRDefault="00D468E9" w:rsidP="003D1913">
            <w:pPr>
              <w:ind w:left="118"/>
              <w:rPr>
                <w:sz w:val="20"/>
                <w:szCs w:val="20"/>
              </w:rPr>
            </w:pPr>
            <w:r w:rsidRPr="007C4037">
              <w:rPr>
                <w:rFonts w:eastAsia="Aptos Narrow" w:cs="Aptos Narrow"/>
                <w:color w:val="0E2841"/>
                <w:sz w:val="20"/>
                <w:szCs w:val="20"/>
              </w:rPr>
              <w:t>Éléments</w:t>
            </w:r>
            <w:r w:rsidR="00B92D8F" w:rsidRPr="007C4037">
              <w:rPr>
                <w:rFonts w:eastAsia="Aptos Narrow" w:cs="Aptos Narrow"/>
                <w:color w:val="0E2841"/>
                <w:sz w:val="20"/>
                <w:szCs w:val="20"/>
              </w:rPr>
              <w:t xml:space="preserve"> manquants</w:t>
            </w:r>
          </w:p>
        </w:tc>
        <w:tc>
          <w:tcPr>
            <w:tcW w:w="918" w:type="dxa"/>
            <w:tcMar>
              <w:top w:w="15" w:type="dxa"/>
              <w:left w:w="15" w:type="dxa"/>
              <w:right w:w="15" w:type="dxa"/>
            </w:tcMar>
            <w:vAlign w:val="center"/>
          </w:tcPr>
          <w:p w14:paraId="2F31107F" w14:textId="77777777" w:rsidR="00B92D8F" w:rsidRPr="007C4037" w:rsidRDefault="00B92D8F">
            <w:pPr>
              <w:jc w:val="center"/>
              <w:rPr>
                <w:sz w:val="20"/>
                <w:szCs w:val="20"/>
              </w:rPr>
            </w:pPr>
            <w:r w:rsidRPr="007C4037">
              <w:rPr>
                <w:rFonts w:eastAsia="Aptos Narrow" w:cs="Aptos Narrow"/>
                <w:color w:val="0E2841"/>
                <w:sz w:val="20"/>
                <w:szCs w:val="20"/>
              </w:rPr>
              <w:t>1</w:t>
            </w:r>
          </w:p>
        </w:tc>
        <w:tc>
          <w:tcPr>
            <w:tcW w:w="918" w:type="dxa"/>
            <w:tcMar>
              <w:top w:w="15" w:type="dxa"/>
              <w:left w:w="15" w:type="dxa"/>
              <w:right w:w="15" w:type="dxa"/>
            </w:tcMar>
            <w:vAlign w:val="center"/>
          </w:tcPr>
          <w:p w14:paraId="0852B593" w14:textId="77777777" w:rsidR="00B92D8F" w:rsidRPr="007C4037" w:rsidRDefault="00B92D8F">
            <w:pPr>
              <w:jc w:val="center"/>
              <w:rPr>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680C8F48" w14:textId="77777777" w:rsidR="00B92D8F" w:rsidRPr="007C4037" w:rsidRDefault="00B92D8F">
            <w:pPr>
              <w:jc w:val="center"/>
              <w:rPr>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44E1B6EA" w14:textId="77777777" w:rsidR="00B92D8F" w:rsidRPr="007C4037" w:rsidRDefault="00B92D8F">
            <w:pPr>
              <w:jc w:val="center"/>
              <w:rPr>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22330F38" w14:textId="77777777" w:rsidR="00B92D8F" w:rsidRPr="007C4037" w:rsidRDefault="00B92D8F">
            <w:pPr>
              <w:jc w:val="center"/>
              <w:rPr>
                <w:sz w:val="20"/>
                <w:szCs w:val="20"/>
              </w:rPr>
            </w:pPr>
            <w:r w:rsidRPr="007C4037">
              <w:rPr>
                <w:rFonts w:eastAsia="Aptos Narrow" w:cs="Aptos Narrow"/>
                <w:color w:val="0E2841"/>
                <w:sz w:val="20"/>
                <w:szCs w:val="20"/>
              </w:rPr>
              <w:t>0</w:t>
            </w:r>
          </w:p>
        </w:tc>
        <w:tc>
          <w:tcPr>
            <w:tcW w:w="903" w:type="dxa"/>
            <w:shd w:val="clear" w:color="auto" w:fill="FFFFFF" w:themeFill="background1"/>
            <w:tcMar>
              <w:top w:w="15" w:type="dxa"/>
              <w:left w:w="15" w:type="dxa"/>
              <w:right w:w="15" w:type="dxa"/>
            </w:tcMar>
            <w:vAlign w:val="center"/>
          </w:tcPr>
          <w:p w14:paraId="1BDB9384" w14:textId="77777777" w:rsidR="00B92D8F" w:rsidRPr="007C4037" w:rsidRDefault="00B92D8F">
            <w:pPr>
              <w:jc w:val="center"/>
              <w:rPr>
                <w:sz w:val="20"/>
                <w:szCs w:val="20"/>
              </w:rPr>
            </w:pPr>
            <w:r w:rsidRPr="007C4037">
              <w:rPr>
                <w:rFonts w:eastAsia="Aptos Narrow" w:cs="Aptos Narrow"/>
                <w:b/>
                <w:color w:val="0E2841"/>
                <w:sz w:val="20"/>
                <w:szCs w:val="20"/>
              </w:rPr>
              <w:t>1</w:t>
            </w:r>
          </w:p>
        </w:tc>
      </w:tr>
      <w:tr w:rsidR="00B92D8F" w:rsidRPr="00DF0782" w14:paraId="38DC7FFA" w14:textId="77777777" w:rsidTr="003D1913">
        <w:trPr>
          <w:trHeight w:val="528"/>
          <w:jc w:val="center"/>
        </w:trPr>
        <w:tc>
          <w:tcPr>
            <w:tcW w:w="4045" w:type="dxa"/>
            <w:tcMar>
              <w:top w:w="15" w:type="dxa"/>
              <w:left w:w="15" w:type="dxa"/>
              <w:right w:w="15" w:type="dxa"/>
            </w:tcMar>
            <w:vAlign w:val="center"/>
          </w:tcPr>
          <w:p w14:paraId="6F479112" w14:textId="77777777" w:rsidR="00B92D8F" w:rsidRPr="007C4037" w:rsidRDefault="00B92D8F" w:rsidP="003D1913">
            <w:pPr>
              <w:ind w:left="118"/>
              <w:rPr>
                <w:sz w:val="20"/>
                <w:szCs w:val="20"/>
              </w:rPr>
            </w:pPr>
            <w:r w:rsidRPr="007C4037">
              <w:rPr>
                <w:rFonts w:eastAsia="Aptos Narrow" w:cs="Aptos Narrow"/>
                <w:color w:val="0E2841"/>
                <w:sz w:val="20"/>
                <w:szCs w:val="20"/>
              </w:rPr>
              <w:t>Ne constitue pas un cas de discrimination / hors compétence</w:t>
            </w:r>
          </w:p>
        </w:tc>
        <w:tc>
          <w:tcPr>
            <w:tcW w:w="918" w:type="dxa"/>
            <w:tcMar>
              <w:top w:w="15" w:type="dxa"/>
              <w:left w:w="15" w:type="dxa"/>
              <w:right w:w="15" w:type="dxa"/>
            </w:tcMar>
            <w:vAlign w:val="center"/>
          </w:tcPr>
          <w:p w14:paraId="27955939" w14:textId="77777777" w:rsidR="00B92D8F" w:rsidRPr="007C4037" w:rsidRDefault="00B92D8F">
            <w:pPr>
              <w:jc w:val="center"/>
              <w:rPr>
                <w:sz w:val="20"/>
                <w:szCs w:val="20"/>
              </w:rPr>
            </w:pPr>
            <w:r w:rsidRPr="007C4037">
              <w:rPr>
                <w:rFonts w:eastAsia="Aptos Narrow" w:cs="Aptos Narrow"/>
                <w:color w:val="0E2841"/>
                <w:sz w:val="20"/>
                <w:szCs w:val="20"/>
              </w:rPr>
              <w:t>5</w:t>
            </w:r>
          </w:p>
        </w:tc>
        <w:tc>
          <w:tcPr>
            <w:tcW w:w="918" w:type="dxa"/>
            <w:tcMar>
              <w:top w:w="15" w:type="dxa"/>
              <w:left w:w="15" w:type="dxa"/>
              <w:right w:w="15" w:type="dxa"/>
            </w:tcMar>
            <w:vAlign w:val="center"/>
          </w:tcPr>
          <w:p w14:paraId="278CB8F3" w14:textId="77777777" w:rsidR="00B92D8F" w:rsidRPr="007C4037" w:rsidRDefault="00B92D8F">
            <w:pPr>
              <w:jc w:val="center"/>
              <w:rPr>
                <w:sz w:val="20"/>
                <w:szCs w:val="20"/>
              </w:rPr>
            </w:pPr>
            <w:r w:rsidRPr="007C4037">
              <w:rPr>
                <w:rFonts w:eastAsia="Aptos Narrow" w:cs="Aptos Narrow"/>
                <w:color w:val="0E2841"/>
                <w:sz w:val="20"/>
                <w:szCs w:val="20"/>
              </w:rPr>
              <w:t>1</w:t>
            </w:r>
          </w:p>
        </w:tc>
        <w:tc>
          <w:tcPr>
            <w:tcW w:w="918" w:type="dxa"/>
            <w:tcMar>
              <w:top w:w="15" w:type="dxa"/>
              <w:left w:w="15" w:type="dxa"/>
              <w:right w:w="15" w:type="dxa"/>
            </w:tcMar>
            <w:vAlign w:val="center"/>
          </w:tcPr>
          <w:p w14:paraId="5CA00290" w14:textId="77777777" w:rsidR="00B92D8F" w:rsidRPr="007C4037" w:rsidRDefault="00B92D8F">
            <w:pPr>
              <w:jc w:val="center"/>
              <w:rPr>
                <w:sz w:val="20"/>
                <w:szCs w:val="20"/>
              </w:rPr>
            </w:pPr>
            <w:r w:rsidRPr="007C4037">
              <w:rPr>
                <w:rFonts w:eastAsia="Aptos Narrow" w:cs="Aptos Narrow"/>
                <w:color w:val="0E2841"/>
                <w:sz w:val="20"/>
                <w:szCs w:val="20"/>
              </w:rPr>
              <w:t>8</w:t>
            </w:r>
          </w:p>
        </w:tc>
        <w:tc>
          <w:tcPr>
            <w:tcW w:w="918" w:type="dxa"/>
            <w:tcMar>
              <w:top w:w="15" w:type="dxa"/>
              <w:left w:w="15" w:type="dxa"/>
              <w:right w:w="15" w:type="dxa"/>
            </w:tcMar>
            <w:vAlign w:val="center"/>
          </w:tcPr>
          <w:p w14:paraId="018F48AD" w14:textId="77777777" w:rsidR="00B92D8F" w:rsidRPr="007C4037" w:rsidRDefault="00B92D8F">
            <w:pPr>
              <w:jc w:val="center"/>
              <w:rPr>
                <w:sz w:val="20"/>
                <w:szCs w:val="20"/>
              </w:rPr>
            </w:pPr>
            <w:r w:rsidRPr="007C4037">
              <w:rPr>
                <w:rFonts w:eastAsia="Aptos Narrow" w:cs="Aptos Narrow"/>
                <w:color w:val="0E2841"/>
                <w:sz w:val="20"/>
                <w:szCs w:val="20"/>
              </w:rPr>
              <w:t>3</w:t>
            </w:r>
          </w:p>
        </w:tc>
        <w:tc>
          <w:tcPr>
            <w:tcW w:w="918" w:type="dxa"/>
            <w:tcMar>
              <w:top w:w="15" w:type="dxa"/>
              <w:left w:w="15" w:type="dxa"/>
              <w:right w:w="15" w:type="dxa"/>
            </w:tcMar>
            <w:vAlign w:val="center"/>
          </w:tcPr>
          <w:p w14:paraId="70E3B9B6" w14:textId="77777777" w:rsidR="00B92D8F" w:rsidRPr="007C4037" w:rsidRDefault="00B92D8F">
            <w:pPr>
              <w:jc w:val="center"/>
              <w:rPr>
                <w:sz w:val="20"/>
                <w:szCs w:val="20"/>
              </w:rPr>
            </w:pPr>
            <w:r w:rsidRPr="007C4037">
              <w:rPr>
                <w:rFonts w:eastAsia="Aptos Narrow" w:cs="Aptos Narrow"/>
                <w:color w:val="0E2841"/>
                <w:sz w:val="20"/>
                <w:szCs w:val="20"/>
              </w:rPr>
              <w:t>11</w:t>
            </w:r>
          </w:p>
        </w:tc>
        <w:tc>
          <w:tcPr>
            <w:tcW w:w="903" w:type="dxa"/>
            <w:shd w:val="clear" w:color="auto" w:fill="FFFFFF" w:themeFill="background1"/>
            <w:tcMar>
              <w:top w:w="15" w:type="dxa"/>
              <w:left w:w="15" w:type="dxa"/>
              <w:right w:w="15" w:type="dxa"/>
            </w:tcMar>
            <w:vAlign w:val="center"/>
          </w:tcPr>
          <w:p w14:paraId="6B58630B" w14:textId="77777777" w:rsidR="00B92D8F" w:rsidRPr="007C4037" w:rsidRDefault="00B92D8F">
            <w:pPr>
              <w:jc w:val="center"/>
              <w:rPr>
                <w:rFonts w:eastAsia="Aptos Narrow" w:cs="Aptos Narrow"/>
                <w:b/>
                <w:color w:val="0E2841"/>
                <w:sz w:val="20"/>
                <w:szCs w:val="20"/>
              </w:rPr>
            </w:pPr>
            <w:r w:rsidRPr="007C4037">
              <w:rPr>
                <w:rFonts w:eastAsia="Aptos Narrow" w:cs="Aptos Narrow"/>
                <w:b/>
                <w:color w:val="0E2841"/>
                <w:sz w:val="20"/>
                <w:szCs w:val="20"/>
              </w:rPr>
              <w:t>28</w:t>
            </w:r>
          </w:p>
        </w:tc>
      </w:tr>
      <w:tr w:rsidR="00B92D8F" w:rsidRPr="00DF0782" w14:paraId="56B14144" w14:textId="77777777" w:rsidTr="003D1913">
        <w:trPr>
          <w:trHeight w:val="282"/>
          <w:jc w:val="center"/>
        </w:trPr>
        <w:tc>
          <w:tcPr>
            <w:tcW w:w="4045" w:type="dxa"/>
            <w:tcMar>
              <w:top w:w="15" w:type="dxa"/>
              <w:left w:w="15" w:type="dxa"/>
              <w:right w:w="15" w:type="dxa"/>
            </w:tcMar>
            <w:vAlign w:val="center"/>
          </w:tcPr>
          <w:p w14:paraId="7E2671B5" w14:textId="77777777" w:rsidR="00B92D8F" w:rsidRPr="007C4037" w:rsidRDefault="00B92D8F" w:rsidP="003D1913">
            <w:pPr>
              <w:ind w:left="118"/>
              <w:rPr>
                <w:sz w:val="20"/>
                <w:szCs w:val="20"/>
              </w:rPr>
            </w:pPr>
            <w:r w:rsidRPr="007C4037">
              <w:rPr>
                <w:rFonts w:eastAsia="Aptos Narrow" w:cs="Aptos Narrow"/>
                <w:color w:val="0E2841"/>
                <w:sz w:val="20"/>
                <w:szCs w:val="20"/>
              </w:rPr>
              <w:t>Hors juridiction</w:t>
            </w:r>
          </w:p>
        </w:tc>
        <w:tc>
          <w:tcPr>
            <w:tcW w:w="918" w:type="dxa"/>
            <w:tcMar>
              <w:top w:w="15" w:type="dxa"/>
              <w:left w:w="15" w:type="dxa"/>
              <w:right w:w="15" w:type="dxa"/>
            </w:tcMar>
            <w:vAlign w:val="center"/>
          </w:tcPr>
          <w:p w14:paraId="23E52F6E" w14:textId="77777777" w:rsidR="00B92D8F" w:rsidRPr="007C4037" w:rsidRDefault="00B92D8F">
            <w:pPr>
              <w:jc w:val="center"/>
              <w:rPr>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2A596069" w14:textId="77777777" w:rsidR="00B92D8F" w:rsidRPr="007C4037" w:rsidRDefault="00B92D8F">
            <w:pPr>
              <w:jc w:val="center"/>
              <w:rPr>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41D460A1" w14:textId="77777777" w:rsidR="00B92D8F" w:rsidRPr="007C4037" w:rsidRDefault="00B92D8F">
            <w:pPr>
              <w:jc w:val="center"/>
              <w:rPr>
                <w:sz w:val="20"/>
                <w:szCs w:val="20"/>
              </w:rPr>
            </w:pPr>
            <w:r w:rsidRPr="007C4037">
              <w:rPr>
                <w:rFonts w:eastAsia="Aptos Narrow" w:cs="Aptos Narrow"/>
                <w:color w:val="0E2841"/>
                <w:sz w:val="20"/>
                <w:szCs w:val="20"/>
              </w:rPr>
              <w:t>2</w:t>
            </w:r>
          </w:p>
        </w:tc>
        <w:tc>
          <w:tcPr>
            <w:tcW w:w="918" w:type="dxa"/>
            <w:tcMar>
              <w:top w:w="15" w:type="dxa"/>
              <w:left w:w="15" w:type="dxa"/>
              <w:right w:w="15" w:type="dxa"/>
            </w:tcMar>
            <w:vAlign w:val="center"/>
          </w:tcPr>
          <w:p w14:paraId="0B8BDB15" w14:textId="77777777" w:rsidR="00B92D8F" w:rsidRPr="007C4037" w:rsidRDefault="00B92D8F">
            <w:pPr>
              <w:jc w:val="center"/>
              <w:rPr>
                <w:sz w:val="20"/>
                <w:szCs w:val="20"/>
              </w:rPr>
            </w:pPr>
            <w:r w:rsidRPr="007C4037">
              <w:rPr>
                <w:rFonts w:eastAsia="Aptos Narrow" w:cs="Aptos Narrow"/>
                <w:color w:val="0E2841"/>
                <w:sz w:val="20"/>
                <w:szCs w:val="20"/>
              </w:rPr>
              <w:t>5</w:t>
            </w:r>
          </w:p>
        </w:tc>
        <w:tc>
          <w:tcPr>
            <w:tcW w:w="918" w:type="dxa"/>
            <w:tcMar>
              <w:top w:w="15" w:type="dxa"/>
              <w:left w:w="15" w:type="dxa"/>
              <w:right w:w="15" w:type="dxa"/>
            </w:tcMar>
            <w:vAlign w:val="center"/>
          </w:tcPr>
          <w:p w14:paraId="0F6058E6" w14:textId="77777777" w:rsidR="00B92D8F" w:rsidRPr="007C4037" w:rsidRDefault="00B92D8F">
            <w:pPr>
              <w:jc w:val="center"/>
              <w:rPr>
                <w:sz w:val="20"/>
                <w:szCs w:val="20"/>
              </w:rPr>
            </w:pPr>
            <w:r w:rsidRPr="007C4037">
              <w:rPr>
                <w:rFonts w:eastAsia="Aptos Narrow" w:cs="Aptos Narrow"/>
                <w:color w:val="0E2841"/>
                <w:sz w:val="20"/>
                <w:szCs w:val="20"/>
              </w:rPr>
              <w:t>8</w:t>
            </w:r>
          </w:p>
        </w:tc>
        <w:tc>
          <w:tcPr>
            <w:tcW w:w="903" w:type="dxa"/>
            <w:shd w:val="clear" w:color="auto" w:fill="FFFFFF" w:themeFill="background1"/>
            <w:tcMar>
              <w:top w:w="15" w:type="dxa"/>
              <w:left w:w="15" w:type="dxa"/>
              <w:right w:w="15" w:type="dxa"/>
            </w:tcMar>
            <w:vAlign w:val="center"/>
          </w:tcPr>
          <w:p w14:paraId="7E3F1FBB" w14:textId="77777777" w:rsidR="00B92D8F" w:rsidRPr="007C4037" w:rsidRDefault="00B92D8F">
            <w:pPr>
              <w:jc w:val="center"/>
              <w:rPr>
                <w:rFonts w:eastAsia="Aptos Narrow" w:cs="Aptos Narrow"/>
                <w:b/>
                <w:color w:val="0E2841"/>
                <w:sz w:val="20"/>
                <w:szCs w:val="20"/>
              </w:rPr>
            </w:pPr>
            <w:r w:rsidRPr="007C4037">
              <w:rPr>
                <w:rFonts w:eastAsia="Aptos Narrow" w:cs="Aptos Narrow"/>
                <w:b/>
                <w:color w:val="0E2841"/>
                <w:sz w:val="20"/>
                <w:szCs w:val="20"/>
              </w:rPr>
              <w:t>15</w:t>
            </w:r>
          </w:p>
        </w:tc>
      </w:tr>
      <w:tr w:rsidR="00B92D8F" w:rsidRPr="00DF0782" w14:paraId="4B6F6483" w14:textId="77777777" w:rsidTr="003D1913">
        <w:trPr>
          <w:trHeight w:val="282"/>
          <w:jc w:val="center"/>
        </w:trPr>
        <w:tc>
          <w:tcPr>
            <w:tcW w:w="4045" w:type="dxa"/>
            <w:shd w:val="clear" w:color="auto" w:fill="E3ECF9"/>
            <w:tcMar>
              <w:top w:w="15" w:type="dxa"/>
              <w:left w:w="15" w:type="dxa"/>
              <w:right w:w="15" w:type="dxa"/>
            </w:tcMar>
            <w:vAlign w:val="center"/>
          </w:tcPr>
          <w:p w14:paraId="6921C31D" w14:textId="77777777" w:rsidR="00B92D8F" w:rsidRPr="007C4037" w:rsidRDefault="00B92D8F" w:rsidP="003D1913">
            <w:pPr>
              <w:ind w:left="118"/>
              <w:rPr>
                <w:sz w:val="20"/>
                <w:szCs w:val="20"/>
              </w:rPr>
            </w:pPr>
            <w:r w:rsidRPr="007C4037">
              <w:rPr>
                <w:rFonts w:eastAsia="Aptos Narrow" w:cs="Aptos Narrow"/>
                <w:b/>
                <w:color w:val="000000" w:themeColor="text1"/>
                <w:sz w:val="20"/>
                <w:szCs w:val="20"/>
              </w:rPr>
              <w:t>Fermeture administrative</w:t>
            </w:r>
          </w:p>
        </w:tc>
        <w:tc>
          <w:tcPr>
            <w:tcW w:w="918" w:type="dxa"/>
            <w:shd w:val="clear" w:color="auto" w:fill="E3ECF9"/>
            <w:tcMar>
              <w:top w:w="15" w:type="dxa"/>
              <w:left w:w="15" w:type="dxa"/>
              <w:right w:w="15" w:type="dxa"/>
            </w:tcMar>
            <w:vAlign w:val="center"/>
          </w:tcPr>
          <w:p w14:paraId="4F472193" w14:textId="77777777" w:rsidR="00B92D8F" w:rsidRPr="007C4037" w:rsidRDefault="00B92D8F">
            <w:pPr>
              <w:jc w:val="center"/>
              <w:rPr>
                <w:sz w:val="20"/>
                <w:szCs w:val="20"/>
              </w:rPr>
            </w:pPr>
            <w:r w:rsidRPr="007C4037">
              <w:rPr>
                <w:rFonts w:eastAsia="Aptos Narrow" w:cs="Aptos Narrow"/>
                <w:b/>
                <w:color w:val="000000" w:themeColor="text1"/>
                <w:sz w:val="20"/>
                <w:szCs w:val="20"/>
              </w:rPr>
              <w:t>10</w:t>
            </w:r>
          </w:p>
        </w:tc>
        <w:tc>
          <w:tcPr>
            <w:tcW w:w="918" w:type="dxa"/>
            <w:shd w:val="clear" w:color="auto" w:fill="E3ECF9"/>
            <w:tcMar>
              <w:top w:w="15" w:type="dxa"/>
              <w:left w:w="15" w:type="dxa"/>
              <w:right w:w="15" w:type="dxa"/>
            </w:tcMar>
            <w:vAlign w:val="center"/>
          </w:tcPr>
          <w:p w14:paraId="76DFEFC6" w14:textId="77777777" w:rsidR="00B92D8F" w:rsidRPr="007C4037" w:rsidRDefault="00B92D8F">
            <w:pPr>
              <w:jc w:val="center"/>
              <w:rPr>
                <w:sz w:val="20"/>
                <w:szCs w:val="20"/>
              </w:rPr>
            </w:pPr>
            <w:r w:rsidRPr="007C4037">
              <w:rPr>
                <w:rFonts w:eastAsia="Aptos Narrow" w:cs="Aptos Narrow"/>
                <w:b/>
                <w:color w:val="000000" w:themeColor="text1"/>
                <w:sz w:val="20"/>
                <w:szCs w:val="20"/>
              </w:rPr>
              <w:t>14</w:t>
            </w:r>
          </w:p>
        </w:tc>
        <w:tc>
          <w:tcPr>
            <w:tcW w:w="918" w:type="dxa"/>
            <w:shd w:val="clear" w:color="auto" w:fill="E3ECF9"/>
            <w:tcMar>
              <w:top w:w="15" w:type="dxa"/>
              <w:left w:w="15" w:type="dxa"/>
              <w:right w:w="15" w:type="dxa"/>
            </w:tcMar>
            <w:vAlign w:val="center"/>
          </w:tcPr>
          <w:p w14:paraId="07FE63F0" w14:textId="77777777" w:rsidR="00B92D8F" w:rsidRPr="007C4037" w:rsidRDefault="00B92D8F">
            <w:pPr>
              <w:jc w:val="center"/>
              <w:rPr>
                <w:sz w:val="20"/>
                <w:szCs w:val="20"/>
              </w:rPr>
            </w:pPr>
            <w:r w:rsidRPr="007C4037">
              <w:rPr>
                <w:rFonts w:eastAsia="Aptos Narrow" w:cs="Aptos Narrow"/>
                <w:b/>
                <w:color w:val="000000" w:themeColor="text1"/>
                <w:sz w:val="20"/>
                <w:szCs w:val="20"/>
              </w:rPr>
              <w:t>12</w:t>
            </w:r>
          </w:p>
        </w:tc>
        <w:tc>
          <w:tcPr>
            <w:tcW w:w="918" w:type="dxa"/>
            <w:shd w:val="clear" w:color="auto" w:fill="E3ECF9"/>
            <w:tcMar>
              <w:top w:w="15" w:type="dxa"/>
              <w:left w:w="15" w:type="dxa"/>
              <w:right w:w="15" w:type="dxa"/>
            </w:tcMar>
            <w:vAlign w:val="center"/>
          </w:tcPr>
          <w:p w14:paraId="454C9BF8" w14:textId="77777777" w:rsidR="00B92D8F" w:rsidRPr="007C4037" w:rsidRDefault="00B92D8F">
            <w:pPr>
              <w:jc w:val="center"/>
              <w:rPr>
                <w:sz w:val="20"/>
                <w:szCs w:val="20"/>
              </w:rPr>
            </w:pPr>
            <w:r w:rsidRPr="007C4037">
              <w:rPr>
                <w:rFonts w:eastAsia="Aptos Narrow" w:cs="Aptos Narrow"/>
                <w:b/>
                <w:color w:val="000000" w:themeColor="text1"/>
                <w:sz w:val="20"/>
                <w:szCs w:val="20"/>
              </w:rPr>
              <w:t>9</w:t>
            </w:r>
          </w:p>
        </w:tc>
        <w:tc>
          <w:tcPr>
            <w:tcW w:w="918" w:type="dxa"/>
            <w:shd w:val="clear" w:color="auto" w:fill="E3ECF9"/>
            <w:tcMar>
              <w:top w:w="15" w:type="dxa"/>
              <w:left w:w="15" w:type="dxa"/>
              <w:right w:w="15" w:type="dxa"/>
            </w:tcMar>
            <w:vAlign w:val="center"/>
          </w:tcPr>
          <w:p w14:paraId="27085243" w14:textId="77777777" w:rsidR="00B92D8F" w:rsidRPr="007C4037" w:rsidRDefault="00B92D8F">
            <w:pPr>
              <w:jc w:val="center"/>
              <w:rPr>
                <w:sz w:val="20"/>
                <w:szCs w:val="20"/>
              </w:rPr>
            </w:pPr>
            <w:r w:rsidRPr="007C4037">
              <w:rPr>
                <w:rFonts w:eastAsia="Aptos Narrow" w:cs="Aptos Narrow"/>
                <w:b/>
                <w:color w:val="000000" w:themeColor="text1"/>
                <w:sz w:val="20"/>
                <w:szCs w:val="20"/>
              </w:rPr>
              <w:t>24</w:t>
            </w:r>
          </w:p>
        </w:tc>
        <w:tc>
          <w:tcPr>
            <w:tcW w:w="903" w:type="dxa"/>
            <w:shd w:val="clear" w:color="auto" w:fill="E3ECF9"/>
            <w:tcMar>
              <w:top w:w="15" w:type="dxa"/>
              <w:left w:w="15" w:type="dxa"/>
              <w:right w:w="15" w:type="dxa"/>
            </w:tcMar>
            <w:vAlign w:val="center"/>
          </w:tcPr>
          <w:p w14:paraId="05488DAA" w14:textId="77777777" w:rsidR="00B92D8F" w:rsidRPr="007C4037" w:rsidRDefault="00B92D8F">
            <w:pPr>
              <w:jc w:val="center"/>
              <w:rPr>
                <w:rFonts w:eastAsia="Aptos Narrow" w:cs="Aptos Narrow"/>
                <w:b/>
                <w:color w:val="0E2841"/>
                <w:sz w:val="20"/>
                <w:szCs w:val="20"/>
              </w:rPr>
            </w:pPr>
            <w:r w:rsidRPr="007C4037">
              <w:rPr>
                <w:rFonts w:eastAsia="Aptos Narrow" w:cs="Aptos Narrow"/>
                <w:b/>
                <w:color w:val="CF3575"/>
                <w:sz w:val="20"/>
                <w:szCs w:val="20"/>
              </w:rPr>
              <w:t>69</w:t>
            </w:r>
          </w:p>
        </w:tc>
      </w:tr>
      <w:tr w:rsidR="00B92D8F" w:rsidRPr="00DF0782" w14:paraId="6A2674D9" w14:textId="77777777" w:rsidTr="003D1913">
        <w:trPr>
          <w:trHeight w:val="282"/>
          <w:jc w:val="center"/>
        </w:trPr>
        <w:tc>
          <w:tcPr>
            <w:tcW w:w="4045" w:type="dxa"/>
            <w:tcMar>
              <w:top w:w="15" w:type="dxa"/>
              <w:left w:w="15" w:type="dxa"/>
              <w:right w:w="15" w:type="dxa"/>
            </w:tcMar>
            <w:vAlign w:val="center"/>
          </w:tcPr>
          <w:p w14:paraId="0B6FC072" w14:textId="08A57B74" w:rsidR="00B92D8F" w:rsidRPr="007C4037" w:rsidRDefault="00B92D8F" w:rsidP="003D1913">
            <w:pPr>
              <w:ind w:left="118"/>
              <w:rPr>
                <w:sz w:val="20"/>
                <w:szCs w:val="20"/>
              </w:rPr>
            </w:pPr>
            <w:r w:rsidRPr="007C4037">
              <w:rPr>
                <w:rFonts w:eastAsia="Aptos Narrow" w:cs="Aptos Narrow"/>
                <w:color w:val="0E2841"/>
                <w:sz w:val="20"/>
                <w:szCs w:val="20"/>
              </w:rPr>
              <w:t>Désistement</w:t>
            </w:r>
            <w:r w:rsidR="00140A19">
              <w:rPr>
                <w:rFonts w:eastAsia="Aptos Narrow" w:cs="Aptos Narrow"/>
                <w:color w:val="0E2841"/>
                <w:sz w:val="20"/>
                <w:szCs w:val="20"/>
              </w:rPr>
              <w:t xml:space="preserve"> de la personne plaignante</w:t>
            </w:r>
          </w:p>
        </w:tc>
        <w:tc>
          <w:tcPr>
            <w:tcW w:w="918" w:type="dxa"/>
            <w:tcMar>
              <w:top w:w="15" w:type="dxa"/>
              <w:left w:w="15" w:type="dxa"/>
              <w:right w:w="15" w:type="dxa"/>
            </w:tcMar>
            <w:vAlign w:val="center"/>
          </w:tcPr>
          <w:p w14:paraId="59369A7F" w14:textId="77777777" w:rsidR="00B92D8F" w:rsidRPr="000C3E80" w:rsidRDefault="00B92D8F">
            <w:pPr>
              <w:jc w:val="center"/>
              <w:rPr>
                <w:color w:val="0E2841"/>
                <w:sz w:val="20"/>
                <w:szCs w:val="20"/>
              </w:rPr>
            </w:pPr>
            <w:r w:rsidRPr="007C4037">
              <w:rPr>
                <w:rFonts w:eastAsia="Aptos Narrow" w:cs="Aptos Narrow"/>
                <w:color w:val="0E2841"/>
                <w:sz w:val="20"/>
                <w:szCs w:val="20"/>
              </w:rPr>
              <w:t>5</w:t>
            </w:r>
          </w:p>
        </w:tc>
        <w:tc>
          <w:tcPr>
            <w:tcW w:w="918" w:type="dxa"/>
            <w:tcMar>
              <w:top w:w="15" w:type="dxa"/>
              <w:left w:w="15" w:type="dxa"/>
              <w:right w:w="15" w:type="dxa"/>
            </w:tcMar>
            <w:vAlign w:val="center"/>
          </w:tcPr>
          <w:p w14:paraId="1ED1E61C" w14:textId="77777777" w:rsidR="00B92D8F" w:rsidRPr="000C3E80" w:rsidRDefault="00B92D8F">
            <w:pPr>
              <w:jc w:val="center"/>
              <w:rPr>
                <w:color w:val="0E2841"/>
                <w:sz w:val="20"/>
                <w:szCs w:val="20"/>
              </w:rPr>
            </w:pPr>
            <w:r w:rsidRPr="007C4037">
              <w:rPr>
                <w:rFonts w:eastAsia="Aptos Narrow" w:cs="Aptos Narrow"/>
                <w:color w:val="0E2841"/>
                <w:sz w:val="20"/>
                <w:szCs w:val="20"/>
              </w:rPr>
              <w:t>3</w:t>
            </w:r>
          </w:p>
        </w:tc>
        <w:tc>
          <w:tcPr>
            <w:tcW w:w="918" w:type="dxa"/>
            <w:tcMar>
              <w:top w:w="15" w:type="dxa"/>
              <w:left w:w="15" w:type="dxa"/>
              <w:right w:w="15" w:type="dxa"/>
            </w:tcMar>
            <w:vAlign w:val="center"/>
          </w:tcPr>
          <w:p w14:paraId="75759031" w14:textId="77777777" w:rsidR="00B92D8F" w:rsidRPr="000C3E80" w:rsidRDefault="00B92D8F">
            <w:pPr>
              <w:jc w:val="center"/>
              <w:rPr>
                <w:color w:val="0E2841"/>
                <w:sz w:val="20"/>
                <w:szCs w:val="20"/>
              </w:rPr>
            </w:pPr>
            <w:r w:rsidRPr="007C4037">
              <w:rPr>
                <w:rFonts w:eastAsia="Aptos Narrow" w:cs="Aptos Narrow"/>
                <w:color w:val="0E2841"/>
                <w:sz w:val="20"/>
                <w:szCs w:val="20"/>
              </w:rPr>
              <w:t>4</w:t>
            </w:r>
          </w:p>
        </w:tc>
        <w:tc>
          <w:tcPr>
            <w:tcW w:w="918" w:type="dxa"/>
            <w:tcMar>
              <w:top w:w="15" w:type="dxa"/>
              <w:left w:w="15" w:type="dxa"/>
              <w:right w:w="15" w:type="dxa"/>
            </w:tcMar>
            <w:vAlign w:val="center"/>
          </w:tcPr>
          <w:p w14:paraId="3A29A7B4" w14:textId="77777777" w:rsidR="00B92D8F" w:rsidRPr="000C3E80" w:rsidRDefault="00B92D8F">
            <w:pPr>
              <w:jc w:val="center"/>
              <w:rPr>
                <w:color w:val="0E2841"/>
                <w:sz w:val="20"/>
                <w:szCs w:val="20"/>
              </w:rPr>
            </w:pPr>
            <w:r w:rsidRPr="007C4037">
              <w:rPr>
                <w:rFonts w:eastAsia="Aptos Narrow" w:cs="Aptos Narrow"/>
                <w:color w:val="0E2841"/>
                <w:sz w:val="20"/>
                <w:szCs w:val="20"/>
              </w:rPr>
              <w:t>2</w:t>
            </w:r>
          </w:p>
        </w:tc>
        <w:tc>
          <w:tcPr>
            <w:tcW w:w="918" w:type="dxa"/>
            <w:tcMar>
              <w:top w:w="15" w:type="dxa"/>
              <w:left w:w="15" w:type="dxa"/>
              <w:right w:w="15" w:type="dxa"/>
            </w:tcMar>
            <w:vAlign w:val="center"/>
          </w:tcPr>
          <w:p w14:paraId="6B1380A0" w14:textId="77777777" w:rsidR="00B92D8F" w:rsidRPr="000C3E80" w:rsidRDefault="00B92D8F">
            <w:pPr>
              <w:jc w:val="center"/>
              <w:rPr>
                <w:color w:val="0E2841"/>
                <w:sz w:val="20"/>
                <w:szCs w:val="20"/>
              </w:rPr>
            </w:pPr>
            <w:r w:rsidRPr="007C4037">
              <w:rPr>
                <w:rFonts w:eastAsia="Aptos Narrow" w:cs="Aptos Narrow"/>
                <w:color w:val="0E2841"/>
                <w:sz w:val="20"/>
                <w:szCs w:val="20"/>
              </w:rPr>
              <w:t>7</w:t>
            </w:r>
          </w:p>
        </w:tc>
        <w:tc>
          <w:tcPr>
            <w:tcW w:w="903" w:type="dxa"/>
            <w:shd w:val="clear" w:color="auto" w:fill="FFFFFF" w:themeFill="background1"/>
            <w:tcMar>
              <w:top w:w="15" w:type="dxa"/>
              <w:left w:w="15" w:type="dxa"/>
              <w:right w:w="15" w:type="dxa"/>
            </w:tcMar>
            <w:vAlign w:val="center"/>
          </w:tcPr>
          <w:p w14:paraId="663A6AF7" w14:textId="77777777" w:rsidR="00B92D8F" w:rsidRPr="007C4037" w:rsidRDefault="00B92D8F">
            <w:pPr>
              <w:jc w:val="center"/>
              <w:rPr>
                <w:rFonts w:eastAsia="Aptos Narrow" w:cs="Aptos Narrow"/>
                <w:b/>
                <w:color w:val="0E2841"/>
                <w:sz w:val="20"/>
                <w:szCs w:val="20"/>
              </w:rPr>
            </w:pPr>
            <w:r w:rsidRPr="007C4037">
              <w:rPr>
                <w:rFonts w:eastAsia="Aptos Narrow" w:cs="Aptos Narrow"/>
                <w:b/>
                <w:color w:val="0E2841"/>
                <w:sz w:val="20"/>
                <w:szCs w:val="20"/>
              </w:rPr>
              <w:t>21</w:t>
            </w:r>
          </w:p>
        </w:tc>
      </w:tr>
      <w:tr w:rsidR="00B92D8F" w:rsidRPr="00DF0782" w14:paraId="710649E5" w14:textId="77777777" w:rsidTr="003D1913">
        <w:trPr>
          <w:trHeight w:val="282"/>
          <w:jc w:val="center"/>
        </w:trPr>
        <w:tc>
          <w:tcPr>
            <w:tcW w:w="4045" w:type="dxa"/>
            <w:tcMar>
              <w:top w:w="15" w:type="dxa"/>
              <w:left w:w="15" w:type="dxa"/>
              <w:right w:w="15" w:type="dxa"/>
            </w:tcMar>
            <w:vAlign w:val="center"/>
          </w:tcPr>
          <w:p w14:paraId="605D90FB" w14:textId="321A2C19" w:rsidR="00B92D8F" w:rsidRPr="007C4037" w:rsidRDefault="00B92D8F" w:rsidP="003D1913">
            <w:pPr>
              <w:ind w:left="118"/>
              <w:rPr>
                <w:sz w:val="20"/>
                <w:szCs w:val="20"/>
              </w:rPr>
            </w:pPr>
            <w:r w:rsidRPr="007C4037">
              <w:rPr>
                <w:rFonts w:eastAsia="Aptos Narrow" w:cs="Aptos Narrow"/>
                <w:color w:val="0E2841"/>
                <w:sz w:val="20"/>
                <w:szCs w:val="20"/>
              </w:rPr>
              <w:t>Ne communique plus</w:t>
            </w:r>
          </w:p>
        </w:tc>
        <w:tc>
          <w:tcPr>
            <w:tcW w:w="918" w:type="dxa"/>
            <w:tcMar>
              <w:top w:w="15" w:type="dxa"/>
              <w:left w:w="15" w:type="dxa"/>
              <w:right w:w="15" w:type="dxa"/>
            </w:tcMar>
            <w:vAlign w:val="center"/>
          </w:tcPr>
          <w:p w14:paraId="008FD976" w14:textId="77777777" w:rsidR="00B92D8F" w:rsidRPr="000C3E80" w:rsidRDefault="00B92D8F">
            <w:pPr>
              <w:jc w:val="center"/>
              <w:rPr>
                <w:color w:val="0E2841"/>
                <w:sz w:val="20"/>
                <w:szCs w:val="20"/>
              </w:rPr>
            </w:pPr>
            <w:r w:rsidRPr="007C4037">
              <w:rPr>
                <w:rFonts w:eastAsia="Aptos Narrow" w:cs="Aptos Narrow"/>
                <w:color w:val="0E2841"/>
                <w:sz w:val="20"/>
                <w:szCs w:val="20"/>
              </w:rPr>
              <w:t>3</w:t>
            </w:r>
          </w:p>
        </w:tc>
        <w:tc>
          <w:tcPr>
            <w:tcW w:w="918" w:type="dxa"/>
            <w:tcMar>
              <w:top w:w="15" w:type="dxa"/>
              <w:left w:w="15" w:type="dxa"/>
              <w:right w:w="15" w:type="dxa"/>
            </w:tcMar>
            <w:vAlign w:val="center"/>
          </w:tcPr>
          <w:p w14:paraId="2996230A" w14:textId="77777777" w:rsidR="00B92D8F" w:rsidRPr="000C3E80" w:rsidRDefault="00B92D8F">
            <w:pPr>
              <w:jc w:val="center"/>
              <w:rPr>
                <w:color w:val="0E2841"/>
                <w:sz w:val="20"/>
                <w:szCs w:val="20"/>
              </w:rPr>
            </w:pPr>
            <w:r w:rsidRPr="007C4037">
              <w:rPr>
                <w:rFonts w:eastAsia="Aptos Narrow" w:cs="Aptos Narrow"/>
                <w:color w:val="0E2841"/>
                <w:sz w:val="20"/>
                <w:szCs w:val="20"/>
              </w:rPr>
              <w:t>5</w:t>
            </w:r>
          </w:p>
        </w:tc>
        <w:tc>
          <w:tcPr>
            <w:tcW w:w="918" w:type="dxa"/>
            <w:tcMar>
              <w:top w:w="15" w:type="dxa"/>
              <w:left w:w="15" w:type="dxa"/>
              <w:right w:w="15" w:type="dxa"/>
            </w:tcMar>
            <w:vAlign w:val="center"/>
          </w:tcPr>
          <w:p w14:paraId="7FCAFFAF" w14:textId="77777777" w:rsidR="00B92D8F" w:rsidRPr="000C3E80" w:rsidRDefault="00B92D8F">
            <w:pPr>
              <w:jc w:val="center"/>
              <w:rPr>
                <w:color w:val="0E2841"/>
                <w:sz w:val="20"/>
                <w:szCs w:val="20"/>
              </w:rPr>
            </w:pPr>
            <w:r w:rsidRPr="007C4037">
              <w:rPr>
                <w:rFonts w:eastAsia="Aptos Narrow" w:cs="Aptos Narrow"/>
                <w:color w:val="0E2841"/>
                <w:sz w:val="20"/>
                <w:szCs w:val="20"/>
              </w:rPr>
              <w:t>8</w:t>
            </w:r>
          </w:p>
        </w:tc>
        <w:tc>
          <w:tcPr>
            <w:tcW w:w="918" w:type="dxa"/>
            <w:tcMar>
              <w:top w:w="15" w:type="dxa"/>
              <w:left w:w="15" w:type="dxa"/>
              <w:right w:w="15" w:type="dxa"/>
            </w:tcMar>
            <w:vAlign w:val="center"/>
          </w:tcPr>
          <w:p w14:paraId="29BFEC1A" w14:textId="77777777" w:rsidR="00B92D8F" w:rsidRPr="000C3E80" w:rsidRDefault="00B92D8F">
            <w:pPr>
              <w:jc w:val="center"/>
              <w:rPr>
                <w:color w:val="0E2841"/>
                <w:sz w:val="20"/>
                <w:szCs w:val="20"/>
              </w:rPr>
            </w:pPr>
            <w:r w:rsidRPr="007C4037">
              <w:rPr>
                <w:rFonts w:eastAsia="Aptos Narrow" w:cs="Aptos Narrow"/>
                <w:color w:val="0E2841"/>
                <w:sz w:val="20"/>
                <w:szCs w:val="20"/>
              </w:rPr>
              <w:t>4</w:t>
            </w:r>
          </w:p>
        </w:tc>
        <w:tc>
          <w:tcPr>
            <w:tcW w:w="918" w:type="dxa"/>
            <w:tcMar>
              <w:top w:w="15" w:type="dxa"/>
              <w:left w:w="15" w:type="dxa"/>
              <w:right w:w="15" w:type="dxa"/>
            </w:tcMar>
            <w:vAlign w:val="center"/>
          </w:tcPr>
          <w:p w14:paraId="42D1658E" w14:textId="77777777" w:rsidR="00B92D8F" w:rsidRPr="000C3E80" w:rsidRDefault="00B92D8F">
            <w:pPr>
              <w:jc w:val="center"/>
              <w:rPr>
                <w:color w:val="0E2841"/>
                <w:sz w:val="20"/>
                <w:szCs w:val="20"/>
              </w:rPr>
            </w:pPr>
            <w:r w:rsidRPr="007C4037">
              <w:rPr>
                <w:rFonts w:eastAsia="Aptos Narrow" w:cs="Aptos Narrow"/>
                <w:color w:val="0E2841"/>
                <w:sz w:val="20"/>
                <w:szCs w:val="20"/>
              </w:rPr>
              <w:t>13</w:t>
            </w:r>
          </w:p>
        </w:tc>
        <w:tc>
          <w:tcPr>
            <w:tcW w:w="903" w:type="dxa"/>
            <w:shd w:val="clear" w:color="auto" w:fill="FFFFFF" w:themeFill="background1"/>
            <w:tcMar>
              <w:top w:w="15" w:type="dxa"/>
              <w:left w:w="15" w:type="dxa"/>
              <w:right w:w="15" w:type="dxa"/>
            </w:tcMar>
            <w:vAlign w:val="center"/>
          </w:tcPr>
          <w:p w14:paraId="7631D6B1" w14:textId="77777777" w:rsidR="00B92D8F" w:rsidRPr="007C4037" w:rsidRDefault="00B92D8F">
            <w:pPr>
              <w:jc w:val="center"/>
              <w:rPr>
                <w:rFonts w:eastAsia="Aptos Narrow" w:cs="Aptos Narrow"/>
                <w:b/>
                <w:color w:val="0E2841"/>
                <w:sz w:val="20"/>
                <w:szCs w:val="20"/>
              </w:rPr>
            </w:pPr>
            <w:r w:rsidRPr="007C4037">
              <w:rPr>
                <w:rFonts w:eastAsia="Aptos Narrow" w:cs="Aptos Narrow"/>
                <w:b/>
                <w:color w:val="0E2841"/>
                <w:sz w:val="20"/>
                <w:szCs w:val="20"/>
              </w:rPr>
              <w:t>33</w:t>
            </w:r>
          </w:p>
        </w:tc>
      </w:tr>
      <w:tr w:rsidR="00B92D8F" w:rsidRPr="00DF0782" w14:paraId="5CE6C013" w14:textId="77777777" w:rsidTr="003D1913">
        <w:trPr>
          <w:trHeight w:val="282"/>
          <w:jc w:val="center"/>
        </w:trPr>
        <w:tc>
          <w:tcPr>
            <w:tcW w:w="4045" w:type="dxa"/>
            <w:tcMar>
              <w:top w:w="15" w:type="dxa"/>
              <w:left w:w="15" w:type="dxa"/>
              <w:right w:w="15" w:type="dxa"/>
            </w:tcMar>
            <w:vAlign w:val="center"/>
          </w:tcPr>
          <w:p w14:paraId="194DD14D" w14:textId="457561DD" w:rsidR="00B92D8F" w:rsidRPr="007C4037" w:rsidRDefault="00B92D8F" w:rsidP="003D1913">
            <w:pPr>
              <w:ind w:left="118"/>
              <w:rPr>
                <w:sz w:val="20"/>
                <w:szCs w:val="20"/>
              </w:rPr>
            </w:pPr>
            <w:r w:rsidRPr="007C4037">
              <w:rPr>
                <w:rFonts w:eastAsia="Aptos Narrow" w:cs="Aptos Narrow"/>
                <w:color w:val="0E2841"/>
                <w:sz w:val="20"/>
                <w:szCs w:val="20"/>
              </w:rPr>
              <w:t>Non</w:t>
            </w:r>
            <w:r w:rsidR="005D68E3">
              <w:rPr>
                <w:rFonts w:eastAsia="Aptos Narrow" w:cs="Aptos Narrow"/>
                <w:color w:val="0E2841"/>
                <w:sz w:val="20"/>
                <w:szCs w:val="20"/>
              </w:rPr>
              <w:t>-</w:t>
            </w:r>
            <w:r w:rsidRPr="007C4037">
              <w:rPr>
                <w:rFonts w:eastAsia="Aptos Narrow" w:cs="Aptos Narrow"/>
                <w:color w:val="0E2841"/>
                <w:sz w:val="20"/>
                <w:szCs w:val="20"/>
              </w:rPr>
              <w:t>collaboration</w:t>
            </w:r>
          </w:p>
        </w:tc>
        <w:tc>
          <w:tcPr>
            <w:tcW w:w="918" w:type="dxa"/>
            <w:tcMar>
              <w:top w:w="15" w:type="dxa"/>
              <w:left w:w="15" w:type="dxa"/>
              <w:right w:w="15" w:type="dxa"/>
            </w:tcMar>
            <w:vAlign w:val="center"/>
          </w:tcPr>
          <w:p w14:paraId="59633B3B" w14:textId="77777777" w:rsidR="00B92D8F" w:rsidRPr="000C3E80" w:rsidRDefault="00B92D8F">
            <w:pPr>
              <w:jc w:val="center"/>
              <w:rPr>
                <w:color w:val="0E2841"/>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4EE4327B" w14:textId="77777777" w:rsidR="00B92D8F" w:rsidRPr="000C3E80" w:rsidRDefault="00B92D8F">
            <w:pPr>
              <w:jc w:val="center"/>
              <w:rPr>
                <w:color w:val="0E2841"/>
                <w:sz w:val="20"/>
                <w:szCs w:val="20"/>
              </w:rPr>
            </w:pPr>
            <w:r w:rsidRPr="007C4037">
              <w:rPr>
                <w:rFonts w:eastAsia="Aptos Narrow" w:cs="Aptos Narrow"/>
                <w:color w:val="0E2841"/>
                <w:sz w:val="20"/>
                <w:szCs w:val="20"/>
              </w:rPr>
              <w:t>1</w:t>
            </w:r>
          </w:p>
        </w:tc>
        <w:tc>
          <w:tcPr>
            <w:tcW w:w="918" w:type="dxa"/>
            <w:tcMar>
              <w:top w:w="15" w:type="dxa"/>
              <w:left w:w="15" w:type="dxa"/>
              <w:right w:w="15" w:type="dxa"/>
            </w:tcMar>
            <w:vAlign w:val="center"/>
          </w:tcPr>
          <w:p w14:paraId="23716FAD" w14:textId="77777777" w:rsidR="00B92D8F" w:rsidRPr="000C3E80" w:rsidRDefault="00B92D8F">
            <w:pPr>
              <w:jc w:val="center"/>
              <w:rPr>
                <w:color w:val="0E2841"/>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51D61544" w14:textId="77777777" w:rsidR="00B92D8F" w:rsidRPr="000C3E80" w:rsidRDefault="00B92D8F">
            <w:pPr>
              <w:jc w:val="center"/>
              <w:rPr>
                <w:color w:val="0E2841"/>
                <w:sz w:val="20"/>
                <w:szCs w:val="20"/>
              </w:rPr>
            </w:pPr>
            <w:r w:rsidRPr="007C4037">
              <w:rPr>
                <w:rFonts w:eastAsia="Aptos Narrow" w:cs="Aptos Narrow"/>
                <w:color w:val="0E2841"/>
                <w:sz w:val="20"/>
                <w:szCs w:val="20"/>
              </w:rPr>
              <w:t>1</w:t>
            </w:r>
          </w:p>
        </w:tc>
        <w:tc>
          <w:tcPr>
            <w:tcW w:w="918" w:type="dxa"/>
            <w:tcMar>
              <w:top w:w="15" w:type="dxa"/>
              <w:left w:w="15" w:type="dxa"/>
              <w:right w:w="15" w:type="dxa"/>
            </w:tcMar>
            <w:vAlign w:val="center"/>
          </w:tcPr>
          <w:p w14:paraId="1CFAAE3E" w14:textId="77777777" w:rsidR="00B92D8F" w:rsidRPr="000C3E80" w:rsidRDefault="00B92D8F">
            <w:pPr>
              <w:jc w:val="center"/>
              <w:rPr>
                <w:color w:val="0E2841"/>
                <w:sz w:val="20"/>
                <w:szCs w:val="20"/>
              </w:rPr>
            </w:pPr>
            <w:r w:rsidRPr="007C4037">
              <w:rPr>
                <w:rFonts w:eastAsia="Aptos Narrow" w:cs="Aptos Narrow"/>
                <w:color w:val="0E2841"/>
                <w:sz w:val="20"/>
                <w:szCs w:val="20"/>
              </w:rPr>
              <w:t>1</w:t>
            </w:r>
          </w:p>
        </w:tc>
        <w:tc>
          <w:tcPr>
            <w:tcW w:w="903" w:type="dxa"/>
            <w:shd w:val="clear" w:color="auto" w:fill="FFFFFF" w:themeFill="background1"/>
            <w:tcMar>
              <w:top w:w="15" w:type="dxa"/>
              <w:left w:w="15" w:type="dxa"/>
              <w:right w:w="15" w:type="dxa"/>
            </w:tcMar>
            <w:vAlign w:val="center"/>
          </w:tcPr>
          <w:p w14:paraId="57FB4083" w14:textId="77777777" w:rsidR="00B92D8F" w:rsidRPr="007C4037" w:rsidRDefault="00B92D8F">
            <w:pPr>
              <w:jc w:val="center"/>
              <w:rPr>
                <w:rFonts w:eastAsia="Aptos Narrow" w:cs="Aptos Narrow"/>
                <w:b/>
                <w:color w:val="0E2841"/>
                <w:sz w:val="20"/>
                <w:szCs w:val="20"/>
              </w:rPr>
            </w:pPr>
            <w:r w:rsidRPr="007C4037">
              <w:rPr>
                <w:rFonts w:eastAsia="Aptos Narrow" w:cs="Aptos Narrow"/>
                <w:b/>
                <w:color w:val="0E2841"/>
                <w:sz w:val="20"/>
                <w:szCs w:val="20"/>
              </w:rPr>
              <w:t>3</w:t>
            </w:r>
          </w:p>
        </w:tc>
      </w:tr>
      <w:tr w:rsidR="00B92D8F" w:rsidRPr="00DF0782" w14:paraId="6B091C11" w14:textId="77777777" w:rsidTr="003D1913">
        <w:trPr>
          <w:trHeight w:val="282"/>
          <w:jc w:val="center"/>
        </w:trPr>
        <w:tc>
          <w:tcPr>
            <w:tcW w:w="4045" w:type="dxa"/>
            <w:tcMar>
              <w:top w:w="15" w:type="dxa"/>
              <w:left w:w="15" w:type="dxa"/>
              <w:right w:w="15" w:type="dxa"/>
            </w:tcMar>
            <w:vAlign w:val="center"/>
          </w:tcPr>
          <w:p w14:paraId="1B63749E" w14:textId="77777777" w:rsidR="00B92D8F" w:rsidRPr="007C4037" w:rsidRDefault="00B92D8F" w:rsidP="003D1913">
            <w:pPr>
              <w:ind w:left="118"/>
              <w:rPr>
                <w:sz w:val="20"/>
                <w:szCs w:val="20"/>
              </w:rPr>
            </w:pPr>
            <w:r w:rsidRPr="007C4037">
              <w:rPr>
                <w:rFonts w:eastAsia="Aptos Narrow" w:cs="Aptos Narrow"/>
                <w:color w:val="0E2841"/>
                <w:sz w:val="20"/>
                <w:szCs w:val="20"/>
              </w:rPr>
              <w:t>Situation réglée</w:t>
            </w:r>
          </w:p>
        </w:tc>
        <w:tc>
          <w:tcPr>
            <w:tcW w:w="918" w:type="dxa"/>
            <w:tcMar>
              <w:top w:w="15" w:type="dxa"/>
              <w:left w:w="15" w:type="dxa"/>
              <w:right w:w="15" w:type="dxa"/>
            </w:tcMar>
            <w:vAlign w:val="center"/>
          </w:tcPr>
          <w:p w14:paraId="517D9176" w14:textId="77777777" w:rsidR="00B92D8F" w:rsidRPr="000C3E80" w:rsidRDefault="00B92D8F">
            <w:pPr>
              <w:jc w:val="center"/>
              <w:rPr>
                <w:color w:val="0E2841"/>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59424152" w14:textId="77777777" w:rsidR="00B92D8F" w:rsidRPr="000C3E80" w:rsidRDefault="00B92D8F">
            <w:pPr>
              <w:jc w:val="center"/>
              <w:rPr>
                <w:color w:val="0E2841"/>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5DD0BE61" w14:textId="77777777" w:rsidR="00B92D8F" w:rsidRPr="000C3E80" w:rsidRDefault="00B92D8F">
            <w:pPr>
              <w:jc w:val="center"/>
              <w:rPr>
                <w:color w:val="0E2841"/>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2C24760B" w14:textId="77777777" w:rsidR="00B92D8F" w:rsidRPr="000C3E80" w:rsidRDefault="00B92D8F">
            <w:pPr>
              <w:jc w:val="center"/>
              <w:rPr>
                <w:color w:val="0E2841"/>
                <w:sz w:val="20"/>
                <w:szCs w:val="20"/>
              </w:rPr>
            </w:pPr>
            <w:r w:rsidRPr="007C4037">
              <w:rPr>
                <w:rFonts w:eastAsia="Aptos Narrow" w:cs="Aptos Narrow"/>
                <w:color w:val="0E2841"/>
                <w:sz w:val="20"/>
                <w:szCs w:val="20"/>
              </w:rPr>
              <w:t>0</w:t>
            </w:r>
          </w:p>
        </w:tc>
        <w:tc>
          <w:tcPr>
            <w:tcW w:w="918" w:type="dxa"/>
            <w:tcMar>
              <w:top w:w="15" w:type="dxa"/>
              <w:left w:w="15" w:type="dxa"/>
              <w:right w:w="15" w:type="dxa"/>
            </w:tcMar>
            <w:vAlign w:val="center"/>
          </w:tcPr>
          <w:p w14:paraId="0DD13F91" w14:textId="77777777" w:rsidR="00B92D8F" w:rsidRPr="000C3E80" w:rsidRDefault="00B92D8F">
            <w:pPr>
              <w:jc w:val="center"/>
              <w:rPr>
                <w:color w:val="0E2841"/>
                <w:sz w:val="20"/>
                <w:szCs w:val="20"/>
              </w:rPr>
            </w:pPr>
            <w:r w:rsidRPr="007C4037">
              <w:rPr>
                <w:rFonts w:eastAsia="Aptos Narrow" w:cs="Aptos Narrow"/>
                <w:color w:val="0E2841"/>
                <w:sz w:val="20"/>
                <w:szCs w:val="20"/>
              </w:rPr>
              <w:t>0</w:t>
            </w:r>
          </w:p>
        </w:tc>
        <w:tc>
          <w:tcPr>
            <w:tcW w:w="903" w:type="dxa"/>
            <w:shd w:val="clear" w:color="auto" w:fill="FFFFFF" w:themeFill="background1"/>
            <w:tcMar>
              <w:top w:w="15" w:type="dxa"/>
              <w:left w:w="15" w:type="dxa"/>
              <w:right w:w="15" w:type="dxa"/>
            </w:tcMar>
            <w:vAlign w:val="center"/>
          </w:tcPr>
          <w:p w14:paraId="2F8060AA" w14:textId="77777777" w:rsidR="00B92D8F" w:rsidRPr="007C4037" w:rsidRDefault="00B92D8F">
            <w:pPr>
              <w:jc w:val="center"/>
              <w:rPr>
                <w:rFonts w:eastAsia="Aptos Narrow" w:cs="Aptos Narrow"/>
                <w:b/>
                <w:color w:val="0E2841"/>
                <w:sz w:val="20"/>
                <w:szCs w:val="20"/>
              </w:rPr>
            </w:pPr>
            <w:r w:rsidRPr="007C4037">
              <w:rPr>
                <w:rFonts w:eastAsia="Aptos Narrow" w:cs="Aptos Narrow"/>
                <w:b/>
                <w:color w:val="0E2841"/>
                <w:sz w:val="20"/>
                <w:szCs w:val="20"/>
              </w:rPr>
              <w:t>0</w:t>
            </w:r>
          </w:p>
        </w:tc>
      </w:tr>
      <w:tr w:rsidR="00B92D8F" w:rsidRPr="00DF0782" w14:paraId="179C7322" w14:textId="77777777" w:rsidTr="003D1913">
        <w:trPr>
          <w:trHeight w:val="282"/>
          <w:jc w:val="center"/>
        </w:trPr>
        <w:tc>
          <w:tcPr>
            <w:tcW w:w="4045" w:type="dxa"/>
            <w:tcMar>
              <w:top w:w="15" w:type="dxa"/>
              <w:left w:w="15" w:type="dxa"/>
              <w:right w:w="15" w:type="dxa"/>
            </w:tcMar>
            <w:vAlign w:val="center"/>
          </w:tcPr>
          <w:p w14:paraId="5786AEDC" w14:textId="525784EE" w:rsidR="00B92D8F" w:rsidRPr="007C4037" w:rsidRDefault="00B92D8F" w:rsidP="003D1913">
            <w:pPr>
              <w:ind w:left="118"/>
              <w:rPr>
                <w:sz w:val="20"/>
                <w:szCs w:val="20"/>
              </w:rPr>
            </w:pPr>
            <w:r w:rsidRPr="007C4037">
              <w:rPr>
                <w:rFonts w:eastAsia="Aptos Narrow" w:cs="Aptos Narrow"/>
                <w:color w:val="0E2841"/>
                <w:sz w:val="20"/>
                <w:szCs w:val="20"/>
              </w:rPr>
              <w:t xml:space="preserve">Autre </w:t>
            </w:r>
            <w:r w:rsidR="00D468E9" w:rsidRPr="007C4037">
              <w:rPr>
                <w:rFonts w:eastAsia="Aptos Narrow" w:cs="Aptos Narrow"/>
                <w:color w:val="0E2841"/>
                <w:sz w:val="20"/>
                <w:szCs w:val="20"/>
              </w:rPr>
              <w:t>r</w:t>
            </w:r>
            <w:r w:rsidRPr="007C4037">
              <w:rPr>
                <w:rFonts w:eastAsia="Aptos Narrow" w:cs="Aptos Narrow"/>
                <w:color w:val="0E2841"/>
                <w:sz w:val="20"/>
                <w:szCs w:val="20"/>
              </w:rPr>
              <w:t>ecours (art. 77</w:t>
            </w:r>
            <w:r w:rsidR="00D468E9" w:rsidRPr="007C4037">
              <w:rPr>
                <w:rFonts w:eastAsia="Aptos Narrow" w:cs="Aptos Narrow"/>
                <w:color w:val="0E2841"/>
                <w:sz w:val="20"/>
                <w:szCs w:val="20"/>
              </w:rPr>
              <w:t xml:space="preserve"> Charte</w:t>
            </w:r>
            <w:r w:rsidRPr="007C4037">
              <w:rPr>
                <w:rFonts w:eastAsia="Aptos Narrow" w:cs="Aptos Narrow"/>
                <w:color w:val="0E2841"/>
                <w:sz w:val="20"/>
                <w:szCs w:val="20"/>
              </w:rPr>
              <w:t>)</w:t>
            </w:r>
          </w:p>
        </w:tc>
        <w:tc>
          <w:tcPr>
            <w:tcW w:w="918" w:type="dxa"/>
            <w:tcMar>
              <w:top w:w="15" w:type="dxa"/>
              <w:left w:w="15" w:type="dxa"/>
              <w:right w:w="15" w:type="dxa"/>
            </w:tcMar>
            <w:vAlign w:val="center"/>
          </w:tcPr>
          <w:p w14:paraId="64EF2355" w14:textId="77777777" w:rsidR="00B92D8F" w:rsidRPr="000C3E80" w:rsidRDefault="00B92D8F">
            <w:pPr>
              <w:jc w:val="center"/>
              <w:rPr>
                <w:color w:val="0E2841"/>
                <w:sz w:val="20"/>
                <w:szCs w:val="20"/>
              </w:rPr>
            </w:pPr>
            <w:r w:rsidRPr="000C3E80">
              <w:rPr>
                <w:rFonts w:eastAsia="Aptos Narrow" w:cs="Aptos Narrow"/>
                <w:color w:val="0E2841"/>
                <w:sz w:val="20"/>
                <w:szCs w:val="20"/>
              </w:rPr>
              <w:t>2</w:t>
            </w:r>
          </w:p>
        </w:tc>
        <w:tc>
          <w:tcPr>
            <w:tcW w:w="918" w:type="dxa"/>
            <w:tcMar>
              <w:top w:w="15" w:type="dxa"/>
              <w:left w:w="15" w:type="dxa"/>
              <w:right w:w="15" w:type="dxa"/>
            </w:tcMar>
            <w:vAlign w:val="center"/>
          </w:tcPr>
          <w:p w14:paraId="452B65EB" w14:textId="77777777" w:rsidR="00B92D8F" w:rsidRPr="000C3E80" w:rsidRDefault="00B92D8F">
            <w:pPr>
              <w:jc w:val="center"/>
              <w:rPr>
                <w:color w:val="0E2841"/>
                <w:sz w:val="20"/>
                <w:szCs w:val="20"/>
              </w:rPr>
            </w:pPr>
            <w:r w:rsidRPr="000C3E80">
              <w:rPr>
                <w:rFonts w:eastAsia="Aptos Narrow" w:cs="Aptos Narrow"/>
                <w:color w:val="0E2841"/>
                <w:sz w:val="20"/>
                <w:szCs w:val="20"/>
              </w:rPr>
              <w:t>5</w:t>
            </w:r>
          </w:p>
        </w:tc>
        <w:tc>
          <w:tcPr>
            <w:tcW w:w="918" w:type="dxa"/>
            <w:tcMar>
              <w:top w:w="15" w:type="dxa"/>
              <w:left w:w="15" w:type="dxa"/>
              <w:right w:w="15" w:type="dxa"/>
            </w:tcMar>
            <w:vAlign w:val="center"/>
          </w:tcPr>
          <w:p w14:paraId="2CF1D3BF" w14:textId="77777777" w:rsidR="00B92D8F" w:rsidRPr="000C3E80" w:rsidRDefault="00B92D8F">
            <w:pPr>
              <w:jc w:val="center"/>
              <w:rPr>
                <w:color w:val="0E2841"/>
                <w:sz w:val="20"/>
                <w:szCs w:val="20"/>
              </w:rPr>
            </w:pPr>
            <w:r w:rsidRPr="000C3E80">
              <w:rPr>
                <w:rFonts w:eastAsia="Aptos Narrow" w:cs="Aptos Narrow"/>
                <w:color w:val="0E2841"/>
                <w:sz w:val="20"/>
                <w:szCs w:val="20"/>
              </w:rPr>
              <w:t>0</w:t>
            </w:r>
          </w:p>
        </w:tc>
        <w:tc>
          <w:tcPr>
            <w:tcW w:w="918" w:type="dxa"/>
            <w:tcMar>
              <w:top w:w="15" w:type="dxa"/>
              <w:left w:w="15" w:type="dxa"/>
              <w:right w:w="15" w:type="dxa"/>
            </w:tcMar>
            <w:vAlign w:val="center"/>
          </w:tcPr>
          <w:p w14:paraId="54550507" w14:textId="77777777" w:rsidR="00B92D8F" w:rsidRPr="000C3E80" w:rsidRDefault="00B92D8F">
            <w:pPr>
              <w:jc w:val="center"/>
              <w:rPr>
                <w:color w:val="0E2841"/>
                <w:sz w:val="20"/>
                <w:szCs w:val="20"/>
              </w:rPr>
            </w:pPr>
            <w:r w:rsidRPr="000C3E80">
              <w:rPr>
                <w:rFonts w:eastAsia="Aptos Narrow" w:cs="Aptos Narrow"/>
                <w:color w:val="0E2841"/>
                <w:sz w:val="20"/>
                <w:szCs w:val="20"/>
              </w:rPr>
              <w:t>2</w:t>
            </w:r>
          </w:p>
        </w:tc>
        <w:tc>
          <w:tcPr>
            <w:tcW w:w="918" w:type="dxa"/>
            <w:tcMar>
              <w:top w:w="15" w:type="dxa"/>
              <w:left w:w="15" w:type="dxa"/>
              <w:right w:w="15" w:type="dxa"/>
            </w:tcMar>
            <w:vAlign w:val="center"/>
          </w:tcPr>
          <w:p w14:paraId="5CAEB1B0" w14:textId="77777777" w:rsidR="00B92D8F" w:rsidRPr="000C3E80" w:rsidRDefault="00B92D8F">
            <w:pPr>
              <w:jc w:val="center"/>
              <w:rPr>
                <w:color w:val="0E2841"/>
                <w:sz w:val="20"/>
                <w:szCs w:val="20"/>
              </w:rPr>
            </w:pPr>
            <w:r w:rsidRPr="000C3E80">
              <w:rPr>
                <w:rFonts w:eastAsia="Aptos Narrow" w:cs="Aptos Narrow"/>
                <w:color w:val="0E2841"/>
                <w:sz w:val="20"/>
                <w:szCs w:val="20"/>
              </w:rPr>
              <w:t>3</w:t>
            </w:r>
          </w:p>
        </w:tc>
        <w:tc>
          <w:tcPr>
            <w:tcW w:w="903" w:type="dxa"/>
            <w:shd w:val="clear" w:color="auto" w:fill="FFFFFF" w:themeFill="background1"/>
            <w:tcMar>
              <w:top w:w="15" w:type="dxa"/>
              <w:left w:w="15" w:type="dxa"/>
              <w:right w:w="15" w:type="dxa"/>
            </w:tcMar>
            <w:vAlign w:val="center"/>
          </w:tcPr>
          <w:p w14:paraId="34E3861A" w14:textId="77777777" w:rsidR="00B92D8F" w:rsidRPr="007C4037" w:rsidRDefault="00B92D8F">
            <w:pPr>
              <w:jc w:val="center"/>
              <w:rPr>
                <w:rFonts w:eastAsia="Aptos Narrow" w:cs="Aptos Narrow"/>
                <w:b/>
                <w:color w:val="0E2841"/>
                <w:sz w:val="20"/>
                <w:szCs w:val="20"/>
              </w:rPr>
            </w:pPr>
            <w:r w:rsidRPr="007C4037">
              <w:rPr>
                <w:rFonts w:eastAsia="Aptos Narrow" w:cs="Aptos Narrow"/>
                <w:b/>
                <w:color w:val="0E2841"/>
                <w:sz w:val="20"/>
                <w:szCs w:val="20"/>
              </w:rPr>
              <w:t>12</w:t>
            </w:r>
          </w:p>
        </w:tc>
      </w:tr>
      <w:tr w:rsidR="00B92D8F" w:rsidRPr="00DF0782" w14:paraId="4868E9CD" w14:textId="77777777" w:rsidTr="003D1913">
        <w:trPr>
          <w:trHeight w:val="282"/>
          <w:jc w:val="center"/>
        </w:trPr>
        <w:tc>
          <w:tcPr>
            <w:tcW w:w="4045" w:type="dxa"/>
            <w:shd w:val="clear" w:color="auto" w:fill="E3ECF9"/>
            <w:tcMar>
              <w:top w:w="15" w:type="dxa"/>
              <w:left w:w="15" w:type="dxa"/>
              <w:right w:w="15" w:type="dxa"/>
            </w:tcMar>
            <w:vAlign w:val="center"/>
          </w:tcPr>
          <w:p w14:paraId="67F9911A" w14:textId="77777777" w:rsidR="00B92D8F" w:rsidRPr="007C4037" w:rsidRDefault="00B92D8F" w:rsidP="003D1913">
            <w:pPr>
              <w:ind w:left="118"/>
              <w:rPr>
                <w:sz w:val="20"/>
                <w:szCs w:val="20"/>
              </w:rPr>
            </w:pPr>
            <w:r w:rsidRPr="007C4037">
              <w:rPr>
                <w:rFonts w:eastAsia="Aptos Narrow" w:cs="Aptos Narrow"/>
                <w:b/>
                <w:color w:val="000000" w:themeColor="text1"/>
                <w:sz w:val="20"/>
                <w:szCs w:val="20"/>
              </w:rPr>
              <w:t>Règlement</w:t>
            </w:r>
          </w:p>
        </w:tc>
        <w:tc>
          <w:tcPr>
            <w:tcW w:w="918" w:type="dxa"/>
            <w:shd w:val="clear" w:color="auto" w:fill="E3ECF9"/>
            <w:tcMar>
              <w:top w:w="15" w:type="dxa"/>
              <w:left w:w="15" w:type="dxa"/>
              <w:right w:w="15" w:type="dxa"/>
            </w:tcMar>
            <w:vAlign w:val="center"/>
          </w:tcPr>
          <w:p w14:paraId="6C4083A9" w14:textId="77777777" w:rsidR="00B92D8F" w:rsidRPr="007C4037" w:rsidRDefault="00B92D8F">
            <w:pPr>
              <w:jc w:val="center"/>
              <w:rPr>
                <w:sz w:val="20"/>
                <w:szCs w:val="20"/>
              </w:rPr>
            </w:pPr>
            <w:r w:rsidRPr="007C4037">
              <w:rPr>
                <w:rFonts w:eastAsia="Aptos Narrow" w:cs="Aptos Narrow"/>
                <w:b/>
                <w:color w:val="000000" w:themeColor="text1"/>
                <w:sz w:val="20"/>
                <w:szCs w:val="20"/>
              </w:rPr>
              <w:t>1</w:t>
            </w:r>
          </w:p>
        </w:tc>
        <w:tc>
          <w:tcPr>
            <w:tcW w:w="918" w:type="dxa"/>
            <w:shd w:val="clear" w:color="auto" w:fill="E3ECF9"/>
            <w:tcMar>
              <w:top w:w="15" w:type="dxa"/>
              <w:left w:w="15" w:type="dxa"/>
              <w:right w:w="15" w:type="dxa"/>
            </w:tcMar>
            <w:vAlign w:val="center"/>
          </w:tcPr>
          <w:p w14:paraId="0207D5D9" w14:textId="77777777" w:rsidR="00B92D8F" w:rsidRPr="007C4037" w:rsidRDefault="00B92D8F">
            <w:pPr>
              <w:jc w:val="center"/>
              <w:rPr>
                <w:sz w:val="20"/>
                <w:szCs w:val="20"/>
              </w:rPr>
            </w:pPr>
            <w:r w:rsidRPr="007C4037">
              <w:rPr>
                <w:rFonts w:eastAsia="Aptos Narrow" w:cs="Aptos Narrow"/>
                <w:b/>
                <w:color w:val="000000" w:themeColor="text1"/>
                <w:sz w:val="20"/>
                <w:szCs w:val="20"/>
              </w:rPr>
              <w:t>2</w:t>
            </w:r>
          </w:p>
        </w:tc>
        <w:tc>
          <w:tcPr>
            <w:tcW w:w="918" w:type="dxa"/>
            <w:shd w:val="clear" w:color="auto" w:fill="E3ECF9"/>
            <w:tcMar>
              <w:top w:w="15" w:type="dxa"/>
              <w:left w:w="15" w:type="dxa"/>
              <w:right w:w="15" w:type="dxa"/>
            </w:tcMar>
            <w:vAlign w:val="center"/>
          </w:tcPr>
          <w:p w14:paraId="01A3853B" w14:textId="77777777" w:rsidR="00B92D8F" w:rsidRPr="007C4037" w:rsidRDefault="00B92D8F">
            <w:pPr>
              <w:jc w:val="center"/>
              <w:rPr>
                <w:sz w:val="20"/>
                <w:szCs w:val="20"/>
              </w:rPr>
            </w:pPr>
            <w:r w:rsidRPr="007C4037">
              <w:rPr>
                <w:rFonts w:eastAsia="Aptos Narrow" w:cs="Aptos Narrow"/>
                <w:b/>
                <w:color w:val="000000" w:themeColor="text1"/>
                <w:sz w:val="20"/>
                <w:szCs w:val="20"/>
              </w:rPr>
              <w:t>2</w:t>
            </w:r>
          </w:p>
        </w:tc>
        <w:tc>
          <w:tcPr>
            <w:tcW w:w="918" w:type="dxa"/>
            <w:shd w:val="clear" w:color="auto" w:fill="E3ECF9"/>
            <w:tcMar>
              <w:top w:w="15" w:type="dxa"/>
              <w:left w:w="15" w:type="dxa"/>
              <w:right w:w="15" w:type="dxa"/>
            </w:tcMar>
            <w:vAlign w:val="center"/>
          </w:tcPr>
          <w:p w14:paraId="793AE008" w14:textId="77777777" w:rsidR="00B92D8F" w:rsidRPr="007C4037" w:rsidRDefault="00B92D8F">
            <w:pPr>
              <w:jc w:val="center"/>
              <w:rPr>
                <w:sz w:val="20"/>
                <w:szCs w:val="20"/>
              </w:rPr>
            </w:pPr>
            <w:r w:rsidRPr="007C4037">
              <w:rPr>
                <w:rFonts w:eastAsia="Aptos Narrow" w:cs="Aptos Narrow"/>
                <w:b/>
                <w:color w:val="000000" w:themeColor="text1"/>
                <w:sz w:val="20"/>
                <w:szCs w:val="20"/>
              </w:rPr>
              <w:t>1</w:t>
            </w:r>
          </w:p>
        </w:tc>
        <w:tc>
          <w:tcPr>
            <w:tcW w:w="918" w:type="dxa"/>
            <w:shd w:val="clear" w:color="auto" w:fill="E3ECF9"/>
            <w:tcMar>
              <w:top w:w="15" w:type="dxa"/>
              <w:left w:w="15" w:type="dxa"/>
              <w:right w:w="15" w:type="dxa"/>
            </w:tcMar>
            <w:vAlign w:val="center"/>
          </w:tcPr>
          <w:p w14:paraId="62B17B33" w14:textId="77777777" w:rsidR="00B92D8F" w:rsidRPr="007C4037" w:rsidRDefault="00B92D8F">
            <w:pPr>
              <w:jc w:val="center"/>
              <w:rPr>
                <w:sz w:val="20"/>
                <w:szCs w:val="20"/>
              </w:rPr>
            </w:pPr>
            <w:r w:rsidRPr="007C4037">
              <w:rPr>
                <w:rFonts w:eastAsia="Aptos Narrow" w:cs="Aptos Narrow"/>
                <w:b/>
                <w:color w:val="000000" w:themeColor="text1"/>
                <w:sz w:val="20"/>
                <w:szCs w:val="20"/>
              </w:rPr>
              <w:t>3</w:t>
            </w:r>
          </w:p>
        </w:tc>
        <w:tc>
          <w:tcPr>
            <w:tcW w:w="903" w:type="dxa"/>
            <w:shd w:val="clear" w:color="auto" w:fill="E3ECF9"/>
            <w:tcMar>
              <w:top w:w="15" w:type="dxa"/>
              <w:left w:w="15" w:type="dxa"/>
              <w:right w:w="15" w:type="dxa"/>
            </w:tcMar>
            <w:vAlign w:val="center"/>
          </w:tcPr>
          <w:p w14:paraId="4DD03AB4" w14:textId="77777777" w:rsidR="00B92D8F" w:rsidRPr="006F472D" w:rsidRDefault="00B92D8F">
            <w:pPr>
              <w:jc w:val="center"/>
              <w:rPr>
                <w:rFonts w:eastAsia="Aptos Narrow" w:cs="Aptos Narrow"/>
                <w:b/>
                <w:color w:val="CF3575"/>
                <w:sz w:val="20"/>
                <w:szCs w:val="20"/>
              </w:rPr>
            </w:pPr>
            <w:r w:rsidRPr="007C4037">
              <w:rPr>
                <w:rFonts w:eastAsia="Aptos Narrow" w:cs="Aptos Narrow"/>
                <w:b/>
                <w:color w:val="CF3575"/>
                <w:sz w:val="20"/>
                <w:szCs w:val="20"/>
              </w:rPr>
              <w:t>9</w:t>
            </w:r>
          </w:p>
        </w:tc>
      </w:tr>
      <w:tr w:rsidR="00B92D8F" w:rsidRPr="007F472F" w14:paraId="2EDEFE16" w14:textId="77777777" w:rsidTr="003D1913">
        <w:trPr>
          <w:trHeight w:val="580"/>
          <w:jc w:val="center"/>
        </w:trPr>
        <w:tc>
          <w:tcPr>
            <w:tcW w:w="4045" w:type="dxa"/>
            <w:shd w:val="clear" w:color="auto" w:fill="E3ECF9"/>
            <w:tcMar>
              <w:top w:w="15" w:type="dxa"/>
              <w:left w:w="15" w:type="dxa"/>
              <w:right w:w="15" w:type="dxa"/>
            </w:tcMar>
            <w:vAlign w:val="center"/>
          </w:tcPr>
          <w:p w14:paraId="7BDE3237" w14:textId="41374982" w:rsidR="00B92D8F" w:rsidRPr="002C5545" w:rsidRDefault="00B92D8F" w:rsidP="003D1913">
            <w:pPr>
              <w:ind w:left="118"/>
              <w:rPr>
                <w:color w:val="auto"/>
                <w:sz w:val="20"/>
                <w:szCs w:val="20"/>
              </w:rPr>
            </w:pPr>
            <w:r w:rsidRPr="002C5545">
              <w:rPr>
                <w:rFonts w:eastAsia="Aptos Narrow" w:cs="Aptos Narrow"/>
                <w:b/>
                <w:color w:val="auto"/>
                <w:sz w:val="20"/>
                <w:szCs w:val="20"/>
              </w:rPr>
              <w:t>Décision de la Commission</w:t>
            </w:r>
            <w:r w:rsidR="007C4037" w:rsidRPr="002C5545">
              <w:rPr>
                <w:rFonts w:eastAsia="Aptos Narrow" w:cs="Aptos Narrow"/>
                <w:b/>
                <w:color w:val="auto"/>
                <w:sz w:val="20"/>
                <w:szCs w:val="20"/>
              </w:rPr>
              <w:br/>
            </w:r>
            <w:r w:rsidRPr="002C5545">
              <w:rPr>
                <w:rFonts w:eastAsia="Aptos Narrow" w:cs="Aptos Narrow"/>
                <w:b/>
                <w:color w:val="auto"/>
                <w:sz w:val="20"/>
                <w:szCs w:val="20"/>
              </w:rPr>
              <w:t>à l'issue de l'enquête</w:t>
            </w:r>
          </w:p>
        </w:tc>
        <w:tc>
          <w:tcPr>
            <w:tcW w:w="918" w:type="dxa"/>
            <w:shd w:val="clear" w:color="auto" w:fill="E3ECF9"/>
            <w:tcMar>
              <w:top w:w="15" w:type="dxa"/>
              <w:left w:w="15" w:type="dxa"/>
              <w:right w:w="15" w:type="dxa"/>
            </w:tcMar>
            <w:vAlign w:val="center"/>
          </w:tcPr>
          <w:p w14:paraId="16395288" w14:textId="77777777" w:rsidR="00B92D8F" w:rsidRPr="002C5545" w:rsidRDefault="00B92D8F">
            <w:pPr>
              <w:jc w:val="center"/>
              <w:rPr>
                <w:color w:val="auto"/>
                <w:sz w:val="20"/>
                <w:szCs w:val="20"/>
              </w:rPr>
            </w:pPr>
            <w:r w:rsidRPr="002C5545">
              <w:rPr>
                <w:rFonts w:eastAsia="Aptos Narrow" w:cs="Aptos Narrow"/>
                <w:b/>
                <w:color w:val="auto"/>
                <w:sz w:val="20"/>
                <w:szCs w:val="20"/>
              </w:rPr>
              <w:t>1</w:t>
            </w:r>
          </w:p>
        </w:tc>
        <w:tc>
          <w:tcPr>
            <w:tcW w:w="918" w:type="dxa"/>
            <w:shd w:val="clear" w:color="auto" w:fill="E3ECF9"/>
            <w:tcMar>
              <w:top w:w="15" w:type="dxa"/>
              <w:left w:w="15" w:type="dxa"/>
              <w:right w:w="15" w:type="dxa"/>
            </w:tcMar>
            <w:vAlign w:val="center"/>
          </w:tcPr>
          <w:p w14:paraId="301FEA46" w14:textId="77777777" w:rsidR="00B92D8F" w:rsidRPr="002C5545" w:rsidRDefault="00B92D8F">
            <w:pPr>
              <w:jc w:val="center"/>
              <w:rPr>
                <w:color w:val="auto"/>
                <w:sz w:val="20"/>
                <w:szCs w:val="20"/>
              </w:rPr>
            </w:pPr>
            <w:r w:rsidRPr="002C5545">
              <w:rPr>
                <w:rFonts w:eastAsia="Aptos Narrow" w:cs="Aptos Narrow"/>
                <w:b/>
                <w:color w:val="auto"/>
                <w:sz w:val="20"/>
                <w:szCs w:val="20"/>
              </w:rPr>
              <w:t>1</w:t>
            </w:r>
          </w:p>
        </w:tc>
        <w:tc>
          <w:tcPr>
            <w:tcW w:w="918" w:type="dxa"/>
            <w:shd w:val="clear" w:color="auto" w:fill="E3ECF9"/>
            <w:tcMar>
              <w:top w:w="15" w:type="dxa"/>
              <w:left w:w="15" w:type="dxa"/>
              <w:right w:w="15" w:type="dxa"/>
            </w:tcMar>
            <w:vAlign w:val="center"/>
          </w:tcPr>
          <w:p w14:paraId="536B421D" w14:textId="77777777" w:rsidR="00B92D8F" w:rsidRPr="002C5545" w:rsidRDefault="00B92D8F">
            <w:pPr>
              <w:jc w:val="center"/>
              <w:rPr>
                <w:color w:val="auto"/>
                <w:sz w:val="20"/>
                <w:szCs w:val="20"/>
              </w:rPr>
            </w:pPr>
            <w:r w:rsidRPr="002C5545">
              <w:rPr>
                <w:rFonts w:eastAsia="Aptos Narrow" w:cs="Aptos Narrow"/>
                <w:b/>
                <w:color w:val="auto"/>
                <w:sz w:val="20"/>
                <w:szCs w:val="20"/>
              </w:rPr>
              <w:t>1</w:t>
            </w:r>
          </w:p>
        </w:tc>
        <w:tc>
          <w:tcPr>
            <w:tcW w:w="918" w:type="dxa"/>
            <w:shd w:val="clear" w:color="auto" w:fill="E3ECF9"/>
            <w:tcMar>
              <w:top w:w="15" w:type="dxa"/>
              <w:left w:w="15" w:type="dxa"/>
              <w:right w:w="15" w:type="dxa"/>
            </w:tcMar>
            <w:vAlign w:val="center"/>
          </w:tcPr>
          <w:p w14:paraId="54D445B3" w14:textId="77777777" w:rsidR="00B92D8F" w:rsidRPr="002C5545" w:rsidRDefault="00B92D8F">
            <w:pPr>
              <w:jc w:val="center"/>
              <w:rPr>
                <w:color w:val="auto"/>
                <w:sz w:val="20"/>
                <w:szCs w:val="20"/>
              </w:rPr>
            </w:pPr>
            <w:r w:rsidRPr="002C5545">
              <w:rPr>
                <w:rFonts w:eastAsia="Aptos Narrow" w:cs="Aptos Narrow"/>
                <w:b/>
                <w:color w:val="auto"/>
                <w:sz w:val="20"/>
                <w:szCs w:val="20"/>
              </w:rPr>
              <w:t>2</w:t>
            </w:r>
          </w:p>
        </w:tc>
        <w:tc>
          <w:tcPr>
            <w:tcW w:w="918" w:type="dxa"/>
            <w:shd w:val="clear" w:color="auto" w:fill="E3ECF9"/>
            <w:tcMar>
              <w:top w:w="15" w:type="dxa"/>
              <w:left w:w="15" w:type="dxa"/>
              <w:right w:w="15" w:type="dxa"/>
            </w:tcMar>
            <w:vAlign w:val="center"/>
          </w:tcPr>
          <w:p w14:paraId="6E82C4D5" w14:textId="77777777" w:rsidR="00B92D8F" w:rsidRPr="002C5545" w:rsidRDefault="00B92D8F">
            <w:pPr>
              <w:jc w:val="center"/>
              <w:rPr>
                <w:color w:val="auto"/>
                <w:sz w:val="20"/>
                <w:szCs w:val="20"/>
              </w:rPr>
            </w:pPr>
            <w:r w:rsidRPr="002C5545">
              <w:rPr>
                <w:rFonts w:eastAsia="Aptos Narrow" w:cs="Aptos Narrow"/>
                <w:b/>
                <w:color w:val="auto"/>
                <w:sz w:val="20"/>
                <w:szCs w:val="20"/>
              </w:rPr>
              <w:t>1</w:t>
            </w:r>
          </w:p>
        </w:tc>
        <w:tc>
          <w:tcPr>
            <w:tcW w:w="903" w:type="dxa"/>
            <w:shd w:val="clear" w:color="auto" w:fill="E3ECF9"/>
            <w:tcMar>
              <w:top w:w="15" w:type="dxa"/>
              <w:left w:w="15" w:type="dxa"/>
              <w:right w:w="15" w:type="dxa"/>
            </w:tcMar>
            <w:vAlign w:val="center"/>
          </w:tcPr>
          <w:p w14:paraId="29C6134B" w14:textId="77777777" w:rsidR="00B92D8F" w:rsidRPr="002C5545" w:rsidRDefault="00B92D8F">
            <w:pPr>
              <w:jc w:val="center"/>
              <w:rPr>
                <w:color w:val="auto"/>
                <w:sz w:val="20"/>
                <w:szCs w:val="20"/>
              </w:rPr>
            </w:pPr>
            <w:r w:rsidRPr="006F472D">
              <w:rPr>
                <w:rFonts w:eastAsia="Aptos Narrow" w:cs="Aptos Narrow"/>
                <w:b/>
                <w:color w:val="CF3575"/>
                <w:sz w:val="20"/>
                <w:szCs w:val="20"/>
              </w:rPr>
              <w:t>6</w:t>
            </w:r>
          </w:p>
        </w:tc>
      </w:tr>
      <w:tr w:rsidR="00B92D8F" w:rsidRPr="00DF0782" w14:paraId="32F20AD2" w14:textId="77777777" w:rsidTr="003D1913">
        <w:trPr>
          <w:trHeight w:val="282"/>
          <w:jc w:val="center"/>
        </w:trPr>
        <w:tc>
          <w:tcPr>
            <w:tcW w:w="4045" w:type="dxa"/>
            <w:tcMar>
              <w:top w:w="15" w:type="dxa"/>
              <w:left w:w="15" w:type="dxa"/>
              <w:right w:w="15" w:type="dxa"/>
            </w:tcMar>
            <w:vAlign w:val="center"/>
          </w:tcPr>
          <w:p w14:paraId="63425CBB" w14:textId="77777777" w:rsidR="00B92D8F" w:rsidRPr="007C4037" w:rsidRDefault="00B92D8F" w:rsidP="003D1913">
            <w:pPr>
              <w:ind w:left="118"/>
              <w:rPr>
                <w:sz w:val="20"/>
                <w:szCs w:val="20"/>
              </w:rPr>
            </w:pPr>
            <w:r w:rsidRPr="007C4037">
              <w:rPr>
                <w:rFonts w:eastAsia="Aptos Narrow" w:cs="Aptos Narrow"/>
                <w:color w:val="0E2841"/>
                <w:sz w:val="20"/>
                <w:szCs w:val="20"/>
              </w:rPr>
              <w:t>Preuve insuffisante</w:t>
            </w:r>
          </w:p>
        </w:tc>
        <w:tc>
          <w:tcPr>
            <w:tcW w:w="918" w:type="dxa"/>
            <w:tcMar>
              <w:top w:w="15" w:type="dxa"/>
              <w:left w:w="15" w:type="dxa"/>
              <w:right w:w="15" w:type="dxa"/>
            </w:tcMar>
            <w:vAlign w:val="center"/>
          </w:tcPr>
          <w:p w14:paraId="03EC6900" w14:textId="77777777" w:rsidR="00B92D8F" w:rsidRPr="000C3E80" w:rsidRDefault="00B92D8F">
            <w:pPr>
              <w:jc w:val="center"/>
              <w:rPr>
                <w:color w:val="0E2841"/>
                <w:sz w:val="20"/>
                <w:szCs w:val="20"/>
              </w:rPr>
            </w:pPr>
            <w:r w:rsidRPr="000C3E80">
              <w:rPr>
                <w:rFonts w:eastAsia="Aptos Narrow" w:cs="Aptos Narrow"/>
                <w:color w:val="0E2841"/>
                <w:sz w:val="20"/>
                <w:szCs w:val="20"/>
              </w:rPr>
              <w:t>0</w:t>
            </w:r>
          </w:p>
        </w:tc>
        <w:tc>
          <w:tcPr>
            <w:tcW w:w="918" w:type="dxa"/>
            <w:tcMar>
              <w:top w:w="15" w:type="dxa"/>
              <w:left w:w="15" w:type="dxa"/>
              <w:right w:w="15" w:type="dxa"/>
            </w:tcMar>
            <w:vAlign w:val="center"/>
          </w:tcPr>
          <w:p w14:paraId="1F84CA2B" w14:textId="77777777" w:rsidR="00B92D8F" w:rsidRPr="000C3E80" w:rsidRDefault="00B92D8F">
            <w:pPr>
              <w:jc w:val="center"/>
              <w:rPr>
                <w:color w:val="0E2841"/>
                <w:sz w:val="20"/>
                <w:szCs w:val="20"/>
              </w:rPr>
            </w:pPr>
            <w:r w:rsidRPr="000C3E80">
              <w:rPr>
                <w:rFonts w:eastAsia="Aptos Narrow" w:cs="Aptos Narrow"/>
                <w:color w:val="0E2841"/>
                <w:sz w:val="20"/>
                <w:szCs w:val="20"/>
              </w:rPr>
              <w:t>1</w:t>
            </w:r>
          </w:p>
        </w:tc>
        <w:tc>
          <w:tcPr>
            <w:tcW w:w="918" w:type="dxa"/>
            <w:tcMar>
              <w:top w:w="15" w:type="dxa"/>
              <w:left w:w="15" w:type="dxa"/>
              <w:right w:w="15" w:type="dxa"/>
            </w:tcMar>
            <w:vAlign w:val="center"/>
          </w:tcPr>
          <w:p w14:paraId="444C8AB2" w14:textId="77777777" w:rsidR="00B92D8F" w:rsidRPr="000C3E80" w:rsidRDefault="00B92D8F">
            <w:pPr>
              <w:jc w:val="center"/>
              <w:rPr>
                <w:color w:val="0E2841"/>
                <w:sz w:val="20"/>
                <w:szCs w:val="20"/>
              </w:rPr>
            </w:pPr>
            <w:r w:rsidRPr="000C3E80">
              <w:rPr>
                <w:rFonts w:eastAsia="Aptos Narrow" w:cs="Aptos Narrow"/>
                <w:color w:val="0E2841"/>
                <w:sz w:val="20"/>
                <w:szCs w:val="20"/>
              </w:rPr>
              <w:t>1</w:t>
            </w:r>
          </w:p>
        </w:tc>
        <w:tc>
          <w:tcPr>
            <w:tcW w:w="918" w:type="dxa"/>
            <w:tcMar>
              <w:top w:w="15" w:type="dxa"/>
              <w:left w:w="15" w:type="dxa"/>
              <w:right w:w="15" w:type="dxa"/>
            </w:tcMar>
            <w:vAlign w:val="center"/>
          </w:tcPr>
          <w:p w14:paraId="4771958C" w14:textId="77777777" w:rsidR="00B92D8F" w:rsidRPr="000C3E80" w:rsidRDefault="00B92D8F">
            <w:pPr>
              <w:jc w:val="center"/>
              <w:rPr>
                <w:color w:val="0E2841"/>
                <w:sz w:val="20"/>
                <w:szCs w:val="20"/>
              </w:rPr>
            </w:pPr>
            <w:r w:rsidRPr="000C3E80">
              <w:rPr>
                <w:rFonts w:eastAsia="Aptos Narrow" w:cs="Aptos Narrow"/>
                <w:color w:val="0E2841"/>
                <w:sz w:val="20"/>
                <w:szCs w:val="20"/>
              </w:rPr>
              <w:t>2</w:t>
            </w:r>
          </w:p>
        </w:tc>
        <w:tc>
          <w:tcPr>
            <w:tcW w:w="918" w:type="dxa"/>
            <w:tcMar>
              <w:top w:w="15" w:type="dxa"/>
              <w:left w:w="15" w:type="dxa"/>
              <w:right w:w="15" w:type="dxa"/>
            </w:tcMar>
            <w:vAlign w:val="center"/>
          </w:tcPr>
          <w:p w14:paraId="6B82EF41" w14:textId="77777777" w:rsidR="00B92D8F" w:rsidRPr="000C3E80" w:rsidRDefault="00B92D8F">
            <w:pPr>
              <w:jc w:val="center"/>
              <w:rPr>
                <w:color w:val="0E2841"/>
                <w:sz w:val="20"/>
                <w:szCs w:val="20"/>
              </w:rPr>
            </w:pPr>
            <w:r w:rsidRPr="007C4037">
              <w:rPr>
                <w:rFonts w:eastAsia="Aptos Narrow" w:cs="Aptos Narrow"/>
                <w:color w:val="0E2841"/>
                <w:sz w:val="20"/>
                <w:szCs w:val="20"/>
              </w:rPr>
              <w:t>1</w:t>
            </w:r>
          </w:p>
        </w:tc>
        <w:tc>
          <w:tcPr>
            <w:tcW w:w="903" w:type="dxa"/>
            <w:shd w:val="clear" w:color="auto" w:fill="FFFFFF" w:themeFill="background1"/>
            <w:tcMar>
              <w:top w:w="15" w:type="dxa"/>
              <w:left w:w="15" w:type="dxa"/>
              <w:right w:w="15" w:type="dxa"/>
            </w:tcMar>
            <w:vAlign w:val="center"/>
          </w:tcPr>
          <w:p w14:paraId="192170D3" w14:textId="77777777" w:rsidR="00B92D8F" w:rsidRPr="007C4037" w:rsidRDefault="00B92D8F">
            <w:pPr>
              <w:jc w:val="center"/>
              <w:rPr>
                <w:sz w:val="20"/>
                <w:szCs w:val="20"/>
              </w:rPr>
            </w:pPr>
            <w:r w:rsidRPr="000C3E80">
              <w:rPr>
                <w:rFonts w:eastAsia="Aptos Narrow" w:cs="Aptos Narrow"/>
                <w:b/>
                <w:color w:val="0E2841"/>
                <w:sz w:val="20"/>
                <w:szCs w:val="20"/>
              </w:rPr>
              <w:t>5</w:t>
            </w:r>
          </w:p>
        </w:tc>
      </w:tr>
      <w:tr w:rsidR="00B92D8F" w:rsidRPr="00DF0782" w14:paraId="709B13B9" w14:textId="77777777" w:rsidTr="003D1913">
        <w:trPr>
          <w:trHeight w:val="282"/>
          <w:jc w:val="center"/>
        </w:trPr>
        <w:tc>
          <w:tcPr>
            <w:tcW w:w="4045" w:type="dxa"/>
            <w:tcMar>
              <w:top w:w="15" w:type="dxa"/>
              <w:left w:w="15" w:type="dxa"/>
              <w:right w:w="15" w:type="dxa"/>
            </w:tcMar>
            <w:vAlign w:val="center"/>
          </w:tcPr>
          <w:p w14:paraId="0A95EEA9" w14:textId="6B1D9C5F" w:rsidR="00B92D8F" w:rsidRPr="007C4037" w:rsidRDefault="00B92D8F" w:rsidP="003D1913">
            <w:pPr>
              <w:ind w:left="118"/>
              <w:rPr>
                <w:sz w:val="20"/>
                <w:szCs w:val="20"/>
              </w:rPr>
            </w:pPr>
            <w:r w:rsidRPr="007C4037">
              <w:rPr>
                <w:rFonts w:eastAsia="Aptos Narrow" w:cs="Aptos Narrow"/>
                <w:color w:val="0E2841"/>
                <w:sz w:val="20"/>
                <w:szCs w:val="20"/>
              </w:rPr>
              <w:t xml:space="preserve">Preuve suffisante </w:t>
            </w:r>
            <w:r w:rsidR="00D468E9" w:rsidRPr="007C4037">
              <w:rPr>
                <w:rFonts w:eastAsia="Aptos Narrow" w:cs="Aptos Narrow"/>
                <w:color w:val="0E2841"/>
                <w:sz w:val="20"/>
                <w:szCs w:val="20"/>
              </w:rPr>
              <w:t>(</w:t>
            </w:r>
            <w:r w:rsidRPr="007C4037">
              <w:rPr>
                <w:rFonts w:eastAsia="Aptos Narrow" w:cs="Aptos Narrow"/>
                <w:color w:val="0E2841"/>
                <w:sz w:val="20"/>
                <w:szCs w:val="20"/>
              </w:rPr>
              <w:t>art.</w:t>
            </w:r>
            <w:r w:rsidR="00B55E63" w:rsidRPr="007C4037">
              <w:rPr>
                <w:rFonts w:eastAsia="Aptos Narrow" w:cs="Aptos Narrow"/>
                <w:color w:val="0E2841"/>
                <w:sz w:val="20"/>
                <w:szCs w:val="20"/>
              </w:rPr>
              <w:t xml:space="preserve"> </w:t>
            </w:r>
            <w:r w:rsidRPr="007C4037">
              <w:rPr>
                <w:rFonts w:eastAsia="Aptos Narrow" w:cs="Aptos Narrow"/>
                <w:color w:val="0E2841"/>
                <w:sz w:val="20"/>
                <w:szCs w:val="20"/>
              </w:rPr>
              <w:t>84</w:t>
            </w:r>
            <w:r w:rsidR="00D468E9" w:rsidRPr="007C4037">
              <w:rPr>
                <w:rFonts w:eastAsia="Aptos Narrow" w:cs="Aptos Narrow"/>
                <w:color w:val="0E2841"/>
                <w:sz w:val="20"/>
                <w:szCs w:val="20"/>
              </w:rPr>
              <w:t xml:space="preserve"> Charte)</w:t>
            </w:r>
          </w:p>
        </w:tc>
        <w:tc>
          <w:tcPr>
            <w:tcW w:w="918" w:type="dxa"/>
            <w:tcMar>
              <w:top w:w="15" w:type="dxa"/>
              <w:left w:w="15" w:type="dxa"/>
              <w:right w:w="15" w:type="dxa"/>
            </w:tcMar>
            <w:vAlign w:val="bottom"/>
          </w:tcPr>
          <w:p w14:paraId="34F1911A" w14:textId="77777777" w:rsidR="00B92D8F" w:rsidRPr="000C3E80" w:rsidRDefault="00B92D8F">
            <w:pPr>
              <w:jc w:val="center"/>
              <w:rPr>
                <w:color w:val="0E2841"/>
                <w:sz w:val="20"/>
                <w:szCs w:val="20"/>
              </w:rPr>
            </w:pPr>
            <w:r w:rsidRPr="000C3E80">
              <w:rPr>
                <w:rFonts w:eastAsia="Aptos Narrow" w:cs="Aptos Narrow"/>
                <w:color w:val="0E2841"/>
                <w:sz w:val="20"/>
                <w:szCs w:val="20"/>
              </w:rPr>
              <w:t>1</w:t>
            </w:r>
          </w:p>
        </w:tc>
        <w:tc>
          <w:tcPr>
            <w:tcW w:w="918" w:type="dxa"/>
            <w:tcMar>
              <w:top w:w="15" w:type="dxa"/>
              <w:left w:w="15" w:type="dxa"/>
              <w:right w:w="15" w:type="dxa"/>
            </w:tcMar>
            <w:vAlign w:val="bottom"/>
          </w:tcPr>
          <w:p w14:paraId="325865C4" w14:textId="77777777" w:rsidR="00B92D8F" w:rsidRPr="000C3E80" w:rsidRDefault="00B92D8F">
            <w:pPr>
              <w:jc w:val="center"/>
              <w:rPr>
                <w:color w:val="0E2841"/>
                <w:sz w:val="20"/>
                <w:szCs w:val="20"/>
              </w:rPr>
            </w:pPr>
            <w:r w:rsidRPr="000C3E80">
              <w:rPr>
                <w:rFonts w:eastAsia="Aptos Narrow" w:cs="Aptos Narrow"/>
                <w:color w:val="0E2841"/>
                <w:sz w:val="20"/>
                <w:szCs w:val="20"/>
              </w:rPr>
              <w:t>0</w:t>
            </w:r>
          </w:p>
        </w:tc>
        <w:tc>
          <w:tcPr>
            <w:tcW w:w="918" w:type="dxa"/>
            <w:tcMar>
              <w:top w:w="15" w:type="dxa"/>
              <w:left w:w="15" w:type="dxa"/>
              <w:right w:w="15" w:type="dxa"/>
            </w:tcMar>
            <w:vAlign w:val="bottom"/>
          </w:tcPr>
          <w:p w14:paraId="0444E972" w14:textId="77777777" w:rsidR="00B92D8F" w:rsidRPr="000C3E80" w:rsidRDefault="00B92D8F">
            <w:pPr>
              <w:jc w:val="center"/>
              <w:rPr>
                <w:color w:val="0E2841"/>
                <w:sz w:val="20"/>
                <w:szCs w:val="20"/>
              </w:rPr>
            </w:pPr>
            <w:r w:rsidRPr="000C3E80">
              <w:rPr>
                <w:rFonts w:eastAsia="Aptos Narrow" w:cs="Aptos Narrow"/>
                <w:color w:val="0E2841"/>
                <w:sz w:val="20"/>
                <w:szCs w:val="20"/>
              </w:rPr>
              <w:t>0</w:t>
            </w:r>
          </w:p>
        </w:tc>
        <w:tc>
          <w:tcPr>
            <w:tcW w:w="918" w:type="dxa"/>
            <w:tcMar>
              <w:top w:w="15" w:type="dxa"/>
              <w:left w:w="15" w:type="dxa"/>
              <w:right w:w="15" w:type="dxa"/>
            </w:tcMar>
            <w:vAlign w:val="bottom"/>
          </w:tcPr>
          <w:p w14:paraId="62BC7AB3" w14:textId="77777777" w:rsidR="00B92D8F" w:rsidRPr="000C3E80" w:rsidRDefault="00B92D8F">
            <w:pPr>
              <w:jc w:val="center"/>
              <w:rPr>
                <w:color w:val="0E2841"/>
                <w:sz w:val="20"/>
                <w:szCs w:val="20"/>
              </w:rPr>
            </w:pPr>
            <w:r w:rsidRPr="000C3E80">
              <w:rPr>
                <w:rFonts w:eastAsia="Aptos Narrow" w:cs="Aptos Narrow"/>
                <w:color w:val="0E2841"/>
                <w:sz w:val="20"/>
                <w:szCs w:val="20"/>
              </w:rPr>
              <w:t>0</w:t>
            </w:r>
          </w:p>
        </w:tc>
        <w:tc>
          <w:tcPr>
            <w:tcW w:w="918" w:type="dxa"/>
            <w:tcMar>
              <w:top w:w="15" w:type="dxa"/>
              <w:left w:w="15" w:type="dxa"/>
              <w:right w:w="15" w:type="dxa"/>
            </w:tcMar>
            <w:vAlign w:val="bottom"/>
          </w:tcPr>
          <w:p w14:paraId="73BC1F62" w14:textId="77777777" w:rsidR="00B92D8F" w:rsidRPr="000C3E80" w:rsidRDefault="00B92D8F">
            <w:pPr>
              <w:jc w:val="center"/>
              <w:rPr>
                <w:color w:val="0E2841"/>
                <w:sz w:val="20"/>
                <w:szCs w:val="20"/>
              </w:rPr>
            </w:pPr>
            <w:r w:rsidRPr="000C3E80">
              <w:rPr>
                <w:rFonts w:eastAsia="Aptos Narrow" w:cs="Aptos Narrow"/>
                <w:color w:val="0E2841"/>
                <w:sz w:val="20"/>
                <w:szCs w:val="20"/>
              </w:rPr>
              <w:t>0</w:t>
            </w:r>
          </w:p>
        </w:tc>
        <w:tc>
          <w:tcPr>
            <w:tcW w:w="903" w:type="dxa"/>
            <w:shd w:val="clear" w:color="auto" w:fill="FFFFFF" w:themeFill="background1"/>
            <w:tcMar>
              <w:top w:w="15" w:type="dxa"/>
              <w:left w:w="15" w:type="dxa"/>
              <w:right w:w="15" w:type="dxa"/>
            </w:tcMar>
            <w:vAlign w:val="bottom"/>
          </w:tcPr>
          <w:p w14:paraId="130CE432" w14:textId="77777777" w:rsidR="00B92D8F" w:rsidRPr="007C4037" w:rsidRDefault="00B92D8F">
            <w:pPr>
              <w:jc w:val="center"/>
              <w:rPr>
                <w:sz w:val="20"/>
                <w:szCs w:val="20"/>
              </w:rPr>
            </w:pPr>
            <w:r w:rsidRPr="007C4037">
              <w:rPr>
                <w:rFonts w:eastAsia="Aptos Narrow" w:cs="Aptos Narrow"/>
                <w:b/>
                <w:color w:val="000000" w:themeColor="text1"/>
                <w:sz w:val="20"/>
                <w:szCs w:val="20"/>
              </w:rPr>
              <w:t>1</w:t>
            </w:r>
          </w:p>
        </w:tc>
      </w:tr>
      <w:tr w:rsidR="00B92D8F" w:rsidRPr="007C4037" w14:paraId="38B1F2DE" w14:textId="77777777" w:rsidTr="003D1913">
        <w:trPr>
          <w:trHeight w:val="297"/>
          <w:jc w:val="center"/>
        </w:trPr>
        <w:tc>
          <w:tcPr>
            <w:tcW w:w="4045" w:type="dxa"/>
            <w:shd w:val="clear" w:color="auto" w:fill="E3ECF9"/>
            <w:tcMar>
              <w:top w:w="15" w:type="dxa"/>
              <w:left w:w="15" w:type="dxa"/>
              <w:right w:w="15" w:type="dxa"/>
            </w:tcMar>
            <w:vAlign w:val="center"/>
          </w:tcPr>
          <w:p w14:paraId="08509DF1" w14:textId="77777777" w:rsidR="00B92D8F" w:rsidRPr="00EE600C" w:rsidRDefault="00B92D8F" w:rsidP="003D1913">
            <w:pPr>
              <w:ind w:left="118"/>
              <w:rPr>
                <w:color w:val="auto"/>
                <w:sz w:val="20"/>
                <w:szCs w:val="20"/>
              </w:rPr>
            </w:pPr>
            <w:r w:rsidRPr="00EE600C">
              <w:rPr>
                <w:rFonts w:eastAsia="Aptos Narrow" w:cs="Aptos Narrow"/>
                <w:b/>
                <w:color w:val="auto"/>
                <w:sz w:val="20"/>
                <w:szCs w:val="20"/>
              </w:rPr>
              <w:t>Jugement d'un tribunal</w:t>
            </w:r>
          </w:p>
        </w:tc>
        <w:tc>
          <w:tcPr>
            <w:tcW w:w="918" w:type="dxa"/>
            <w:shd w:val="clear" w:color="auto" w:fill="E3ECF9"/>
            <w:tcMar>
              <w:top w:w="15" w:type="dxa"/>
              <w:left w:w="15" w:type="dxa"/>
              <w:right w:w="15" w:type="dxa"/>
            </w:tcMar>
            <w:vAlign w:val="bottom"/>
          </w:tcPr>
          <w:p w14:paraId="17C7D23D" w14:textId="77777777" w:rsidR="00B92D8F" w:rsidRPr="00EE600C" w:rsidRDefault="00B92D8F">
            <w:pPr>
              <w:jc w:val="center"/>
              <w:rPr>
                <w:color w:val="auto"/>
                <w:sz w:val="20"/>
                <w:szCs w:val="20"/>
              </w:rPr>
            </w:pPr>
            <w:r w:rsidRPr="00EE600C">
              <w:rPr>
                <w:rFonts w:eastAsia="Aptos Narrow" w:cs="Aptos Narrow"/>
                <w:b/>
                <w:color w:val="auto"/>
                <w:sz w:val="20"/>
                <w:szCs w:val="20"/>
              </w:rPr>
              <w:t>0</w:t>
            </w:r>
          </w:p>
        </w:tc>
        <w:tc>
          <w:tcPr>
            <w:tcW w:w="918" w:type="dxa"/>
            <w:shd w:val="clear" w:color="auto" w:fill="E3ECF9"/>
            <w:tcMar>
              <w:top w:w="15" w:type="dxa"/>
              <w:left w:w="15" w:type="dxa"/>
              <w:right w:w="15" w:type="dxa"/>
            </w:tcMar>
            <w:vAlign w:val="bottom"/>
          </w:tcPr>
          <w:p w14:paraId="67D91DAA" w14:textId="77777777" w:rsidR="00B92D8F" w:rsidRPr="00EE600C" w:rsidRDefault="00B92D8F">
            <w:pPr>
              <w:jc w:val="center"/>
              <w:rPr>
                <w:color w:val="auto"/>
                <w:sz w:val="20"/>
                <w:szCs w:val="20"/>
              </w:rPr>
            </w:pPr>
            <w:r w:rsidRPr="00EE600C">
              <w:rPr>
                <w:rFonts w:eastAsia="Aptos Narrow" w:cs="Aptos Narrow"/>
                <w:b/>
                <w:color w:val="auto"/>
                <w:sz w:val="20"/>
                <w:szCs w:val="20"/>
              </w:rPr>
              <w:t>0</w:t>
            </w:r>
          </w:p>
        </w:tc>
        <w:tc>
          <w:tcPr>
            <w:tcW w:w="918" w:type="dxa"/>
            <w:shd w:val="clear" w:color="auto" w:fill="E3ECF9"/>
            <w:tcMar>
              <w:top w:w="15" w:type="dxa"/>
              <w:left w:w="15" w:type="dxa"/>
              <w:right w:w="15" w:type="dxa"/>
            </w:tcMar>
            <w:vAlign w:val="bottom"/>
          </w:tcPr>
          <w:p w14:paraId="0F53E2BF" w14:textId="77777777" w:rsidR="00B92D8F" w:rsidRPr="00EE600C" w:rsidRDefault="00B92D8F">
            <w:pPr>
              <w:jc w:val="center"/>
              <w:rPr>
                <w:color w:val="auto"/>
                <w:sz w:val="20"/>
                <w:szCs w:val="20"/>
              </w:rPr>
            </w:pPr>
            <w:r w:rsidRPr="00EE600C">
              <w:rPr>
                <w:rFonts w:eastAsia="Aptos Narrow" w:cs="Aptos Narrow"/>
                <w:b/>
                <w:color w:val="auto"/>
                <w:sz w:val="20"/>
                <w:szCs w:val="20"/>
              </w:rPr>
              <w:t>0</w:t>
            </w:r>
          </w:p>
        </w:tc>
        <w:tc>
          <w:tcPr>
            <w:tcW w:w="918" w:type="dxa"/>
            <w:shd w:val="clear" w:color="auto" w:fill="E3ECF9"/>
            <w:tcMar>
              <w:top w:w="15" w:type="dxa"/>
              <w:left w:w="15" w:type="dxa"/>
              <w:right w:w="15" w:type="dxa"/>
            </w:tcMar>
            <w:vAlign w:val="bottom"/>
          </w:tcPr>
          <w:p w14:paraId="202E60A7" w14:textId="77777777" w:rsidR="00B92D8F" w:rsidRPr="00EE600C" w:rsidRDefault="00B92D8F">
            <w:pPr>
              <w:jc w:val="center"/>
              <w:rPr>
                <w:color w:val="auto"/>
                <w:sz w:val="20"/>
                <w:szCs w:val="20"/>
              </w:rPr>
            </w:pPr>
            <w:r w:rsidRPr="00EE600C">
              <w:rPr>
                <w:rFonts w:eastAsia="Aptos Narrow" w:cs="Aptos Narrow"/>
                <w:b/>
                <w:color w:val="auto"/>
                <w:sz w:val="20"/>
                <w:szCs w:val="20"/>
              </w:rPr>
              <w:t>0</w:t>
            </w:r>
          </w:p>
        </w:tc>
        <w:tc>
          <w:tcPr>
            <w:tcW w:w="918" w:type="dxa"/>
            <w:shd w:val="clear" w:color="auto" w:fill="E3ECF9"/>
            <w:tcMar>
              <w:top w:w="15" w:type="dxa"/>
              <w:left w:w="15" w:type="dxa"/>
              <w:right w:w="15" w:type="dxa"/>
            </w:tcMar>
            <w:vAlign w:val="bottom"/>
          </w:tcPr>
          <w:p w14:paraId="2E3EA10A" w14:textId="77777777" w:rsidR="00B92D8F" w:rsidRPr="00EE600C" w:rsidRDefault="00B92D8F">
            <w:pPr>
              <w:jc w:val="center"/>
              <w:rPr>
                <w:color w:val="auto"/>
                <w:sz w:val="20"/>
                <w:szCs w:val="20"/>
              </w:rPr>
            </w:pPr>
            <w:r w:rsidRPr="00EE600C">
              <w:rPr>
                <w:rFonts w:eastAsia="Aptos Narrow" w:cs="Aptos Narrow"/>
                <w:b/>
                <w:color w:val="auto"/>
                <w:sz w:val="20"/>
                <w:szCs w:val="20"/>
              </w:rPr>
              <w:t>1</w:t>
            </w:r>
          </w:p>
        </w:tc>
        <w:tc>
          <w:tcPr>
            <w:tcW w:w="903" w:type="dxa"/>
            <w:shd w:val="clear" w:color="auto" w:fill="E3ECF9"/>
            <w:tcMar>
              <w:top w:w="15" w:type="dxa"/>
              <w:left w:w="15" w:type="dxa"/>
              <w:right w:w="15" w:type="dxa"/>
            </w:tcMar>
            <w:vAlign w:val="bottom"/>
          </w:tcPr>
          <w:p w14:paraId="33B4C337" w14:textId="77777777" w:rsidR="00B92D8F" w:rsidRPr="00EE600C" w:rsidRDefault="00B92D8F">
            <w:pPr>
              <w:jc w:val="center"/>
              <w:rPr>
                <w:color w:val="auto"/>
                <w:sz w:val="20"/>
                <w:szCs w:val="20"/>
              </w:rPr>
            </w:pPr>
            <w:r w:rsidRPr="00EE600C">
              <w:rPr>
                <w:rFonts w:eastAsia="Aptos Narrow" w:cs="Aptos Narrow"/>
                <w:b/>
                <w:color w:val="CF3575"/>
                <w:sz w:val="20"/>
                <w:szCs w:val="20"/>
              </w:rPr>
              <w:t>1</w:t>
            </w:r>
          </w:p>
        </w:tc>
      </w:tr>
      <w:tr w:rsidR="00B92D8F" w:rsidRPr="00DF0782" w14:paraId="50107F73" w14:textId="77777777" w:rsidTr="003D1913">
        <w:trPr>
          <w:trHeight w:val="487"/>
          <w:jc w:val="center"/>
        </w:trPr>
        <w:tc>
          <w:tcPr>
            <w:tcW w:w="4045" w:type="dxa"/>
            <w:shd w:val="clear" w:color="auto" w:fill="D0D0D0"/>
            <w:tcMar>
              <w:top w:w="15" w:type="dxa"/>
              <w:left w:w="15" w:type="dxa"/>
              <w:right w:w="15" w:type="dxa"/>
            </w:tcMar>
            <w:vAlign w:val="center"/>
          </w:tcPr>
          <w:p w14:paraId="1DBEF8FB" w14:textId="77777777" w:rsidR="00B92D8F" w:rsidRPr="007C4037" w:rsidRDefault="00B92D8F" w:rsidP="003D1913">
            <w:pPr>
              <w:ind w:left="118"/>
              <w:rPr>
                <w:sz w:val="20"/>
                <w:szCs w:val="20"/>
              </w:rPr>
            </w:pPr>
            <w:r w:rsidRPr="007C4037">
              <w:rPr>
                <w:rFonts w:eastAsia="Aptos Narrow" w:cs="Aptos Narrow"/>
                <w:b/>
                <w:color w:val="000000" w:themeColor="text1"/>
                <w:sz w:val="20"/>
                <w:szCs w:val="20"/>
              </w:rPr>
              <w:t>Total</w:t>
            </w:r>
          </w:p>
        </w:tc>
        <w:tc>
          <w:tcPr>
            <w:tcW w:w="918" w:type="dxa"/>
            <w:shd w:val="clear" w:color="auto" w:fill="D0D0D0"/>
            <w:tcMar>
              <w:top w:w="15" w:type="dxa"/>
              <w:left w:w="15" w:type="dxa"/>
              <w:right w:w="15" w:type="dxa"/>
            </w:tcMar>
            <w:vAlign w:val="center"/>
          </w:tcPr>
          <w:p w14:paraId="42626FDA" w14:textId="77777777" w:rsidR="00B92D8F" w:rsidRPr="007C4037" w:rsidRDefault="00B92D8F">
            <w:pPr>
              <w:jc w:val="center"/>
              <w:rPr>
                <w:sz w:val="20"/>
                <w:szCs w:val="20"/>
              </w:rPr>
            </w:pPr>
            <w:r w:rsidRPr="007C4037">
              <w:rPr>
                <w:rFonts w:eastAsia="Aptos Narrow" w:cs="Aptos Narrow"/>
                <w:b/>
                <w:color w:val="000000" w:themeColor="text1"/>
                <w:sz w:val="20"/>
                <w:szCs w:val="20"/>
              </w:rPr>
              <w:t>18</w:t>
            </w:r>
          </w:p>
        </w:tc>
        <w:tc>
          <w:tcPr>
            <w:tcW w:w="918" w:type="dxa"/>
            <w:shd w:val="clear" w:color="auto" w:fill="D0D0D0"/>
            <w:tcMar>
              <w:top w:w="15" w:type="dxa"/>
              <w:left w:w="15" w:type="dxa"/>
              <w:right w:w="15" w:type="dxa"/>
            </w:tcMar>
            <w:vAlign w:val="center"/>
          </w:tcPr>
          <w:p w14:paraId="5569E0A6" w14:textId="77777777" w:rsidR="00B92D8F" w:rsidRPr="007C4037" w:rsidRDefault="00B92D8F">
            <w:pPr>
              <w:jc w:val="center"/>
              <w:rPr>
                <w:sz w:val="20"/>
                <w:szCs w:val="20"/>
              </w:rPr>
            </w:pPr>
            <w:r w:rsidRPr="007C4037">
              <w:rPr>
                <w:rFonts w:eastAsia="Aptos Narrow" w:cs="Aptos Narrow"/>
                <w:b/>
                <w:color w:val="000000" w:themeColor="text1"/>
                <w:sz w:val="20"/>
                <w:szCs w:val="20"/>
              </w:rPr>
              <w:t>18</w:t>
            </w:r>
          </w:p>
        </w:tc>
        <w:tc>
          <w:tcPr>
            <w:tcW w:w="918" w:type="dxa"/>
            <w:shd w:val="clear" w:color="auto" w:fill="D0D0D0"/>
            <w:tcMar>
              <w:top w:w="15" w:type="dxa"/>
              <w:left w:w="15" w:type="dxa"/>
              <w:right w:w="15" w:type="dxa"/>
            </w:tcMar>
            <w:vAlign w:val="center"/>
          </w:tcPr>
          <w:p w14:paraId="59DC3411" w14:textId="77777777" w:rsidR="00B92D8F" w:rsidRPr="007C4037" w:rsidRDefault="00B92D8F">
            <w:pPr>
              <w:jc w:val="center"/>
              <w:rPr>
                <w:sz w:val="20"/>
                <w:szCs w:val="20"/>
              </w:rPr>
            </w:pPr>
            <w:r w:rsidRPr="007C4037">
              <w:rPr>
                <w:rFonts w:eastAsia="Aptos Narrow" w:cs="Aptos Narrow"/>
                <w:b/>
                <w:color w:val="000000" w:themeColor="text1"/>
                <w:sz w:val="20"/>
                <w:szCs w:val="20"/>
              </w:rPr>
              <w:t>25</w:t>
            </w:r>
          </w:p>
        </w:tc>
        <w:tc>
          <w:tcPr>
            <w:tcW w:w="918" w:type="dxa"/>
            <w:shd w:val="clear" w:color="auto" w:fill="D0D0D0"/>
            <w:tcMar>
              <w:top w:w="15" w:type="dxa"/>
              <w:left w:w="15" w:type="dxa"/>
              <w:right w:w="15" w:type="dxa"/>
            </w:tcMar>
            <w:vAlign w:val="center"/>
          </w:tcPr>
          <w:p w14:paraId="6FC6625D" w14:textId="77777777" w:rsidR="00B92D8F" w:rsidRPr="007C4037" w:rsidRDefault="00B92D8F">
            <w:pPr>
              <w:jc w:val="center"/>
              <w:rPr>
                <w:sz w:val="20"/>
                <w:szCs w:val="20"/>
              </w:rPr>
            </w:pPr>
            <w:r w:rsidRPr="007C4037">
              <w:rPr>
                <w:rFonts w:eastAsia="Aptos Narrow" w:cs="Aptos Narrow"/>
                <w:b/>
                <w:color w:val="000000" w:themeColor="text1"/>
                <w:sz w:val="20"/>
                <w:szCs w:val="20"/>
              </w:rPr>
              <w:t>20</w:t>
            </w:r>
          </w:p>
        </w:tc>
        <w:tc>
          <w:tcPr>
            <w:tcW w:w="918" w:type="dxa"/>
            <w:shd w:val="clear" w:color="auto" w:fill="D0D0D0"/>
            <w:tcMar>
              <w:top w:w="15" w:type="dxa"/>
              <w:left w:w="15" w:type="dxa"/>
              <w:right w:w="15" w:type="dxa"/>
            </w:tcMar>
            <w:vAlign w:val="center"/>
          </w:tcPr>
          <w:p w14:paraId="28B88319" w14:textId="77777777" w:rsidR="00B92D8F" w:rsidRPr="007C4037" w:rsidRDefault="00B92D8F">
            <w:pPr>
              <w:jc w:val="center"/>
              <w:rPr>
                <w:sz w:val="20"/>
                <w:szCs w:val="20"/>
              </w:rPr>
            </w:pPr>
            <w:r w:rsidRPr="007C4037">
              <w:rPr>
                <w:rFonts w:eastAsia="Aptos Narrow" w:cs="Aptos Narrow"/>
                <w:b/>
                <w:color w:val="000000" w:themeColor="text1"/>
                <w:sz w:val="20"/>
                <w:szCs w:val="20"/>
              </w:rPr>
              <w:t>48</w:t>
            </w:r>
          </w:p>
        </w:tc>
        <w:tc>
          <w:tcPr>
            <w:tcW w:w="903" w:type="dxa"/>
            <w:shd w:val="clear" w:color="auto" w:fill="D0D0D0"/>
            <w:tcMar>
              <w:top w:w="15" w:type="dxa"/>
              <w:left w:w="15" w:type="dxa"/>
              <w:right w:w="15" w:type="dxa"/>
            </w:tcMar>
            <w:vAlign w:val="center"/>
          </w:tcPr>
          <w:p w14:paraId="498A0C8E" w14:textId="77777777" w:rsidR="00B92D8F" w:rsidRPr="007C4037" w:rsidRDefault="00B92D8F">
            <w:pPr>
              <w:jc w:val="center"/>
              <w:rPr>
                <w:sz w:val="20"/>
                <w:szCs w:val="20"/>
              </w:rPr>
            </w:pPr>
            <w:r w:rsidRPr="003D1913">
              <w:rPr>
                <w:rFonts w:eastAsia="Aptos Narrow" w:cs="Aptos Narrow"/>
                <w:b/>
                <w:color w:val="CF3575"/>
                <w:sz w:val="20"/>
                <w:szCs w:val="20"/>
              </w:rPr>
              <w:t>129</w:t>
            </w:r>
          </w:p>
        </w:tc>
      </w:tr>
    </w:tbl>
    <w:p w14:paraId="3CAFB0BB" w14:textId="43384190" w:rsidR="00273457" w:rsidRPr="00A839DD" w:rsidRDefault="00B80569" w:rsidP="0006339A">
      <w:pPr>
        <w:pStyle w:val="Paragraphe"/>
      </w:pPr>
      <w:r w:rsidRPr="00A839DD">
        <w:lastRenderedPageBreak/>
        <w:t>La fermeture d’un dossier par la Commission ne signifie pas nécessairement qu’il n’y a pas eu de discrimination. Dans la très grande majorité de cas, les dossiers sont clos pour des motifs administratifs, procéduraux ou liés à la compétence de la Commission, et non en raison d’une conclusion sur le fond de la plainte.</w:t>
      </w:r>
    </w:p>
    <w:p w14:paraId="4547C8AA" w14:textId="3D88AAA8" w:rsidR="00B67155" w:rsidRPr="00A839DD" w:rsidRDefault="001D3E83" w:rsidP="001D3E83">
      <w:pPr>
        <w:pStyle w:val="Titre2"/>
        <w:rPr>
          <w:noProof w:val="0"/>
        </w:rPr>
      </w:pPr>
      <w:bookmarkStart w:id="172" w:name="_Toc229131337"/>
      <w:r w:rsidRPr="00A839DD">
        <w:rPr>
          <w:noProof w:val="0"/>
        </w:rPr>
        <w:t>Les p</w:t>
      </w:r>
      <w:r w:rsidR="00B67155" w:rsidRPr="00A839DD">
        <w:rPr>
          <w:noProof w:val="0"/>
        </w:rPr>
        <w:t>laintes non recevables</w:t>
      </w:r>
      <w:bookmarkEnd w:id="172"/>
    </w:p>
    <w:p w14:paraId="0837B5DD" w14:textId="508A1926" w:rsidR="00B67155" w:rsidRPr="00A839DD" w:rsidRDefault="00B67155" w:rsidP="0006339A">
      <w:pPr>
        <w:pStyle w:val="Paragraphe"/>
      </w:pPr>
      <w:r w:rsidRPr="00A839DD">
        <w:t>Une plainte sur trois (34%, 44/129) est fermée parce qu’elle n’est pas recevable. Les motifs d’irrecevabilité incluent par exemple :</w:t>
      </w:r>
    </w:p>
    <w:p w14:paraId="5C488F17" w14:textId="60F0E46E" w:rsidR="00B67155" w:rsidRPr="00A839DD" w:rsidRDefault="00B67155" w:rsidP="00B67155">
      <w:pPr>
        <w:pStyle w:val="puces0"/>
      </w:pPr>
      <w:proofErr w:type="gramStart"/>
      <w:r w:rsidRPr="00A839DD">
        <w:t>l’absence</w:t>
      </w:r>
      <w:proofErr w:type="gramEnd"/>
      <w:r w:rsidRPr="00A839DD">
        <w:t xml:space="preserve"> d’éléments nécessaires au traitement de la plainte</w:t>
      </w:r>
      <w:r w:rsidR="00F21382">
        <w:rPr>
          <w:rFonts w:ascii="Arial" w:hAnsi="Arial" w:cs="Arial"/>
        </w:rPr>
        <w:t> </w:t>
      </w:r>
      <w:r w:rsidRPr="00A839DD">
        <w:t>;</w:t>
      </w:r>
    </w:p>
    <w:p w14:paraId="66A63AD9" w14:textId="60B79157" w:rsidR="00B67155" w:rsidRPr="00A839DD" w:rsidRDefault="00B67155" w:rsidP="00B67155">
      <w:pPr>
        <w:pStyle w:val="puces0"/>
      </w:pPr>
      <w:proofErr w:type="gramStart"/>
      <w:r w:rsidRPr="00A839DD">
        <w:t>des</w:t>
      </w:r>
      <w:proofErr w:type="gramEnd"/>
      <w:r w:rsidRPr="00A839DD">
        <w:t xml:space="preserve"> faits qui ne constituent pas, à première vue, un cas de discrimination au sens de la Charte</w:t>
      </w:r>
      <w:r w:rsidR="001724AE" w:rsidRPr="00A839DD">
        <w:t xml:space="preserve"> ou qui ne relèvent pas de la compétence de la Commission</w:t>
      </w:r>
      <w:r w:rsidR="00F21382">
        <w:rPr>
          <w:rFonts w:ascii="Arial" w:hAnsi="Arial" w:cs="Arial"/>
        </w:rPr>
        <w:t> </w:t>
      </w:r>
      <w:r w:rsidRPr="00A839DD">
        <w:t>;</w:t>
      </w:r>
    </w:p>
    <w:p w14:paraId="372E59CC" w14:textId="064D54BD" w:rsidR="00B67155" w:rsidRPr="00A839DD" w:rsidRDefault="00B67155" w:rsidP="00B67155">
      <w:pPr>
        <w:pStyle w:val="puces0"/>
      </w:pPr>
      <w:proofErr w:type="gramStart"/>
      <w:r w:rsidRPr="00A839DD">
        <w:t>une</w:t>
      </w:r>
      <w:proofErr w:type="gramEnd"/>
      <w:r w:rsidRPr="00A839DD">
        <w:t xml:space="preserve"> situation hors de la juridiction de la Commission, par exemple une plainte visant un milieu de travail de compétence fédérale ou visant un milieu de travail syndiqué</w:t>
      </w:r>
      <w:r w:rsidR="001724AE" w:rsidRPr="00A839DD">
        <w:t>.</w:t>
      </w:r>
    </w:p>
    <w:p w14:paraId="0317545D" w14:textId="72C3EDF9" w:rsidR="00B80569" w:rsidRPr="00A839DD" w:rsidRDefault="001D3E83" w:rsidP="001D3E83">
      <w:pPr>
        <w:pStyle w:val="Titre2"/>
        <w:rPr>
          <w:noProof w:val="0"/>
        </w:rPr>
      </w:pPr>
      <w:bookmarkStart w:id="173" w:name="_Toc229131338"/>
      <w:r w:rsidRPr="00A839DD">
        <w:rPr>
          <w:noProof w:val="0"/>
        </w:rPr>
        <w:t>L</w:t>
      </w:r>
      <w:r w:rsidR="000E0483" w:rsidRPr="00A839DD">
        <w:rPr>
          <w:noProof w:val="0"/>
        </w:rPr>
        <w:t>es</w:t>
      </w:r>
      <w:r w:rsidRPr="00A839DD">
        <w:rPr>
          <w:noProof w:val="0"/>
        </w:rPr>
        <w:t xml:space="preserve"> f</w:t>
      </w:r>
      <w:r w:rsidR="006E3E2E" w:rsidRPr="00A839DD">
        <w:rPr>
          <w:noProof w:val="0"/>
        </w:rPr>
        <w:t>ermeture</w:t>
      </w:r>
      <w:r w:rsidR="000E0483" w:rsidRPr="00A839DD">
        <w:rPr>
          <w:noProof w:val="0"/>
        </w:rPr>
        <w:t>s</w:t>
      </w:r>
      <w:r w:rsidR="001C0A7C" w:rsidRPr="00A839DD">
        <w:rPr>
          <w:noProof w:val="0"/>
        </w:rPr>
        <w:t xml:space="preserve"> pour motifs administratifs</w:t>
      </w:r>
      <w:bookmarkEnd w:id="173"/>
    </w:p>
    <w:p w14:paraId="664F92EA" w14:textId="2A8142F0" w:rsidR="001C0A7C" w:rsidRPr="00A839DD" w:rsidRDefault="005825E7" w:rsidP="0006339A">
      <w:pPr>
        <w:pStyle w:val="Paragraphe"/>
      </w:pPr>
      <w:r w:rsidRPr="00A839DD">
        <w:t>P</w:t>
      </w:r>
      <w:r w:rsidR="009C1D28" w:rsidRPr="00A839DD">
        <w:t xml:space="preserve">lus </w:t>
      </w:r>
      <w:r w:rsidRPr="00A839DD">
        <w:t xml:space="preserve">d’un </w:t>
      </w:r>
      <w:r w:rsidR="006E3E2E" w:rsidRPr="00A839DD">
        <w:t>dossier</w:t>
      </w:r>
      <w:r w:rsidR="001C0A7C" w:rsidRPr="00A839DD">
        <w:t xml:space="preserve"> sur deux (</w:t>
      </w:r>
      <w:r w:rsidR="00E531BB" w:rsidRPr="00A839DD">
        <w:t>53</w:t>
      </w:r>
      <w:r w:rsidR="001C0A7C" w:rsidRPr="00A839DD">
        <w:t xml:space="preserve"> </w:t>
      </w:r>
      <w:r w:rsidRPr="00A839DD">
        <w:t>%, 6</w:t>
      </w:r>
      <w:r w:rsidR="00E531BB" w:rsidRPr="00A839DD">
        <w:t xml:space="preserve">9 </w:t>
      </w:r>
      <w:r w:rsidRPr="00A839DD">
        <w:t>/1</w:t>
      </w:r>
      <w:r w:rsidR="00E531BB" w:rsidRPr="00A839DD">
        <w:t>29</w:t>
      </w:r>
      <w:r w:rsidRPr="00A839DD">
        <w:t>)</w:t>
      </w:r>
      <w:r w:rsidR="006E3E2E" w:rsidRPr="00A839DD">
        <w:t xml:space="preserve"> est</w:t>
      </w:r>
      <w:r w:rsidR="001C0A7C" w:rsidRPr="00A839DD">
        <w:t xml:space="preserve"> fermé pour des motifs administratifs</w:t>
      </w:r>
      <w:r w:rsidRPr="00A839DD">
        <w:t>.</w:t>
      </w:r>
      <w:r w:rsidR="001C0A7C" w:rsidRPr="00A839DD">
        <w:t xml:space="preserve"> </w:t>
      </w:r>
      <w:r w:rsidR="006E3E2E" w:rsidRPr="00A839DD">
        <w:t>Ceux-ci incluent</w:t>
      </w:r>
      <w:r w:rsidR="001C0A7C" w:rsidRPr="00A839DD">
        <w:t> notamment</w:t>
      </w:r>
      <w:r w:rsidR="005C293F" w:rsidRPr="00A839DD">
        <w:t> </w:t>
      </w:r>
      <w:r w:rsidR="001C0A7C" w:rsidRPr="00A839DD">
        <w:t>:</w:t>
      </w:r>
    </w:p>
    <w:p w14:paraId="15C40615" w14:textId="7513E127" w:rsidR="001C0A7C" w:rsidRPr="00A839DD" w:rsidRDefault="001C0A7C" w:rsidP="001C0A7C">
      <w:pPr>
        <w:pStyle w:val="puces0"/>
      </w:pPr>
      <w:proofErr w:type="gramStart"/>
      <w:r w:rsidRPr="00A839DD">
        <w:t>le</w:t>
      </w:r>
      <w:proofErr w:type="gramEnd"/>
      <w:r w:rsidRPr="00A839DD">
        <w:t xml:space="preserve"> désistement de la personne plaignante</w:t>
      </w:r>
      <w:r w:rsidR="00F21382">
        <w:rPr>
          <w:rFonts w:ascii="Arial" w:hAnsi="Arial" w:cs="Arial"/>
        </w:rPr>
        <w:t> </w:t>
      </w:r>
      <w:r w:rsidR="00E531BB" w:rsidRPr="00A839DD">
        <w:t>;</w:t>
      </w:r>
    </w:p>
    <w:p w14:paraId="1C2A1CC3" w14:textId="36DBA254" w:rsidR="001C0A7C" w:rsidRPr="00A839DD" w:rsidRDefault="001C0A7C" w:rsidP="001C0A7C">
      <w:pPr>
        <w:pStyle w:val="puces0"/>
      </w:pPr>
      <w:proofErr w:type="gramStart"/>
      <w:r w:rsidRPr="00A839DD">
        <w:t>l’absence</w:t>
      </w:r>
      <w:proofErr w:type="gramEnd"/>
      <w:r w:rsidRPr="00A839DD">
        <w:t xml:space="preserve"> de collaboration de la personne plaignante</w:t>
      </w:r>
      <w:r w:rsidR="00F21382">
        <w:rPr>
          <w:rFonts w:ascii="Arial" w:hAnsi="Arial" w:cs="Arial"/>
        </w:rPr>
        <w:t> </w:t>
      </w:r>
      <w:r w:rsidR="00E531BB" w:rsidRPr="00A839DD">
        <w:t>;</w:t>
      </w:r>
    </w:p>
    <w:p w14:paraId="169E231C" w14:textId="61D2BBC0" w:rsidR="001C0A7C" w:rsidRPr="00A839DD" w:rsidRDefault="001C0A7C" w:rsidP="001C0A7C">
      <w:pPr>
        <w:pStyle w:val="puces0"/>
      </w:pPr>
      <w:proofErr w:type="gramStart"/>
      <w:r w:rsidRPr="00A839DD">
        <w:t>la</w:t>
      </w:r>
      <w:proofErr w:type="gramEnd"/>
      <w:r w:rsidRPr="00A839DD">
        <w:t xml:space="preserve"> prescription des faits</w:t>
      </w:r>
      <w:r w:rsidR="00682A75" w:rsidRPr="00A839DD">
        <w:t>, soit une situation ayant pris place plus de 2 ou 3</w:t>
      </w:r>
      <w:r w:rsidR="00291541">
        <w:t> </w:t>
      </w:r>
      <w:r w:rsidR="00682A75" w:rsidRPr="00A839DD">
        <w:t>ans, selon le c</w:t>
      </w:r>
      <w:r w:rsidR="0066320C" w:rsidRPr="00A839DD">
        <w:t>ontexte,</w:t>
      </w:r>
      <w:r w:rsidR="00682A75" w:rsidRPr="00A839DD">
        <w:t xml:space="preserve"> avant le dépôt de la plainte</w:t>
      </w:r>
      <w:r w:rsidR="00DD39F4" w:rsidRPr="00A839DD">
        <w:rPr>
          <w:rStyle w:val="Appelnotedebasdep"/>
        </w:rPr>
        <w:footnoteReference w:id="301"/>
      </w:r>
      <w:r w:rsidR="00F21382">
        <w:rPr>
          <w:rFonts w:ascii="Arial" w:hAnsi="Arial" w:cs="Arial"/>
        </w:rPr>
        <w:t> </w:t>
      </w:r>
      <w:r w:rsidR="00E531BB" w:rsidRPr="00A839DD">
        <w:t>;</w:t>
      </w:r>
    </w:p>
    <w:p w14:paraId="4BB59A79" w14:textId="3D99FBF8" w:rsidR="001C0A7C" w:rsidRPr="00A839DD" w:rsidRDefault="001C0A7C" w:rsidP="001C0A7C">
      <w:pPr>
        <w:pStyle w:val="puces0"/>
      </w:pPr>
      <w:proofErr w:type="gramStart"/>
      <w:r w:rsidRPr="00A839DD">
        <w:t>l’exercice</w:t>
      </w:r>
      <w:proofErr w:type="gramEnd"/>
      <w:r w:rsidRPr="00A839DD">
        <w:t xml:space="preserve"> par la personne plaignante d’un autre recours pour les mêmes faits</w:t>
      </w:r>
      <w:r w:rsidR="00F21382">
        <w:rPr>
          <w:rFonts w:ascii="Arial" w:hAnsi="Arial" w:cs="Arial"/>
        </w:rPr>
        <w:t> </w:t>
      </w:r>
      <w:r w:rsidR="00E531BB" w:rsidRPr="00A839DD">
        <w:t>;</w:t>
      </w:r>
    </w:p>
    <w:p w14:paraId="10F401BB" w14:textId="61F53918" w:rsidR="001C0A7C" w:rsidRPr="00A839DD" w:rsidRDefault="001C0A7C" w:rsidP="001C0A7C">
      <w:pPr>
        <w:pStyle w:val="puces0"/>
      </w:pPr>
      <w:proofErr w:type="gramStart"/>
      <w:r w:rsidRPr="00A839DD">
        <w:t>la</w:t>
      </w:r>
      <w:proofErr w:type="gramEnd"/>
      <w:r w:rsidRPr="00A839DD">
        <w:t xml:space="preserve"> conclusion d’une entente avec la partie mise en cause devant une autre instance (par exemple</w:t>
      </w:r>
      <w:r w:rsidR="00214012" w:rsidRPr="00A839DD">
        <w:t>,</w:t>
      </w:r>
      <w:r w:rsidRPr="00A839DD">
        <w:t xml:space="preserve"> la CNESST).</w:t>
      </w:r>
    </w:p>
    <w:p w14:paraId="37909E6F" w14:textId="2FCFD8D3" w:rsidR="00E57542" w:rsidRPr="00A839DD" w:rsidRDefault="004D0C60" w:rsidP="0006339A">
      <w:pPr>
        <w:pStyle w:val="Paragraphe"/>
      </w:pPr>
      <w:r w:rsidRPr="00A839DD">
        <w:t xml:space="preserve">Dans </w:t>
      </w:r>
      <w:r w:rsidR="003F6710" w:rsidRPr="00A839DD">
        <w:t xml:space="preserve">ces </w:t>
      </w:r>
      <w:r w:rsidR="00214012" w:rsidRPr="00A839DD">
        <w:t>situations</w:t>
      </w:r>
      <w:r w:rsidRPr="00A839DD">
        <w:t>,</w:t>
      </w:r>
      <w:r w:rsidR="00E57542" w:rsidRPr="00A839DD">
        <w:t xml:space="preserve"> bien que la </w:t>
      </w:r>
      <w:r w:rsidR="00403ED3" w:rsidRPr="00A839DD">
        <w:t xml:space="preserve">démarche n’aboutisse pas </w:t>
      </w:r>
      <w:r w:rsidR="00227F6A" w:rsidRPr="00A839DD">
        <w:t>à une décision de la Commission</w:t>
      </w:r>
      <w:r w:rsidRPr="00A839DD">
        <w:t xml:space="preserve">, </w:t>
      </w:r>
      <w:r w:rsidR="00227F6A" w:rsidRPr="00A839DD">
        <w:t xml:space="preserve">la plainte peut tout </w:t>
      </w:r>
      <w:r w:rsidR="00391F3F" w:rsidRPr="00A839DD">
        <w:t>de même avoir joué un rôle déterminant</w:t>
      </w:r>
      <w:r w:rsidR="00B666D6" w:rsidRPr="00A839DD">
        <w:t xml:space="preserve">. Le </w:t>
      </w:r>
      <w:r w:rsidR="00391F3F" w:rsidRPr="00A839DD">
        <w:t>dépôt d’une</w:t>
      </w:r>
      <w:r w:rsidR="00B666D6" w:rsidRPr="00A839DD">
        <w:t xml:space="preserve"> plainte à la Commission peut </w:t>
      </w:r>
      <w:r w:rsidR="00391F3F" w:rsidRPr="00A839DD">
        <w:t>en effet</w:t>
      </w:r>
      <w:r w:rsidR="00B666D6" w:rsidRPr="00A839DD">
        <w:t xml:space="preserve"> parfois servir de levier à une personne pour </w:t>
      </w:r>
      <w:r w:rsidR="000B384A" w:rsidRPr="00A839DD">
        <w:t>inciter</w:t>
      </w:r>
      <w:r w:rsidR="00AD7A50" w:rsidRPr="00A839DD">
        <w:t xml:space="preserve"> un employeur à </w:t>
      </w:r>
      <w:r w:rsidR="00967B07" w:rsidRPr="00A839DD">
        <w:t>résoudre la situation</w:t>
      </w:r>
      <w:r w:rsidR="00AD7A50" w:rsidRPr="00A839DD">
        <w:t xml:space="preserve">, ce qui </w:t>
      </w:r>
      <w:r w:rsidR="00FF41A5" w:rsidRPr="00A839DD">
        <w:t xml:space="preserve">peut l’amener à se désister ou encore à trouver une entente </w:t>
      </w:r>
      <w:r w:rsidR="00D25139" w:rsidRPr="00A839DD">
        <w:t>parallèle</w:t>
      </w:r>
      <w:r w:rsidR="00FF41A5" w:rsidRPr="00A839DD">
        <w:t>.</w:t>
      </w:r>
    </w:p>
    <w:p w14:paraId="3547AB68" w14:textId="04A406BE" w:rsidR="00D25139" w:rsidRPr="00A839DD" w:rsidRDefault="001D3E83" w:rsidP="001D3E83">
      <w:pPr>
        <w:pStyle w:val="Titre2"/>
        <w:rPr>
          <w:noProof w:val="0"/>
        </w:rPr>
      </w:pPr>
      <w:bookmarkStart w:id="174" w:name="_Toc229131339"/>
      <w:r w:rsidRPr="00A839DD">
        <w:rPr>
          <w:noProof w:val="0"/>
        </w:rPr>
        <w:lastRenderedPageBreak/>
        <w:t>Les r</w:t>
      </w:r>
      <w:r w:rsidR="00D25139" w:rsidRPr="00A839DD">
        <w:rPr>
          <w:noProof w:val="0"/>
        </w:rPr>
        <w:t>èglements à l’amiable</w:t>
      </w:r>
      <w:bookmarkEnd w:id="174"/>
    </w:p>
    <w:p w14:paraId="203B61BE" w14:textId="6C203A41" w:rsidR="00CC7B65" w:rsidRPr="00A839DD" w:rsidRDefault="00CC7B65" w:rsidP="0006339A">
      <w:pPr>
        <w:pStyle w:val="Paragraphe"/>
      </w:pPr>
      <w:r w:rsidRPr="00A839DD">
        <w:t>Dans 7 % des dossiers (9/129), la plainte a fait l’objet d’un règlement à l’amiable avec la partie mise en cause. Ces ententes sont généralement conclues avec l’aide du service de médiation de la Commission des droits, mais peuvent aussi intervenir au stade de l’évaluation ou encore après une décision de la Commission à la suite d’une enquête. L’entente peut prévoir diverses mesures, monétaires ou non monétaires.</w:t>
      </w:r>
    </w:p>
    <w:p w14:paraId="60B7DDFA" w14:textId="38A40907" w:rsidR="00FE5465" w:rsidRPr="00A839DD" w:rsidRDefault="001D3E83" w:rsidP="001D3E83">
      <w:pPr>
        <w:pStyle w:val="Titre2"/>
        <w:rPr>
          <w:noProof w:val="0"/>
        </w:rPr>
      </w:pPr>
      <w:bookmarkStart w:id="175" w:name="_Toc229131340"/>
      <w:r w:rsidRPr="00A839DD">
        <w:rPr>
          <w:noProof w:val="0"/>
        </w:rPr>
        <w:t>Les d</w:t>
      </w:r>
      <w:r w:rsidR="00FE5465" w:rsidRPr="00A839DD">
        <w:rPr>
          <w:noProof w:val="0"/>
        </w:rPr>
        <w:t>écisions de fermeture</w:t>
      </w:r>
      <w:r w:rsidR="00FF41A5" w:rsidRPr="00A839DD">
        <w:rPr>
          <w:noProof w:val="0"/>
        </w:rPr>
        <w:t xml:space="preserve"> à l’étape de l’enquête</w:t>
      </w:r>
      <w:bookmarkEnd w:id="175"/>
    </w:p>
    <w:p w14:paraId="023D2205" w14:textId="75CFB69E" w:rsidR="00C57B92" w:rsidRPr="00A839DD" w:rsidRDefault="00D874F5" w:rsidP="0006339A">
      <w:pPr>
        <w:pStyle w:val="Paragraphe"/>
      </w:pPr>
      <w:r w:rsidRPr="00A839DD">
        <w:t>Les</w:t>
      </w:r>
      <w:r w:rsidR="00FF41A5" w:rsidRPr="00A839DD">
        <w:t xml:space="preserve"> </w:t>
      </w:r>
      <w:r w:rsidR="00A015E0" w:rsidRPr="00A839DD">
        <w:t>fermetures</w:t>
      </w:r>
      <w:r w:rsidR="00C4097A" w:rsidRPr="00A839DD">
        <w:t xml:space="preserve"> à </w:t>
      </w:r>
      <w:r w:rsidR="00FF41A5" w:rsidRPr="00A839DD">
        <w:t xml:space="preserve">l’étape de </w:t>
      </w:r>
      <w:r w:rsidR="00DB05CF" w:rsidRPr="00A839DD">
        <w:t>l’enquête représentent</w:t>
      </w:r>
      <w:r w:rsidR="008734BC" w:rsidRPr="00A839DD">
        <w:t xml:space="preserve"> </w:t>
      </w:r>
      <w:r w:rsidR="00874699" w:rsidRPr="00A839DD">
        <w:t>5</w:t>
      </w:r>
      <w:r w:rsidR="002E7B89" w:rsidRPr="00A839DD">
        <w:t xml:space="preserve"> %</w:t>
      </w:r>
      <w:r w:rsidR="008734BC" w:rsidRPr="00A839DD">
        <w:t xml:space="preserve"> des dossiers (</w:t>
      </w:r>
      <w:r w:rsidR="00874699" w:rsidRPr="00A839DD">
        <w:t>6</w:t>
      </w:r>
      <w:r w:rsidR="008734BC" w:rsidRPr="00A839DD">
        <w:t>/</w:t>
      </w:r>
      <w:r w:rsidR="00874699" w:rsidRPr="00A839DD">
        <w:t>129</w:t>
      </w:r>
      <w:r w:rsidR="008734BC" w:rsidRPr="00A839DD">
        <w:t>)</w:t>
      </w:r>
      <w:r w:rsidR="00A015E0" w:rsidRPr="00A839DD">
        <w:t>. Elles couvrent</w:t>
      </w:r>
      <w:r w:rsidR="00C4097A" w:rsidRPr="00A839DD">
        <w:t xml:space="preserve"> deux types de </w:t>
      </w:r>
      <w:r w:rsidR="00A015E0" w:rsidRPr="00A839DD">
        <w:t>situations.</w:t>
      </w:r>
    </w:p>
    <w:p w14:paraId="17C2D160" w14:textId="22CF3551" w:rsidR="00F01DE4" w:rsidRPr="00A839DD" w:rsidRDefault="00076AFE" w:rsidP="0006339A">
      <w:pPr>
        <w:pStyle w:val="Paragraphe"/>
      </w:pPr>
      <w:r w:rsidRPr="00A839DD">
        <w:t>La preuve peut être jugée suffisante par la Commission, ma</w:t>
      </w:r>
      <w:r w:rsidR="00F01DE4" w:rsidRPr="00A839DD">
        <w:t>is le dossier est fermé pour l’une des raisons suivantes :</w:t>
      </w:r>
    </w:p>
    <w:p w14:paraId="71C927D2" w14:textId="327483A0" w:rsidR="002459AC" w:rsidRPr="00A839DD" w:rsidRDefault="002459AC" w:rsidP="00F01DE4">
      <w:pPr>
        <w:pStyle w:val="puces0"/>
        <w:rPr>
          <w:rFonts w:asciiTheme="minorHAnsi" w:hAnsiTheme="minorHAnsi"/>
        </w:rPr>
      </w:pPr>
      <w:proofErr w:type="gramStart"/>
      <w:r w:rsidRPr="00A839DD">
        <w:t>la</w:t>
      </w:r>
      <w:proofErr w:type="gramEnd"/>
      <w:r w:rsidRPr="00A839DD">
        <w:t xml:space="preserve"> partie mise en cause accepte les mesures de redressement proposées par la Commission</w:t>
      </w:r>
      <w:r w:rsidR="00C57B92" w:rsidRPr="00A839DD">
        <w:t>, telles qu’</w:t>
      </w:r>
      <w:r w:rsidR="000B2477" w:rsidRPr="00A839DD">
        <w:t>une lettre d’excuse, le versement d’une somme d’argent à titre de dommages</w:t>
      </w:r>
      <w:r w:rsidR="00633AC6" w:rsidRPr="00A839DD">
        <w:t>, l</w:t>
      </w:r>
      <w:r w:rsidR="00292DA3" w:rsidRPr="00A839DD">
        <w:t xml:space="preserve">’adoption </w:t>
      </w:r>
      <w:r w:rsidR="00633AC6" w:rsidRPr="00A839DD">
        <w:t xml:space="preserve">ou la révision d’une politique </w:t>
      </w:r>
      <w:r w:rsidR="003E4FE8" w:rsidRPr="00A839DD">
        <w:t xml:space="preserve">visant à assurer un milieu de travail exempt de discrimination </w:t>
      </w:r>
      <w:r w:rsidR="00633AC6" w:rsidRPr="00A839DD">
        <w:t xml:space="preserve">ou encore la </w:t>
      </w:r>
      <w:r w:rsidR="00633AC6" w:rsidRPr="00A839DD">
        <w:rPr>
          <w:rFonts w:asciiTheme="minorHAnsi" w:hAnsiTheme="minorHAnsi"/>
        </w:rPr>
        <w:t>mis</w:t>
      </w:r>
      <w:r w:rsidR="00292DA3" w:rsidRPr="00A839DD">
        <w:rPr>
          <w:rFonts w:asciiTheme="minorHAnsi" w:hAnsiTheme="minorHAnsi" w:cs="Arial"/>
        </w:rPr>
        <w:t>e en place d’une formation pour le personnel.</w:t>
      </w:r>
    </w:p>
    <w:p w14:paraId="09784070" w14:textId="3FF884AF" w:rsidR="00C4097A" w:rsidRPr="00A839DD" w:rsidRDefault="00CA67F6" w:rsidP="00F01DE4">
      <w:pPr>
        <w:pStyle w:val="puces0"/>
      </w:pPr>
      <w:r>
        <w:t>L</w:t>
      </w:r>
      <w:r w:rsidR="002E3A71" w:rsidRPr="00A839DD">
        <w:t xml:space="preserve">a Commission décide ne pas </w:t>
      </w:r>
      <w:r w:rsidR="00660B54" w:rsidRPr="00A839DD">
        <w:t>représenter la personne plaignante devant le tribunal</w:t>
      </w:r>
      <w:r w:rsidR="00BA3076">
        <w:t>, par exemple</w:t>
      </w:r>
      <w:r w:rsidR="00C106BB" w:rsidRPr="00A839DD">
        <w:t xml:space="preserve"> parce que la situation dénoncée ne soulève </w:t>
      </w:r>
      <w:r w:rsidR="007374D8">
        <w:t xml:space="preserve">pas de </w:t>
      </w:r>
      <w:r w:rsidR="00C106BB" w:rsidRPr="00A839DD">
        <w:t>question complexe</w:t>
      </w:r>
      <w:r w:rsidR="00154C8A" w:rsidRPr="00A839DD">
        <w:t xml:space="preserve">, </w:t>
      </w:r>
      <w:r w:rsidR="00BA3076">
        <w:t>qu’il ne s’agit pas d’une situation de discrimination systémique ou</w:t>
      </w:r>
      <w:r w:rsidR="00C14B75">
        <w:t xml:space="preserve"> qu’elle ne nécessite pas des mesures de redressement dans l’intérêt public. La</w:t>
      </w:r>
      <w:r w:rsidR="00791F86" w:rsidRPr="00A839DD">
        <w:t xml:space="preserve"> personne </w:t>
      </w:r>
      <w:r w:rsidR="00154C8A" w:rsidRPr="00A839DD">
        <w:t>p</w:t>
      </w:r>
      <w:r w:rsidR="00C14B75">
        <w:t>eu</w:t>
      </w:r>
      <w:r w:rsidR="00154C8A" w:rsidRPr="00A839DD">
        <w:t>t</w:t>
      </w:r>
      <w:r w:rsidR="00791F86" w:rsidRPr="00A839DD">
        <w:t xml:space="preserve"> alors se représenter </w:t>
      </w:r>
      <w:r w:rsidR="009477C9" w:rsidRPr="00A839DD">
        <w:t>par ses propres moyens</w:t>
      </w:r>
      <w:r w:rsidR="00880A55" w:rsidRPr="00A839DD">
        <w:t>, si elle le souhaite</w:t>
      </w:r>
      <w:r w:rsidR="006427F1" w:rsidRPr="00A839DD">
        <w:t>.</w:t>
      </w:r>
    </w:p>
    <w:p w14:paraId="7C518250" w14:textId="4B11E535" w:rsidR="006427F1" w:rsidRPr="00A839DD" w:rsidRDefault="006427F1" w:rsidP="006427F1">
      <w:pPr>
        <w:pStyle w:val="puces0"/>
        <w:numPr>
          <w:ilvl w:val="0"/>
          <w:numId w:val="0"/>
        </w:numPr>
      </w:pPr>
      <w:r w:rsidRPr="00A839DD">
        <w:t xml:space="preserve">Dans d’autres cas, </w:t>
      </w:r>
      <w:r w:rsidR="00424755" w:rsidRPr="00A839DD">
        <w:t xml:space="preserve">la Commission </w:t>
      </w:r>
      <w:r w:rsidR="00880A55" w:rsidRPr="00A839DD">
        <w:t>conclut</w:t>
      </w:r>
      <w:r w:rsidR="00424755" w:rsidRPr="00A839DD">
        <w:t xml:space="preserve"> à une insuffisance de preuve pour </w:t>
      </w:r>
      <w:r w:rsidR="00045CC9" w:rsidRPr="00A839DD">
        <w:t>intenter un recours judiciaire</w:t>
      </w:r>
      <w:r w:rsidR="00784441" w:rsidRPr="00A839DD">
        <w:t>. Une telle conclusion n’implique</w:t>
      </w:r>
      <w:r w:rsidR="00612C5C" w:rsidRPr="00A839DD">
        <w:t xml:space="preserve"> pas</w:t>
      </w:r>
      <w:r w:rsidRPr="00A839DD">
        <w:t xml:space="preserve"> nécessairement</w:t>
      </w:r>
      <w:r w:rsidR="00612C5C" w:rsidRPr="00A839DD">
        <w:t xml:space="preserve"> </w:t>
      </w:r>
      <w:r w:rsidR="00784441" w:rsidRPr="00A839DD">
        <w:t>l’absence</w:t>
      </w:r>
      <w:r w:rsidRPr="00A839DD">
        <w:t xml:space="preserve"> de discrimination.</w:t>
      </w:r>
      <w:r w:rsidR="00CB2FD8" w:rsidRPr="00A839DD">
        <w:t xml:space="preserve"> Elle reflète plutôt les limites de la preuve disponible.</w:t>
      </w:r>
    </w:p>
    <w:p w14:paraId="1DC88EEC" w14:textId="3BFDD746" w:rsidR="00F55C58" w:rsidRPr="00A839DD" w:rsidRDefault="00B820B9" w:rsidP="0006339A">
      <w:pPr>
        <w:pStyle w:val="Paragraphe"/>
      </w:pPr>
      <w:r w:rsidRPr="00A839DD">
        <w:t xml:space="preserve">Au terme de cette section, il est difficile de quantifier la proportion de dossiers pour lesquels </w:t>
      </w:r>
      <w:r w:rsidR="00331909" w:rsidRPr="00A839DD">
        <w:t xml:space="preserve">la personne plaignante a obtenu une résolution qu’elle estime favorable. </w:t>
      </w:r>
      <w:r w:rsidR="001D62F2" w:rsidRPr="00A839DD">
        <w:t xml:space="preserve">Plusieurs scénarios peuvent </w:t>
      </w:r>
      <w:r w:rsidR="008229CB" w:rsidRPr="00A839DD">
        <w:t xml:space="preserve">mener à une fermeture sans qu’il soit possible d’en évaluer précisément les effets. </w:t>
      </w:r>
      <w:r w:rsidR="00DA4C1C" w:rsidRPr="00A839DD">
        <w:t>La personne plaignante</w:t>
      </w:r>
      <w:r w:rsidR="00331909" w:rsidRPr="00A839DD">
        <w:t xml:space="preserve"> peut par exemple s’être désistée</w:t>
      </w:r>
      <w:r w:rsidR="00087109" w:rsidRPr="00A839DD">
        <w:t xml:space="preserve"> parce qu’elle a trouvé un autre emploi</w:t>
      </w:r>
      <w:r w:rsidR="00A72D79" w:rsidRPr="00A839DD">
        <w:t xml:space="preserve"> et qu’elle ne souhaite plus consacrer du temps à </w:t>
      </w:r>
      <w:r w:rsidR="00A85BDC" w:rsidRPr="00A839DD">
        <w:t>sa démarche de plainte. Elle peut aussi</w:t>
      </w:r>
      <w:r w:rsidR="00A72D79" w:rsidRPr="00A839DD">
        <w:t xml:space="preserve"> </w:t>
      </w:r>
      <w:r w:rsidR="00841C9E" w:rsidRPr="00A839DD">
        <w:t xml:space="preserve">avoir conclu une entente </w:t>
      </w:r>
      <w:r w:rsidR="0094698D" w:rsidRPr="00A839DD">
        <w:t xml:space="preserve">directement </w:t>
      </w:r>
      <w:r w:rsidR="00841C9E" w:rsidRPr="00A839DD">
        <w:t>avec son employeur en cours de processus, avec ou sans l’aide de la Commission</w:t>
      </w:r>
      <w:r w:rsidR="00273393" w:rsidRPr="00A839DD">
        <w:t xml:space="preserve">. L’employeur peut avoir mis en place les mesures de redressement proposées par la Commission. </w:t>
      </w:r>
      <w:r w:rsidR="00873D05" w:rsidRPr="00A839DD">
        <w:t xml:space="preserve">Une chose est </w:t>
      </w:r>
      <w:r w:rsidR="00FC77D2" w:rsidRPr="00A839DD">
        <w:t>claire</w:t>
      </w:r>
      <w:r w:rsidR="00873D05" w:rsidRPr="00A839DD">
        <w:t xml:space="preserve">, un dossier de plainte ouvert est </w:t>
      </w:r>
      <w:r w:rsidR="0065630A">
        <w:t>peu souvent</w:t>
      </w:r>
      <w:r w:rsidR="00873D05" w:rsidRPr="00A839DD">
        <w:t xml:space="preserve"> fermé parce que la Commission estime qu’il n’y a pas eu de discrimination.</w:t>
      </w:r>
    </w:p>
    <w:p w14:paraId="0E36012E" w14:textId="77777777" w:rsidR="001D35D7" w:rsidRPr="00A839DD" w:rsidRDefault="001D35D7" w:rsidP="0006339A">
      <w:pPr>
        <w:pStyle w:val="Paragraphe"/>
      </w:pPr>
    </w:p>
    <w:p w14:paraId="26D487BA" w14:textId="2AED97C2" w:rsidR="004E245E" w:rsidRPr="00A839DD" w:rsidRDefault="004E245E" w:rsidP="00C56A88">
      <w:pPr>
        <w:pStyle w:val="Titre1"/>
        <w:rPr>
          <w:noProof w:val="0"/>
        </w:rPr>
      </w:pPr>
      <w:bookmarkStart w:id="176" w:name="_Toc229131341"/>
      <w:r w:rsidRPr="00A839DD">
        <w:rPr>
          <w:noProof w:val="0"/>
        </w:rPr>
        <w:lastRenderedPageBreak/>
        <w:t>Porter plainte</w:t>
      </w:r>
      <w:r w:rsidR="00577C83" w:rsidRPr="00A839DD">
        <w:rPr>
          <w:noProof w:val="0"/>
        </w:rPr>
        <w:t> </w:t>
      </w:r>
      <w:r w:rsidRPr="00A839DD">
        <w:rPr>
          <w:noProof w:val="0"/>
        </w:rPr>
        <w:t>: les obstacles à l’exercice de recours</w:t>
      </w:r>
      <w:bookmarkEnd w:id="176"/>
    </w:p>
    <w:p w14:paraId="7A3E14E6" w14:textId="406C4D70" w:rsidR="00C1516E" w:rsidRPr="00A839DD" w:rsidRDefault="00C1516E" w:rsidP="0006339A">
      <w:pPr>
        <w:pStyle w:val="Paragraphe"/>
      </w:pPr>
      <w:r w:rsidRPr="00A839DD">
        <w:t>Malgré la reconnaissance juridique du droit à l’égalité, les personnes LGBTQ+ victimes de discrimination en milieu de travail exercent peu de recours formels, que ce soit auprès de leur employeur ou d’organismes publics comme la CNESST ou la Commission des droits. Plusieurs études et enquêtes révèlent que les taux de dénonciation demeurent faibles, malgré une intention souvent présente de signaler les injustices vécues, en particulier chez les personnes ayant un revenu élevé et un emploi stable et syndiqué</w:t>
      </w:r>
      <w:r w:rsidRPr="00A839DD">
        <w:rPr>
          <w:rStyle w:val="Appelnotedebasdep"/>
        </w:rPr>
        <w:footnoteReference w:id="302"/>
      </w:r>
      <w:r w:rsidRPr="00A839DD">
        <w:t>. Un sondage réalisé en 2021 pour la Fondation Émergence et le Conseil du patronat montre par exemple qu’environ un tiers (37 %) des personnes LGBTQ+ estimant avoir été victimes d’au moins une situation de harcèlement sexuel ou psychologique en milieu de travail dans les cinq années précédentes ont signalé et/ou porté plainte</w:t>
      </w:r>
      <w:bookmarkStart w:id="177" w:name="_Ref229147026"/>
      <w:r w:rsidRPr="00A839DD">
        <w:rPr>
          <w:rStyle w:val="Appelnotedebasdep"/>
        </w:rPr>
        <w:footnoteReference w:id="303"/>
      </w:r>
      <w:bookmarkEnd w:id="177"/>
      <w:r w:rsidRPr="00A839DD">
        <w:t>. Ainsi, après avoir analysé les plaintes reçues par la Commission, il apparaît nécessaire de prendre un pas de recul pour s’interroger sur les obstacles à l’exercice de recours.</w:t>
      </w:r>
    </w:p>
    <w:p w14:paraId="39B1143D" w14:textId="77777777" w:rsidR="00E93094" w:rsidRPr="00A839DD" w:rsidRDefault="00E93094" w:rsidP="001D3E83">
      <w:pPr>
        <w:pStyle w:val="Titre2"/>
        <w:rPr>
          <w:noProof w:val="0"/>
        </w:rPr>
      </w:pPr>
      <w:bookmarkStart w:id="178" w:name="_Toc229131342"/>
      <w:r w:rsidRPr="00A839DD">
        <w:rPr>
          <w:noProof w:val="0"/>
        </w:rPr>
        <w:t>Les effets de la discrimination sur la personne</w:t>
      </w:r>
      <w:bookmarkEnd w:id="178"/>
    </w:p>
    <w:p w14:paraId="489532A0" w14:textId="73F26671" w:rsidR="00A148FD" w:rsidRPr="00A839DD" w:rsidRDefault="00A148FD" w:rsidP="0006339A">
      <w:pPr>
        <w:pStyle w:val="Paragraphe"/>
      </w:pPr>
      <w:r w:rsidRPr="00A839DD">
        <w:t>Avant même de songer à porter plainte, une personne qui s’estime victime de discrimination doit généralement encaisser les effets et conséquences de la situation vécue qui peuvent parfois s’étirer sur plusieurs mois ou années</w:t>
      </w:r>
      <w:r w:rsidRPr="00A839DD">
        <w:rPr>
          <w:rStyle w:val="Appelnotedebasdep"/>
        </w:rPr>
        <w:footnoteReference w:id="304"/>
      </w:r>
      <w:r w:rsidRPr="00A839DD">
        <w:t>. Dans de telles circonstances, il est possible que l’exercice d’un recours ne soit pas une priorité, par exemple si la personne est en arrêt de travail, est sans emploi ou en commence un nouveau. Une telle démarche peut alors représent</w:t>
      </w:r>
      <w:r w:rsidR="00341AC9" w:rsidRPr="00A839DD">
        <w:t>er</w:t>
      </w:r>
      <w:r w:rsidRPr="00A839DD">
        <w:t xml:space="preserve"> une charge s’ajoutant aux difficultés existantes.</w:t>
      </w:r>
    </w:p>
    <w:p w14:paraId="47091546" w14:textId="77777777" w:rsidR="00735635" w:rsidRPr="00A839DD" w:rsidRDefault="00735635" w:rsidP="001D3E83">
      <w:pPr>
        <w:pStyle w:val="Titre2"/>
        <w:rPr>
          <w:noProof w:val="0"/>
        </w:rPr>
      </w:pPr>
      <w:bookmarkStart w:id="179" w:name="_Toc229131343"/>
      <w:r w:rsidRPr="00A839DD">
        <w:rPr>
          <w:noProof w:val="0"/>
        </w:rPr>
        <w:t>La difficulté à pleinement reconnaître la discrimination</w:t>
      </w:r>
      <w:bookmarkEnd w:id="179"/>
    </w:p>
    <w:p w14:paraId="364E38BC" w14:textId="105902B7" w:rsidR="002D3D31" w:rsidRPr="00A839DD" w:rsidRDefault="002D3D31" w:rsidP="0006339A">
      <w:pPr>
        <w:pStyle w:val="Paragraphe"/>
      </w:pPr>
      <w:r w:rsidRPr="00A839DD">
        <w:t>Un autre obstacle réside dans la difficulté à identifier les situations comme étant discriminatoires. La banalisation des gestes hostiles, la normalisation de la discrimination dans les milieux de travail et le manque de sensibilisation contribuent à cette invisibilisation</w:t>
      </w:r>
      <w:bookmarkStart w:id="180" w:name="_Ref216860741"/>
      <w:r w:rsidRPr="00A839DD">
        <w:rPr>
          <w:rStyle w:val="Appelnotedebasdep"/>
        </w:rPr>
        <w:footnoteReference w:id="305"/>
      </w:r>
      <w:bookmarkEnd w:id="180"/>
      <w:r w:rsidRPr="00A839DD">
        <w:t xml:space="preserve">. Par exemple, certaines personnes LGBTQ+ perçoivent leur environnement de travail comme globalement positif, même lorsqu’elles y subissent des </w:t>
      </w:r>
      <w:r w:rsidR="00591E70" w:rsidRPr="00A839DD">
        <w:t>micro-agressions</w:t>
      </w:r>
      <w:r w:rsidRPr="00A839DD">
        <w:t xml:space="preserve"> ou du harcèlement</w:t>
      </w:r>
      <w:r w:rsidRPr="00A839DD">
        <w:rPr>
          <w:rStyle w:val="Appelnotedebasdep"/>
        </w:rPr>
        <w:footnoteReference w:id="306"/>
      </w:r>
      <w:r w:rsidRPr="00A839DD">
        <w:t>. Cette perception peut être influencée par un seuil de tolérance élevé</w:t>
      </w:r>
      <w:r w:rsidR="006C3778" w:rsidRPr="00A839DD">
        <w:t>, l’homophobie et la transphobie intériorisée</w:t>
      </w:r>
      <w:r w:rsidR="0003165C" w:rsidRPr="00A839DD">
        <w:t>s</w:t>
      </w:r>
      <w:r w:rsidRPr="00A839DD">
        <w:t xml:space="preserve"> ou par la crainte d’être perçue comme une personne conflictuelle si elle soulève des problèmes. D’autres personnes ne signaleraient </w:t>
      </w:r>
      <w:r w:rsidRPr="00A839DD">
        <w:lastRenderedPageBreak/>
        <w:t>une situation que si elle implique de la violence physique ou un congédiement, hiérarchisant ainsi les raisons qui les amèneraient à le faire</w:t>
      </w:r>
      <w:r w:rsidRPr="00A839DD">
        <w:rPr>
          <w:rStyle w:val="Appelnotedebasdep"/>
        </w:rPr>
        <w:footnoteReference w:id="307"/>
      </w:r>
      <w:r w:rsidRPr="00A839DD">
        <w:t>. Le manque de vocabulaire pour nommer ces expériences peut aussi freiner la reconnaissance des faits. Le terme «</w:t>
      </w:r>
      <w:r w:rsidR="002D3AE6" w:rsidRPr="00A839DD">
        <w:rPr>
          <w:rFonts w:ascii="Arial" w:hAnsi="Arial" w:cs="Arial"/>
        </w:rPr>
        <w:t> </w:t>
      </w:r>
      <w:r w:rsidRPr="00A839DD">
        <w:t>homophobie</w:t>
      </w:r>
      <w:r w:rsidR="002D3AE6" w:rsidRPr="00A839DD">
        <w:rPr>
          <w:rFonts w:ascii="Arial" w:hAnsi="Arial" w:cs="Arial"/>
        </w:rPr>
        <w:t> </w:t>
      </w:r>
      <w:r w:rsidRPr="00A839DD">
        <w:t>» peut par exemple être jugé trop accusatoire</w:t>
      </w:r>
      <w:r w:rsidRPr="00A839DD">
        <w:rPr>
          <w:rStyle w:val="Appelnotedebasdep"/>
        </w:rPr>
        <w:footnoteReference w:id="308"/>
      </w:r>
      <w:r w:rsidRPr="00A839DD">
        <w:t xml:space="preserve">. Ce déficit de reconnaissance </w:t>
      </w:r>
      <w:r w:rsidR="00102984">
        <w:t>est renforcé par le fait que</w:t>
      </w:r>
      <w:r w:rsidRPr="00A839DD">
        <w:t xml:space="preserve"> les témoins</w:t>
      </w:r>
      <w:r w:rsidR="009530A5">
        <w:t xml:space="preserve"> sont</w:t>
      </w:r>
      <w:r w:rsidRPr="00A839DD">
        <w:t xml:space="preserve"> souvent </w:t>
      </w:r>
      <w:r w:rsidR="009530A5">
        <w:t>peu</w:t>
      </w:r>
      <w:r w:rsidRPr="00A839DD">
        <w:t xml:space="preserve"> enclins à réagir, surtout s’ils ne s’identifient pas comme LGBTQ+</w:t>
      </w:r>
      <w:r w:rsidRPr="00A839DD">
        <w:rPr>
          <w:rStyle w:val="Appelnotedebasdep"/>
        </w:rPr>
        <w:footnoteReference w:id="309"/>
      </w:r>
      <w:r w:rsidRPr="00A839DD">
        <w:t>. Toutefois, les personnes ayant reçu une formation sur l’inclusion sont plus nombreuses à signaler ou intervenir dans les cas de harcèlement</w:t>
      </w:r>
      <w:r w:rsidRPr="00A839DD">
        <w:rPr>
          <w:rStyle w:val="Appelnotedebasdep"/>
        </w:rPr>
        <w:footnoteReference w:id="310"/>
      </w:r>
      <w:r w:rsidRPr="00A839DD">
        <w:t>.</w:t>
      </w:r>
    </w:p>
    <w:p w14:paraId="3C3BEEBD" w14:textId="77777777" w:rsidR="009D3C27" w:rsidRPr="00A839DD" w:rsidRDefault="009D3C27" w:rsidP="001D3E83">
      <w:pPr>
        <w:pStyle w:val="Titre2"/>
        <w:rPr>
          <w:noProof w:val="0"/>
          <w:bdr w:val="none" w:sz="0" w:space="0" w:color="auto" w:frame="1"/>
        </w:rPr>
      </w:pPr>
      <w:bookmarkStart w:id="181" w:name="_Toc215748741"/>
      <w:bookmarkStart w:id="182" w:name="_Toc229131344"/>
      <w:r w:rsidRPr="00A839DD">
        <w:rPr>
          <w:noProof w:val="0"/>
        </w:rPr>
        <w:t>La d</w:t>
      </w:r>
      <w:r w:rsidRPr="00A839DD">
        <w:rPr>
          <w:noProof w:val="0"/>
          <w:bdr w:val="none" w:sz="0" w:space="0" w:color="auto" w:frame="1"/>
        </w:rPr>
        <w:t xml:space="preserve">ifficulté à </w:t>
      </w:r>
      <w:r w:rsidRPr="00A839DD">
        <w:rPr>
          <w:noProof w:val="0"/>
        </w:rPr>
        <w:t xml:space="preserve">faire </w:t>
      </w:r>
      <w:r w:rsidRPr="00A839DD">
        <w:rPr>
          <w:noProof w:val="0"/>
          <w:bdr w:val="none" w:sz="0" w:space="0" w:color="auto" w:frame="1"/>
        </w:rPr>
        <w:t>reconnaître</w:t>
      </w:r>
      <w:r w:rsidRPr="00A839DD">
        <w:rPr>
          <w:noProof w:val="0"/>
        </w:rPr>
        <w:t xml:space="preserve"> </w:t>
      </w:r>
      <w:r w:rsidRPr="00A839DD">
        <w:rPr>
          <w:noProof w:val="0"/>
          <w:bdr w:val="none" w:sz="0" w:space="0" w:color="auto" w:frame="1"/>
        </w:rPr>
        <w:t>la discrimination</w:t>
      </w:r>
      <w:bookmarkEnd w:id="181"/>
      <w:bookmarkEnd w:id="182"/>
    </w:p>
    <w:p w14:paraId="4B89DBD6" w14:textId="2DF2BC25" w:rsidR="00474765" w:rsidRPr="00A839DD" w:rsidRDefault="007E13F6" w:rsidP="0006339A">
      <w:pPr>
        <w:pStyle w:val="Paragraphe"/>
      </w:pPr>
      <w:r w:rsidRPr="00A839DD">
        <w:t>Le processus de plainte exige souvent que la victime porte le fardeau de la preuve. Or, les discriminations vécues sont parfois subtiles, indirectes ou répétées, rendant leur documentation difficile</w:t>
      </w:r>
      <w:r w:rsidRPr="00A839DD">
        <w:rPr>
          <w:rStyle w:val="Appelnotedebasdep"/>
        </w:rPr>
        <w:footnoteReference w:id="311"/>
      </w:r>
      <w:r w:rsidRPr="00A839DD">
        <w:t>. Des personnes LGBTQ+ soulignent par exemple que le lien entre les faits et l’orientation sexuelle ou l’identité ou l’expression de genre peut être difficile à établir. La personne mise en cause peut alors facilement nier le caractère homophobe ou transphobe de son action</w:t>
      </w:r>
      <w:r w:rsidRPr="00A839DD">
        <w:rPr>
          <w:rStyle w:val="Appelnotedebasdep"/>
        </w:rPr>
        <w:footnoteReference w:id="312"/>
      </w:r>
      <w:r w:rsidRPr="00A839DD">
        <w:t>. Des personnes trans soulignent quant à elles qu’elles ont «</w:t>
      </w:r>
      <w:r w:rsidR="002D3AE6" w:rsidRPr="00A839DD">
        <w:rPr>
          <w:rFonts w:ascii="Arial" w:hAnsi="Arial" w:cs="Arial"/>
        </w:rPr>
        <w:t> </w:t>
      </w:r>
      <w:r w:rsidRPr="00A839DD">
        <w:t>ressenti</w:t>
      </w:r>
      <w:r w:rsidR="002D3AE6" w:rsidRPr="00A839DD">
        <w:rPr>
          <w:rFonts w:ascii="Arial" w:hAnsi="Arial" w:cs="Arial"/>
        </w:rPr>
        <w:t> </w:t>
      </w:r>
      <w:r w:rsidRPr="00A839DD">
        <w:t>», physiquement et émotionnellement, ne pas avoir été retenues pour un emploi en raison de leur transidentité malgré leurs aptitudes, sans pouvoir identifier de facteurs précis pour l’expliquer</w:t>
      </w:r>
      <w:r w:rsidRPr="00A839DD">
        <w:rPr>
          <w:rStyle w:val="Appelnotedebasdep"/>
        </w:rPr>
        <w:footnoteReference w:id="313"/>
      </w:r>
      <w:r w:rsidRPr="00A839DD">
        <w:t>.</w:t>
      </w:r>
      <w:r w:rsidR="00D034AC" w:rsidRPr="00A839DD">
        <w:t xml:space="preserve"> Dans le cas particulier de l’emploi, les personnes qui s’estiment victimes de discrimination de </w:t>
      </w:r>
      <w:r w:rsidR="00E7672C" w:rsidRPr="00A839DD">
        <w:t xml:space="preserve">la part de la clientèle </w:t>
      </w:r>
      <w:r w:rsidR="000F14A8" w:rsidRPr="00A839DD">
        <w:t>peuvent ne pas connaître l’identité de la personne mise en cause, ce qui</w:t>
      </w:r>
      <w:r w:rsidR="00AF74F8" w:rsidRPr="00A839DD">
        <w:t xml:space="preserve"> limite les possibilités de recours.</w:t>
      </w:r>
    </w:p>
    <w:p w14:paraId="111E3F53" w14:textId="5B0E3811" w:rsidR="007E13F6" w:rsidRPr="00A839DD" w:rsidRDefault="007E13F6" w:rsidP="0006339A">
      <w:pPr>
        <w:pStyle w:val="Paragraphe"/>
      </w:pPr>
      <w:r w:rsidRPr="00A839DD">
        <w:t>La difficulté à faire reconnaître la discrimination peut décourager les personnes à entamer une démarche, surtout si elles craignent que leur vécu soit invalidé ou minimisé par les personnes responsables du traitement des plaintes, notamment en les renvoyant à des «</w:t>
      </w:r>
      <w:r w:rsidR="002D3AE6" w:rsidRPr="00A839DD">
        <w:rPr>
          <w:rFonts w:ascii="Arial" w:hAnsi="Arial" w:cs="Arial"/>
        </w:rPr>
        <w:t> </w:t>
      </w:r>
      <w:r w:rsidRPr="00A839DD">
        <w:t>problèmes personnels</w:t>
      </w:r>
      <w:r w:rsidR="002D3AE6" w:rsidRPr="00A839DD">
        <w:rPr>
          <w:rFonts w:ascii="Arial" w:hAnsi="Arial" w:cs="Arial"/>
        </w:rPr>
        <w:t> </w:t>
      </w:r>
      <w:r w:rsidRPr="00A839DD">
        <w:t>»</w:t>
      </w:r>
      <w:r w:rsidRPr="00A839DD">
        <w:rPr>
          <w:rStyle w:val="Appelnotedebasdep"/>
        </w:rPr>
        <w:footnoteReference w:id="314"/>
      </w:r>
      <w:r w:rsidRPr="00A839DD">
        <w:t>. C’est d’ailleurs pourquoi ce sont souvent les cas que les personnes concernées estiment les plus clairs et flagrants qui se retrouvent devant la Commission des droits, sans toutefois qu’il soit pour autant simple d’établir la suffisance de preuve de discrimination.</w:t>
      </w:r>
    </w:p>
    <w:p w14:paraId="50700474" w14:textId="38CC8205" w:rsidR="007E13F6" w:rsidRPr="00A839DD" w:rsidRDefault="007E13F6" w:rsidP="0006339A">
      <w:pPr>
        <w:pStyle w:val="Paragraphe"/>
      </w:pPr>
      <w:r w:rsidRPr="00A839DD">
        <w:t xml:space="preserve">Dans le cas du processus de plainte de la Commission, cet obstacle peut cependant être en partie atténué. Une personne plaignante peut notamment être </w:t>
      </w:r>
      <w:r w:rsidR="00D42BA7" w:rsidRPr="00A839DD">
        <w:t>représentée ou assistée</w:t>
      </w:r>
      <w:r w:rsidRPr="00A839DD">
        <w:t xml:space="preserve"> par un organisme pour la rédaction, le dépôt et le suivi de sa plainte, bien que cela soit peu fréquent dans le cas des </w:t>
      </w:r>
      <w:r w:rsidRPr="00A839DD">
        <w:lastRenderedPageBreak/>
        <w:t>plaintes analysées dans le présent rapport (5 % du corpus qualitatif). La Commi</w:t>
      </w:r>
      <w:r w:rsidR="00E35FBB" w:rsidRPr="00A839DD">
        <w:t>s</w:t>
      </w:r>
      <w:r w:rsidRPr="00A839DD">
        <w:t>sion peut elle aussi offrir une assistance pour la rédaction de la plainte et contribuer à l’identification des éléments de preuve si le dossier se rend à l’étape de l’enquête.</w:t>
      </w:r>
    </w:p>
    <w:p w14:paraId="3CBDB827" w14:textId="77777777" w:rsidR="002D189A" w:rsidRPr="00A839DD" w:rsidRDefault="002D189A" w:rsidP="001D3E83">
      <w:pPr>
        <w:pStyle w:val="Titre2"/>
        <w:rPr>
          <w:noProof w:val="0"/>
        </w:rPr>
      </w:pPr>
      <w:bookmarkStart w:id="183" w:name="_Toc229131345"/>
      <w:r w:rsidRPr="00A839DD">
        <w:rPr>
          <w:noProof w:val="0"/>
        </w:rPr>
        <w:t>La méconnaissance des recours</w:t>
      </w:r>
      <w:bookmarkEnd w:id="183"/>
    </w:p>
    <w:p w14:paraId="6996C5C2" w14:textId="2508B531" w:rsidR="00B417AB" w:rsidRPr="00A839DD" w:rsidRDefault="002D652A" w:rsidP="0006339A">
      <w:pPr>
        <w:pStyle w:val="Paragraphe"/>
      </w:pPr>
      <w:r w:rsidRPr="00A839DD">
        <w:t>Même lorsque les personnes concernées identif</w:t>
      </w:r>
      <w:r w:rsidR="006C0111" w:rsidRPr="00A839DD">
        <w:t>i</w:t>
      </w:r>
      <w:r w:rsidRPr="00A839DD">
        <w:t>ent une situation comme étant discriminatoire, plusieurs ignorent les recours disponibles, ne savent pas à qui s’adresser (employeur, syndicat, organismes externes) ou ne savent pas comment les entreprendre</w:t>
      </w:r>
      <w:r w:rsidRPr="00A839DD">
        <w:rPr>
          <w:rStyle w:val="Appelnotedebasdep"/>
        </w:rPr>
        <w:footnoteReference w:id="315"/>
      </w:r>
      <w:r w:rsidRPr="00A839DD">
        <w:t>. Environ le quart des personnes victimes de ha</w:t>
      </w:r>
      <w:r w:rsidR="001D62D4" w:rsidRPr="00A839DD">
        <w:t>r</w:t>
      </w:r>
      <w:r w:rsidRPr="00A839DD">
        <w:t>cèlement au travail qui ne sont pas certaines de porter plainte hésitent parce qu’elles ne sauraient pas comment faire</w:t>
      </w:r>
      <w:r w:rsidRPr="00A839DD">
        <w:rPr>
          <w:rStyle w:val="Appelnotedebasdep"/>
        </w:rPr>
        <w:footnoteReference w:id="316"/>
      </w:r>
      <w:r w:rsidRPr="00A839DD">
        <w:t>.</w:t>
      </w:r>
      <w:r w:rsidR="00B417AB" w:rsidRPr="00A839DD">
        <w:t xml:space="preserve"> </w:t>
      </w:r>
      <w:r w:rsidR="009B0A53" w:rsidRPr="00A839DD">
        <w:t>Il y a également</w:t>
      </w:r>
      <w:r w:rsidR="00B417AB" w:rsidRPr="00A839DD">
        <w:t xml:space="preserve"> une méconnaissance </w:t>
      </w:r>
      <w:r w:rsidR="009B0A53" w:rsidRPr="00A839DD">
        <w:t>du</w:t>
      </w:r>
      <w:r w:rsidR="00B417AB" w:rsidRPr="00A839DD">
        <w:t xml:space="preserve"> déroulement d</w:t>
      </w:r>
      <w:r w:rsidR="000004DD" w:rsidRPr="00A839DD">
        <w:t>u r</w:t>
      </w:r>
      <w:r w:rsidR="00B417AB" w:rsidRPr="00A839DD">
        <w:t>ecours</w:t>
      </w:r>
      <w:r w:rsidR="000004DD" w:rsidRPr="00A839DD">
        <w:t xml:space="preserve"> à la Commission qui </w:t>
      </w:r>
      <w:r w:rsidR="00AD0783" w:rsidRPr="00A839DD">
        <w:t>peut impliquer, selon l</w:t>
      </w:r>
      <w:r w:rsidR="00146334" w:rsidRPr="00A839DD">
        <w:t>a situation</w:t>
      </w:r>
      <w:r w:rsidR="00AD0783" w:rsidRPr="00A839DD">
        <w:t xml:space="preserve">, </w:t>
      </w:r>
      <w:r w:rsidR="00B417AB" w:rsidRPr="00A839DD">
        <w:t>l’analyse de la plaint</w:t>
      </w:r>
      <w:r w:rsidR="000004DD" w:rsidRPr="00A839DD">
        <w:t>e</w:t>
      </w:r>
      <w:r w:rsidR="00B417AB" w:rsidRPr="00A839DD">
        <w:t xml:space="preserve">, </w:t>
      </w:r>
      <w:r w:rsidR="00AD0783" w:rsidRPr="00A839DD">
        <w:t>l’e</w:t>
      </w:r>
      <w:r w:rsidR="00B417AB" w:rsidRPr="00A839DD">
        <w:t>nquête</w:t>
      </w:r>
      <w:r w:rsidR="00AD0783" w:rsidRPr="00A839DD">
        <w:t xml:space="preserve"> et </w:t>
      </w:r>
      <w:r w:rsidR="00B417AB" w:rsidRPr="00A839DD">
        <w:t>la médiatio</w:t>
      </w:r>
      <w:r w:rsidR="00AD0783" w:rsidRPr="00A839DD">
        <w:t>n,</w:t>
      </w:r>
      <w:r w:rsidR="00727A7F" w:rsidRPr="00A839DD">
        <w:t xml:space="preserve"> soit des processus administratifs impartiaux</w:t>
      </w:r>
      <w:r w:rsidR="000D1DB1" w:rsidRPr="00A839DD">
        <w:t>, et</w:t>
      </w:r>
      <w:r w:rsidR="00823945" w:rsidRPr="00A839DD">
        <w:t>, dans certain</w:t>
      </w:r>
      <w:r w:rsidR="00146334" w:rsidRPr="00A839DD">
        <w:t xml:space="preserve">s cas </w:t>
      </w:r>
      <w:r w:rsidR="00823945" w:rsidRPr="00A839DD">
        <w:t>seulement,</w:t>
      </w:r>
      <w:r w:rsidR="000D1DB1" w:rsidRPr="00A839DD">
        <w:t xml:space="preserve"> </w:t>
      </w:r>
      <w:r w:rsidR="007A3618" w:rsidRPr="00A839DD">
        <w:t>une procédure devant le tribunal.</w:t>
      </w:r>
    </w:p>
    <w:p w14:paraId="437E64E6" w14:textId="77777777" w:rsidR="009474F8" w:rsidRPr="00A839DD" w:rsidRDefault="009474F8" w:rsidP="001D3E83">
      <w:pPr>
        <w:pStyle w:val="Titre2"/>
        <w:rPr>
          <w:noProof w:val="0"/>
        </w:rPr>
      </w:pPr>
      <w:bookmarkStart w:id="184" w:name="_Toc229131346"/>
      <w:r w:rsidRPr="00A839DD">
        <w:rPr>
          <w:noProof w:val="0"/>
        </w:rPr>
        <w:t>Le manque de confiance envers l’employeur et/ou le syndicat</w:t>
      </w:r>
      <w:bookmarkEnd w:id="184"/>
    </w:p>
    <w:p w14:paraId="04B2C7E2" w14:textId="5009D0EC" w:rsidR="009B3E5D" w:rsidRPr="00A839DD" w:rsidRDefault="009B3E5D" w:rsidP="0006339A">
      <w:pPr>
        <w:pStyle w:val="Paragraphe"/>
      </w:pPr>
      <w:r w:rsidRPr="00A839DD">
        <w:t>Lorsqu’une personne envisage de porter plainte à l’interne auprès de son employeur, que ce soit par elle-même ou par le biais d’un grief syndical, se pose la question de la confiance qu’elle estime pouvoir avoir envers son employeur et/ou son syndicat pour la traiter</w:t>
      </w:r>
      <w:r w:rsidRPr="00A839DD">
        <w:rPr>
          <w:rStyle w:val="Appelnotedebasdep"/>
        </w:rPr>
        <w:footnoteReference w:id="317"/>
      </w:r>
      <w:r w:rsidRPr="00A839DD">
        <w:t>. Selon une étude de 2007</w:t>
      </w:r>
      <w:r w:rsidRPr="00A839DD">
        <w:rPr>
          <w:rStyle w:val="Appelnotedebasdep"/>
        </w:rPr>
        <w:footnoteReference w:id="318"/>
      </w:r>
      <w:r w:rsidRPr="00A839DD">
        <w:t>, 40</w:t>
      </w:r>
      <w:r w:rsidR="00C842F3">
        <w:t> </w:t>
      </w:r>
      <w:r w:rsidRPr="00A839DD">
        <w:t>% des personnes répondantes gaies et lesbiennes avaient totalement confiance envers leur employeur relativement à la protection de leurs renseignements personnels, tandis que 12 % et 6 % avaient respectivement peu ou absolument pas confiance en lui. Les pourcentages sont similaires pour les syndicats. Elles craignent principalement que les personnes responsables du traitement de leur dénonciation alimentent des commérages dans le milieu de travail. Seulement un peu plus du quart des personnes répondantes feraient confiance à leur employeur pour défendre leurs droits face à une situation problématique impliquant leur orientation sexuelle, alors que 35,6 % font confiance à leur syndicat, soit à peine plus. Ce manque de confiance peut découler d’expériences négatives passées avec l’employeur ou le syndicat ou encore de l’absence de sensibilisation de l’employeur ou du syndicat sur ces questions. En revanche, les personnes qui ont pu observer leur employeur ou leur syndicat agir pour faire respecter les droits des personnes LGBTQ+ tendent à leur faire davantage confiance. La présence de personnes LGBTQ+ dans les instances syndicales semble aussi être un facteur facilitant.</w:t>
      </w:r>
    </w:p>
    <w:p w14:paraId="2860DDBF" w14:textId="1B2B46B8" w:rsidR="008A66B0" w:rsidRPr="00A839DD" w:rsidRDefault="008A66B0" w:rsidP="001D3E83">
      <w:pPr>
        <w:pStyle w:val="Titre2"/>
        <w:rPr>
          <w:noProof w:val="0"/>
        </w:rPr>
      </w:pPr>
      <w:bookmarkStart w:id="185" w:name="_Toc229131347"/>
      <w:r w:rsidRPr="00A839DD">
        <w:lastRenderedPageBreak/>
        <w:t>L</w:t>
      </w:r>
      <w:r w:rsidR="00CA67F6">
        <w:t>a</w:t>
      </w:r>
      <w:r w:rsidRPr="00A839DD">
        <w:rPr>
          <w:noProof w:val="0"/>
        </w:rPr>
        <w:t xml:space="preserve"> méfiance envers les mécanismes de recours</w:t>
      </w:r>
      <w:bookmarkEnd w:id="185"/>
    </w:p>
    <w:p w14:paraId="3E1BA653" w14:textId="77777777" w:rsidR="00EB0FF4" w:rsidRPr="00A839DD" w:rsidRDefault="00EB0FF4" w:rsidP="0006339A">
      <w:pPr>
        <w:pStyle w:val="Paragraphe"/>
      </w:pPr>
      <w:r w:rsidRPr="00A839DD">
        <w:t>Un autre obstacle important est la méfiance envers les mécanismes de plainte</w:t>
      </w:r>
      <w:r w:rsidRPr="00A839DD">
        <w:rPr>
          <w:rStyle w:val="Appelnotedebasdep"/>
        </w:rPr>
        <w:footnoteReference w:id="319"/>
      </w:r>
      <w:r w:rsidRPr="00A839DD">
        <w:t>. Plusieurs personnes LGBTQ+ appréhendent un processus qu’elles perçoivent comme complexe, lourd et long, et doutent de l’efficacité des recours disponibles</w:t>
      </w:r>
      <w:r w:rsidRPr="00A839DD">
        <w:rPr>
          <w:rStyle w:val="Appelnotedebasdep"/>
        </w:rPr>
        <w:footnoteReference w:id="320"/>
      </w:r>
      <w:r w:rsidRPr="00A839DD">
        <w:t>. De façon générale, la principale raison de non-signalement d’une situation de harcèlement au travail serait d’ailleurs la perception que des mesures ne seraient pas prises</w:t>
      </w:r>
      <w:r w:rsidRPr="00A839DD">
        <w:rPr>
          <w:rStyle w:val="Appelnotedebasdep"/>
        </w:rPr>
        <w:footnoteReference w:id="321"/>
      </w:r>
      <w:r w:rsidRPr="00A839DD">
        <w:t>. Pour les personnes LGBTQ+, la première raison serait plutôt la peur d’être traitées différemment suivant cette démarche, suivie de l’impression qu’aucune mesure ne serait prise</w:t>
      </w:r>
      <w:r w:rsidRPr="00A839DD">
        <w:rPr>
          <w:rStyle w:val="Appelnotedebasdep"/>
        </w:rPr>
        <w:footnoteReference w:id="322"/>
      </w:r>
      <w:r w:rsidRPr="00A839DD">
        <w:t>. Ces craintes sont souvent fondées sur des expériences antérieures négatives en milieu de travail</w:t>
      </w:r>
      <w:r w:rsidRPr="00A839DD">
        <w:rPr>
          <w:rStyle w:val="Appelnotedebasdep"/>
        </w:rPr>
        <w:footnoteReference w:id="323"/>
      </w:r>
      <w:r w:rsidRPr="00A839DD">
        <w:t>.</w:t>
      </w:r>
    </w:p>
    <w:p w14:paraId="27BEA90A" w14:textId="231C24D6" w:rsidR="00EC7CE8" w:rsidRPr="00A839DD" w:rsidRDefault="00EC7CE8" w:rsidP="001D3E83">
      <w:pPr>
        <w:pStyle w:val="Titre2"/>
        <w:rPr>
          <w:noProof w:val="0"/>
        </w:rPr>
      </w:pPr>
      <w:bookmarkStart w:id="186" w:name="_Toc229131348"/>
      <w:r w:rsidRPr="00A839DD">
        <w:rPr>
          <w:noProof w:val="0"/>
        </w:rPr>
        <w:t>Le risque de dévoiler son orientation sexuelle ou sa transidentité</w:t>
      </w:r>
      <w:bookmarkEnd w:id="186"/>
    </w:p>
    <w:p w14:paraId="080BD7C0" w14:textId="77777777" w:rsidR="00051F25" w:rsidRPr="00A839DD" w:rsidRDefault="00051F25" w:rsidP="0006339A">
      <w:pPr>
        <w:pStyle w:val="Paragraphe"/>
      </w:pPr>
      <w:r w:rsidRPr="00A839DD">
        <w:t>Porter plainte implique généralement de dévoiler son orientation sexuelle ou sa transidentité aux personnes chargées de la traiter. La divulgation d’informations aussi intimes est susceptible d’emporter une charge émotionnelle importante. Bien que le processus soit confidentiel, la personne peut aussi craindre le risque d’être à nouveau victime de discrimination au cours du traitement de sa plainte ou encore s’inquiéter que ces renseignements soient ébruités sur son lieu de travail ou utilisés contre elle</w:t>
      </w:r>
      <w:r w:rsidRPr="00A839DD">
        <w:rPr>
          <w:rStyle w:val="Appelnotedebasdep"/>
        </w:rPr>
        <w:footnoteReference w:id="324"/>
      </w:r>
      <w:r w:rsidRPr="00A839DD">
        <w:t xml:space="preserve">. </w:t>
      </w:r>
    </w:p>
    <w:p w14:paraId="5E728AF4" w14:textId="0B969DED" w:rsidR="00025481" w:rsidRPr="00A839DD" w:rsidRDefault="00025481" w:rsidP="001D3E83">
      <w:pPr>
        <w:pStyle w:val="Titre2"/>
        <w:rPr>
          <w:noProof w:val="0"/>
        </w:rPr>
      </w:pPr>
      <w:bookmarkStart w:id="187" w:name="_Toc229131349"/>
      <w:r w:rsidRPr="00A839DD">
        <w:rPr>
          <w:noProof w:val="0"/>
        </w:rPr>
        <w:t>L</w:t>
      </w:r>
      <w:r w:rsidR="00160E93">
        <w:rPr>
          <w:noProof w:val="0"/>
        </w:rPr>
        <w:t>a</w:t>
      </w:r>
      <w:r w:rsidRPr="00A839DD">
        <w:rPr>
          <w:noProof w:val="0"/>
        </w:rPr>
        <w:t xml:space="preserve"> crainte de répercussions et représailles</w:t>
      </w:r>
      <w:bookmarkEnd w:id="187"/>
    </w:p>
    <w:p w14:paraId="482B3115" w14:textId="77777777" w:rsidR="0036661E" w:rsidRPr="00A839DD" w:rsidRDefault="0036661E" w:rsidP="0006339A">
      <w:pPr>
        <w:pStyle w:val="Paragraphe"/>
      </w:pPr>
      <w:r w:rsidRPr="00A839DD">
        <w:t>Une personne qui considère avoir vécu de la discrimination peut craindre les répercussions de sa démarche sur son environnement de travail qui pourrait devenir plus hostile ou appréhender qu’elle affecte son avancement de carrière, notamment dans les milieux non syndiqués et les emplois précaires</w:t>
      </w:r>
      <w:r w:rsidRPr="00A839DD">
        <w:rPr>
          <w:rStyle w:val="Appelnotedebasdep"/>
        </w:rPr>
        <w:footnoteReference w:id="325"/>
      </w:r>
      <w:r w:rsidRPr="00A839DD">
        <w:t>. Une telle personne peut de même anticiper des représailles</w:t>
      </w:r>
      <w:r w:rsidRPr="00A839DD">
        <w:rPr>
          <w:rStyle w:val="Appelnotedebasdep"/>
        </w:rPr>
        <w:footnoteReference w:id="326"/>
      </w:r>
      <w:r w:rsidRPr="00A839DD">
        <w:t>, bien que ces dernières soient interdites par la Charte</w:t>
      </w:r>
      <w:r w:rsidRPr="00A839DD">
        <w:rPr>
          <w:rStyle w:val="Appelnotedebasdep"/>
        </w:rPr>
        <w:footnoteReference w:id="327"/>
      </w:r>
      <w:r w:rsidRPr="00A839DD">
        <w:t xml:space="preserve"> et qu’elles puissent elles-mêmes faire l’objet d’une plainte à la Commission des droits ou à la CNESST.</w:t>
      </w:r>
    </w:p>
    <w:p w14:paraId="3C06C5CD" w14:textId="5348979F" w:rsidR="0036661E" w:rsidRPr="00A839DD" w:rsidRDefault="00674D0D" w:rsidP="00674D0D">
      <w:pPr>
        <w:jc w:val="center"/>
      </w:pPr>
      <w:r>
        <w:t>-----------------------</w:t>
      </w:r>
    </w:p>
    <w:p w14:paraId="240C510D" w14:textId="04CEF1A9" w:rsidR="00CF281C" w:rsidRPr="00A839DD" w:rsidRDefault="00CF281C" w:rsidP="0006339A">
      <w:pPr>
        <w:pStyle w:val="Paragraphe"/>
      </w:pPr>
      <w:r w:rsidRPr="00A839DD">
        <w:t xml:space="preserve">Ces différents obstacles à l’exercice de recours expliquent pourquoi le portrait des plaintes brossé dans ce rapport ne représente qu’un aperçu de la discrimination en emploi vécu par les personnes LGBTQ+ au Québec. </w:t>
      </w:r>
      <w:r w:rsidR="00B120FB" w:rsidRPr="00A839DD">
        <w:t xml:space="preserve">De plus, </w:t>
      </w:r>
      <w:r w:rsidR="008E3941" w:rsidRPr="00A839DD">
        <w:t xml:space="preserve">elles </w:t>
      </w:r>
      <w:r w:rsidR="00491DFF" w:rsidRPr="00A839DD">
        <w:t>peuvent se tourner vers d’autres recours</w:t>
      </w:r>
      <w:r w:rsidR="008E3941" w:rsidRPr="00A839DD">
        <w:t xml:space="preserve"> (</w:t>
      </w:r>
      <w:r w:rsidR="00704579" w:rsidRPr="00A839DD">
        <w:t xml:space="preserve">grief syndical, plainte à la </w:t>
      </w:r>
      <w:r w:rsidR="00704579" w:rsidRPr="00A839DD">
        <w:lastRenderedPageBreak/>
        <w:t>CNESST)</w:t>
      </w:r>
      <w:r w:rsidR="0089242C" w:rsidRPr="00A839DD">
        <w:t xml:space="preserve"> qu</w:t>
      </w:r>
      <w:r w:rsidR="00C47277" w:rsidRPr="00A839DD">
        <w:t xml:space="preserve">i ne permettent </w:t>
      </w:r>
      <w:r w:rsidR="00E2649A" w:rsidRPr="00A839DD">
        <w:t xml:space="preserve">cependant </w:t>
      </w:r>
      <w:r w:rsidR="00C47277" w:rsidRPr="00A839DD">
        <w:t xml:space="preserve">pas </w:t>
      </w:r>
      <w:r w:rsidR="002E3A81">
        <w:t xml:space="preserve">toujours </w:t>
      </w:r>
      <w:r w:rsidR="00C47277" w:rsidRPr="00A839DD">
        <w:t>de visibiliser le caractère discriminatoire des faits dénoncé</w:t>
      </w:r>
      <w:r w:rsidR="00E2649A" w:rsidRPr="00A839DD">
        <w:t>s</w:t>
      </w:r>
      <w:r w:rsidR="00B120FB" w:rsidRPr="00A839DD">
        <w:t>.</w:t>
      </w:r>
      <w:r w:rsidR="00704579" w:rsidRPr="00A839DD">
        <w:t xml:space="preserve"> </w:t>
      </w:r>
      <w:r w:rsidR="00E2649A" w:rsidRPr="00A839DD">
        <w:t xml:space="preserve">Il </w:t>
      </w:r>
      <w:r w:rsidRPr="00A839DD">
        <w:t>faut ajouter que, comme l’a montré une étude sur le (cyber)</w:t>
      </w:r>
      <w:r w:rsidR="00B03D42">
        <w:t xml:space="preserve"> </w:t>
      </w:r>
      <w:r w:rsidRPr="00A839DD">
        <w:t xml:space="preserve">harcèlement, notamment en contexte de travail, </w:t>
      </w:r>
      <w:r w:rsidR="00FD0A2E">
        <w:t xml:space="preserve">les personnes LGBTQ+ </w:t>
      </w:r>
      <w:r w:rsidRPr="00A839DD">
        <w:t xml:space="preserve">décident </w:t>
      </w:r>
      <w:r w:rsidR="00FD0A2E">
        <w:t xml:space="preserve">le </w:t>
      </w:r>
      <w:r w:rsidR="00FD0A2E" w:rsidRPr="00A839DD">
        <w:t>plus souvent</w:t>
      </w:r>
      <w:r w:rsidRPr="00A839DD">
        <w:t xml:space="preserve"> de confronter directement les personnes à l’origine de la discrimination alléguée ou encore de sortir de la situation problématique en quittant leur milieu de travail (arrêt maladie, mutation, démission), de façon temporaire ou permanente</w:t>
      </w:r>
      <w:r w:rsidRPr="00A839DD">
        <w:rPr>
          <w:rStyle w:val="Appelnotedebasdep"/>
        </w:rPr>
        <w:footnoteReference w:id="328"/>
      </w:r>
      <w:r w:rsidRPr="00A839DD">
        <w:t xml:space="preserve">. </w:t>
      </w:r>
      <w:r w:rsidR="00E54279" w:rsidRPr="00A839DD">
        <w:t xml:space="preserve">D’autres encore se tournent vers les réseaux sociaux. </w:t>
      </w:r>
      <w:r w:rsidRPr="00A839DD">
        <w:t>Le fardeau du règlement de la situation est ainsi entièrement assumé par la victime. À l’inverse, des recherches soulignent que des climats de travail soutenant peuvent favoriser l’exercice de recours par les personnes LGBTQ+</w:t>
      </w:r>
      <w:r w:rsidRPr="00A839DD">
        <w:rPr>
          <w:rStyle w:val="Appelnotedebasdep"/>
        </w:rPr>
        <w:footnoteReference w:id="329"/>
      </w:r>
      <w:r w:rsidRPr="00A839DD">
        <w:t>.</w:t>
      </w:r>
    </w:p>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3ECF9"/>
        <w:tblLook w:val="04A0" w:firstRow="1" w:lastRow="0" w:firstColumn="1" w:lastColumn="0" w:noHBand="0" w:noVBand="1"/>
      </w:tblPr>
      <w:tblGrid>
        <w:gridCol w:w="9678"/>
      </w:tblGrid>
      <w:tr w:rsidR="004A4C9C" w:rsidRPr="004A4C9C" w14:paraId="02667350" w14:textId="77777777" w:rsidTr="0084742E">
        <w:tc>
          <w:tcPr>
            <w:tcW w:w="9678" w:type="dxa"/>
            <w:shd w:val="clear" w:color="auto" w:fill="E3ECF9"/>
          </w:tcPr>
          <w:p w14:paraId="1C52EBCD" w14:textId="05424A1D" w:rsidR="004A4C9C" w:rsidRPr="004A4C9C" w:rsidRDefault="004A4C9C" w:rsidP="004A4C9C">
            <w:pPr>
              <w:spacing w:before="120" w:after="120"/>
              <w:ind w:left="174"/>
              <w:rPr>
                <w:b/>
                <w:bCs/>
              </w:rPr>
            </w:pPr>
            <w:r w:rsidRPr="004A4C9C">
              <w:rPr>
                <w:b/>
                <w:bCs/>
              </w:rPr>
              <w:t xml:space="preserve">Plainte </w:t>
            </w:r>
            <w:r w:rsidR="00E317BC">
              <w:rPr>
                <w:b/>
                <w:bCs/>
              </w:rPr>
              <w:t>d’une homme gai</w:t>
            </w:r>
            <w:r w:rsidRPr="004A4C9C">
              <w:rPr>
                <w:b/>
                <w:bCs/>
              </w:rPr>
              <w:t>, années 1990</w:t>
            </w:r>
          </w:p>
          <w:p w14:paraId="40AE8664" w14:textId="60B8B97F" w:rsidR="004A4C9C" w:rsidRPr="004A4C9C" w:rsidRDefault="004A4C9C" w:rsidP="004A4C9C">
            <w:pPr>
              <w:spacing w:after="120"/>
              <w:ind w:left="174"/>
            </w:pPr>
            <w:r w:rsidRPr="004A4C9C">
              <w:t>Ça remonte souvent à quelques semaines ou quelques mois et les faits sont vagues. Voilà pourquoi je ne porte pas plainte systématiquement à chaque fois que je suis mis au courant de tels propos. De plus, je ne veux pas avoir l'air d'un homosexuel frustré et amer qui crie à l'injustice à la moindre parole offensante dite dans son dos. Cependant, je considère que M.</w:t>
            </w:r>
            <w:r w:rsidR="00BC48F0">
              <w:t> </w:t>
            </w:r>
            <w:r w:rsidRPr="004A4C9C">
              <w:t>X en a assez dit, ces dernières années, sans que je ne fasse rien.</w:t>
            </w:r>
          </w:p>
        </w:tc>
      </w:tr>
    </w:tbl>
    <w:p w14:paraId="18C6CC01" w14:textId="77777777" w:rsidR="00F55C58" w:rsidRPr="00A839DD" w:rsidRDefault="00F55C58" w:rsidP="0006339A">
      <w:pPr>
        <w:pStyle w:val="Paragraphe"/>
      </w:pPr>
    </w:p>
    <w:p w14:paraId="6A5FDCA0" w14:textId="50B2C0FD" w:rsidR="006E3D49" w:rsidRPr="00A839DD" w:rsidRDefault="006E3D49" w:rsidP="00C56A88">
      <w:pPr>
        <w:pStyle w:val="Titre1"/>
        <w:rPr>
          <w:noProof w:val="0"/>
        </w:rPr>
      </w:pPr>
      <w:bookmarkStart w:id="188" w:name="_Toc229131350"/>
      <w:r w:rsidRPr="00A839DD">
        <w:rPr>
          <w:noProof w:val="0"/>
        </w:rPr>
        <w:t>Écouter les plaintes pour comprendre et prévenir la discrimination</w:t>
      </w:r>
      <w:bookmarkEnd w:id="188"/>
    </w:p>
    <w:p w14:paraId="0CEE2CE1" w14:textId="77777777" w:rsidR="00206F94" w:rsidRPr="00A839DD" w:rsidRDefault="00206F94" w:rsidP="0006339A">
      <w:pPr>
        <w:pStyle w:val="Paragraphe"/>
      </w:pPr>
      <w:r w:rsidRPr="00A839DD">
        <w:t>L’analyse détaillée des plaintes pour discrimination en emploi fondée sur l’orientation sexuelle et l’identité ou l’expression de genre permet de formuler quelques constats transversaux.</w:t>
      </w:r>
    </w:p>
    <w:p w14:paraId="092B93CC" w14:textId="532E739F" w:rsidR="000A600C" w:rsidRPr="00A839DD" w:rsidRDefault="000A600C" w:rsidP="001D3E83">
      <w:pPr>
        <w:pStyle w:val="Titre2"/>
        <w:rPr>
          <w:noProof w:val="0"/>
        </w:rPr>
      </w:pPr>
      <w:bookmarkStart w:id="189" w:name="_Toc215748748"/>
      <w:bookmarkStart w:id="190" w:name="_Toc229131351"/>
      <w:r w:rsidRPr="00A839DD">
        <w:rPr>
          <w:noProof w:val="0"/>
        </w:rPr>
        <w:t xml:space="preserve">L’homophobie et la transphobie </w:t>
      </w:r>
      <w:bookmarkEnd w:id="189"/>
      <w:r w:rsidR="00F018E1" w:rsidRPr="00A839DD">
        <w:rPr>
          <w:noProof w:val="0"/>
        </w:rPr>
        <w:t>au quotidien</w:t>
      </w:r>
      <w:bookmarkEnd w:id="190"/>
    </w:p>
    <w:p w14:paraId="2D9F6909" w14:textId="46BC587A" w:rsidR="0002502A" w:rsidRPr="00A839DD" w:rsidRDefault="0002502A" w:rsidP="0006339A">
      <w:pPr>
        <w:pStyle w:val="Paragraphe"/>
      </w:pPr>
      <w:r w:rsidRPr="00A839DD">
        <w:t>Le présent rapport s’appuie sur les connaissances intimes de personnes LGBTQ+, exprimées à travers des plaintes, pour décrire l’hétérocissexisme ordinaire et ses effets dans le domaine de l’emploi. Il met ainsi en évidence des formes que peuvent prendre l’homophobie et la transphobie «</w:t>
      </w:r>
      <w:r w:rsidR="002D3AE6" w:rsidRPr="00A839DD">
        <w:rPr>
          <w:rFonts w:ascii="Arial" w:hAnsi="Arial" w:cs="Arial"/>
        </w:rPr>
        <w:t> </w:t>
      </w:r>
      <w:r w:rsidRPr="00A839DD">
        <w:t>au quotidien</w:t>
      </w:r>
      <w:r w:rsidR="002D3AE6" w:rsidRPr="00A839DD">
        <w:rPr>
          <w:rFonts w:ascii="Arial" w:hAnsi="Arial" w:cs="Arial"/>
        </w:rPr>
        <w:t> </w:t>
      </w:r>
      <w:r w:rsidRPr="00A839DD">
        <w:t>»</w:t>
      </w:r>
      <w:r w:rsidRPr="00A839DD">
        <w:rPr>
          <w:rStyle w:val="Appelnotedebasdep"/>
          <w:lang w:bidi="fr-CA"/>
        </w:rPr>
        <w:footnoteReference w:id="330"/>
      </w:r>
      <w:r w:rsidRPr="00A839DD">
        <w:t>.</w:t>
      </w:r>
    </w:p>
    <w:p w14:paraId="578D4FA4" w14:textId="77777777" w:rsidR="0002502A" w:rsidRPr="00A839DD" w:rsidRDefault="0002502A" w:rsidP="0006339A">
      <w:pPr>
        <w:pStyle w:val="Paragraphe"/>
        <w:rPr>
          <w:lang w:bidi="fr-CA"/>
        </w:rPr>
      </w:pPr>
      <w:r w:rsidRPr="00A839DD">
        <w:rPr>
          <w:lang w:bidi="fr-CA"/>
        </w:rPr>
        <w:t>S’appuyant sur les travaux de Philomena Essed</w:t>
      </w:r>
      <w:bookmarkStart w:id="191" w:name="_Ref69126785"/>
      <w:r w:rsidRPr="00A839DD">
        <w:rPr>
          <w:rStyle w:val="Appelnotedebasdep"/>
          <w:lang w:bidi="fr-CA"/>
        </w:rPr>
        <w:footnoteReference w:id="331"/>
      </w:r>
      <w:bookmarkEnd w:id="191"/>
      <w:r w:rsidRPr="00A839DD">
        <w:rPr>
          <w:lang w:bidi="fr-CA"/>
        </w:rPr>
        <w:t>, la sociologue Mireille Eberhard a montré que la formulation de plaintes pour discrimination raciale découle de deux types de connaissance du racisme que possèdent les personnes racisées : «</w:t>
      </w:r>
      <w:r w:rsidRPr="00A839DD">
        <w:rPr>
          <w:rFonts w:ascii="Arial" w:hAnsi="Arial" w:cs="Arial"/>
          <w:lang w:bidi="fr-CA"/>
        </w:rPr>
        <w:t> </w:t>
      </w:r>
      <w:r w:rsidRPr="00A839DD">
        <w:rPr>
          <w:lang w:bidi="fr-CA"/>
        </w:rPr>
        <w:t xml:space="preserve">La première, situationnelle, se rapporte à la </w:t>
      </w:r>
      <w:r w:rsidRPr="00A839DD">
        <w:rPr>
          <w:lang w:bidi="fr-CA"/>
        </w:rPr>
        <w:lastRenderedPageBreak/>
        <w:t>capacité de reconnaître une action comme non acceptable au regard d’une situation donnée. La seconde, générale, renvoie à l’accumulation familière et répétitive d’expériences du racisme</w:t>
      </w:r>
      <w:r w:rsidRPr="00A839DD">
        <w:rPr>
          <w:rFonts w:ascii="Arial" w:hAnsi="Arial" w:cs="Arial"/>
          <w:lang w:bidi="fr-CA"/>
        </w:rPr>
        <w:t> </w:t>
      </w:r>
      <w:r w:rsidRPr="00A839DD">
        <w:rPr>
          <w:lang w:bidi="fr-CA"/>
        </w:rPr>
        <w:t>»</w:t>
      </w:r>
      <w:r w:rsidRPr="00A839DD">
        <w:rPr>
          <w:rStyle w:val="Appelnotedebasdep"/>
          <w:lang w:bidi="fr-CA"/>
        </w:rPr>
        <w:footnoteReference w:id="332"/>
      </w:r>
      <w:r w:rsidRPr="00A839DD">
        <w:rPr>
          <w:lang w:bidi="fr-CA"/>
        </w:rPr>
        <w:t>.</w:t>
      </w:r>
    </w:p>
    <w:p w14:paraId="63352A75" w14:textId="7FADC1BC" w:rsidR="0002502A" w:rsidRPr="00A839DD" w:rsidRDefault="0002502A" w:rsidP="0006339A">
      <w:pPr>
        <w:pStyle w:val="Paragraphe"/>
        <w:rPr>
          <w:lang w:bidi="fr-CA"/>
        </w:rPr>
      </w:pPr>
      <w:r w:rsidRPr="00A839DD">
        <w:rPr>
          <w:lang w:bidi="fr-CA"/>
        </w:rPr>
        <w:t>Il en va de même pour les personnes LGBTQ+ qui mobilisent ces deux types de connaissance pour formuler leurs plaintes. Elles identifient des faits et «</w:t>
      </w:r>
      <w:r w:rsidR="002D3AE6" w:rsidRPr="00A839DD">
        <w:rPr>
          <w:rFonts w:ascii="Arial" w:hAnsi="Arial" w:cs="Arial"/>
          <w:lang w:bidi="fr-CA"/>
        </w:rPr>
        <w:t> </w:t>
      </w:r>
      <w:r w:rsidRPr="00A839DD">
        <w:rPr>
          <w:lang w:bidi="fr-CA"/>
        </w:rPr>
        <w:t>indices</w:t>
      </w:r>
      <w:r w:rsidR="002D3AE6" w:rsidRPr="00A839DD">
        <w:rPr>
          <w:rFonts w:ascii="Arial" w:hAnsi="Arial" w:cs="Arial"/>
          <w:lang w:bidi="fr-CA"/>
        </w:rPr>
        <w:t> </w:t>
      </w:r>
      <w:r w:rsidRPr="00A839DD">
        <w:rPr>
          <w:lang w:bidi="fr-CA"/>
        </w:rPr>
        <w:t>» pour fonder leur plainte, que ce soit des propos stéréotypés, des «</w:t>
      </w:r>
      <w:r w:rsidR="002D3AE6" w:rsidRPr="00A839DD">
        <w:rPr>
          <w:rFonts w:ascii="Arial" w:hAnsi="Arial" w:cs="Arial"/>
          <w:lang w:bidi="fr-CA"/>
        </w:rPr>
        <w:t> </w:t>
      </w:r>
      <w:r w:rsidRPr="00A839DD">
        <w:rPr>
          <w:lang w:bidi="fr-CA"/>
        </w:rPr>
        <w:t>blagues</w:t>
      </w:r>
      <w:r w:rsidR="002D3AE6" w:rsidRPr="00A839DD">
        <w:rPr>
          <w:rFonts w:ascii="Arial" w:hAnsi="Arial" w:cs="Arial"/>
          <w:lang w:bidi="fr-CA"/>
        </w:rPr>
        <w:t> </w:t>
      </w:r>
      <w:r w:rsidRPr="00A839DD">
        <w:rPr>
          <w:lang w:bidi="fr-CA"/>
        </w:rPr>
        <w:t>» déplacées, des changements d’attitudes ou de comportements, des rumeurs, de l’indifférence ou encore une somme d’impressions ou de sentiments de ne pas être traitées en toute égalité. L’expérience de la situation décrite fait par ailleurs généralement écho à un vécu marqué par la familiarité et la régularité de l’homophobie et de la transphobie au cours de la trajectoire de vie.</w:t>
      </w:r>
    </w:p>
    <w:p w14:paraId="09AAA938" w14:textId="72C1C466" w:rsidR="0002502A" w:rsidRPr="00A839DD" w:rsidRDefault="0002502A" w:rsidP="0006339A">
      <w:pPr>
        <w:pStyle w:val="Paragraphe"/>
        <w:rPr>
          <w:lang w:bidi="fr-CA"/>
        </w:rPr>
      </w:pPr>
      <w:r w:rsidRPr="00A839DD">
        <w:rPr>
          <w:lang w:bidi="fr-CA"/>
        </w:rPr>
        <w:t xml:space="preserve">Ces manifestations de l’homophobie et de la transphobie au quotidien peuvent ou non </w:t>
      </w:r>
      <w:r w:rsidR="00353DA4">
        <w:rPr>
          <w:lang w:bidi="fr-CA"/>
        </w:rPr>
        <w:t>correspondre</w:t>
      </w:r>
      <w:r w:rsidRPr="00A839DD">
        <w:rPr>
          <w:lang w:bidi="fr-CA"/>
        </w:rPr>
        <w:t xml:space="preserve"> complètement la définition juridique de la discrimination</w:t>
      </w:r>
      <w:r w:rsidR="00C955C1" w:rsidRPr="00A839DD">
        <w:rPr>
          <w:lang w:bidi="fr-CA"/>
        </w:rPr>
        <w:t xml:space="preserve"> ou du harcèlement discriminatoire</w:t>
      </w:r>
      <w:r w:rsidRPr="00A839DD">
        <w:rPr>
          <w:lang w:bidi="fr-CA"/>
        </w:rPr>
        <w:t xml:space="preserve">. Néanmoins, ces plaintes sont une source précieuse pour saisir des expériences qui sont jugées par les personnes concernées comme suffisamment problématiques pour justifier une intervention extérieure, soit celle de la Commission des droits. Même si les faits allégués peuvent parfois être difficiles à associer juridiquement à la discrimination, ils peuvent être des indicateurs à prendre au sérieux quant aux normes qui prévalent dans un milieu de travail, au climat qui y règne, aux pratiques et politiques en vigueur et à l’attitude ou au comportement de la personne mise en cause. L’écoute </w:t>
      </w:r>
      <w:r w:rsidR="00266299" w:rsidRPr="00A839DD">
        <w:rPr>
          <w:lang w:bidi="fr-CA"/>
        </w:rPr>
        <w:t xml:space="preserve">et la prise en compte des réalités </w:t>
      </w:r>
      <w:r w:rsidR="00F80958" w:rsidRPr="00A839DD">
        <w:rPr>
          <w:lang w:bidi="fr-CA"/>
        </w:rPr>
        <w:t>vécues par l</w:t>
      </w:r>
      <w:r w:rsidRPr="00A839DD">
        <w:rPr>
          <w:lang w:bidi="fr-CA"/>
        </w:rPr>
        <w:t>es personnes concernées doi</w:t>
      </w:r>
      <w:r w:rsidR="00B03D42">
        <w:rPr>
          <w:lang w:bidi="fr-CA"/>
        </w:rPr>
        <w:t>ven</w:t>
      </w:r>
      <w:r w:rsidRPr="00A839DD">
        <w:rPr>
          <w:lang w:bidi="fr-CA"/>
        </w:rPr>
        <w:t xml:space="preserve">t guider les employeurs </w:t>
      </w:r>
      <w:r w:rsidR="002E4CD1" w:rsidRPr="00A839DD">
        <w:rPr>
          <w:lang w:bidi="fr-CA"/>
        </w:rPr>
        <w:t xml:space="preserve">pour reconnaître ces formes d’exclusion et </w:t>
      </w:r>
      <w:r w:rsidR="00C93FFD" w:rsidRPr="00A839DD">
        <w:rPr>
          <w:lang w:bidi="fr-CA"/>
        </w:rPr>
        <w:t>éliminer toute forme d</w:t>
      </w:r>
      <w:r w:rsidRPr="00A839DD">
        <w:rPr>
          <w:lang w:bidi="fr-CA"/>
        </w:rPr>
        <w:t xml:space="preserve">’homophobie et </w:t>
      </w:r>
      <w:r w:rsidR="00C93FFD" w:rsidRPr="00A839DD">
        <w:rPr>
          <w:lang w:bidi="fr-CA"/>
        </w:rPr>
        <w:t xml:space="preserve">de </w:t>
      </w:r>
      <w:r w:rsidRPr="00A839DD">
        <w:rPr>
          <w:lang w:bidi="fr-CA"/>
        </w:rPr>
        <w:t>transphobie</w:t>
      </w:r>
      <w:r w:rsidR="00C93FFD" w:rsidRPr="00A839DD">
        <w:rPr>
          <w:lang w:bidi="fr-CA"/>
        </w:rPr>
        <w:t xml:space="preserve"> dans les milieux de travail</w:t>
      </w:r>
      <w:r w:rsidRPr="00A839DD">
        <w:rPr>
          <w:lang w:bidi="fr-CA"/>
        </w:rPr>
        <w:t>.</w:t>
      </w:r>
    </w:p>
    <w:p w14:paraId="48D12D99" w14:textId="0B2F3F48" w:rsidR="006A3632" w:rsidRPr="00A839DD" w:rsidRDefault="006A3632" w:rsidP="001D3E83">
      <w:pPr>
        <w:pStyle w:val="Titre2"/>
        <w:rPr>
          <w:noProof w:val="0"/>
          <w:lang w:bidi="fr-CA"/>
        </w:rPr>
      </w:pPr>
      <w:bookmarkStart w:id="192" w:name="_Toc215748749"/>
      <w:bookmarkStart w:id="193" w:name="_Toc229131352"/>
      <w:r w:rsidRPr="00A839DD">
        <w:rPr>
          <w:noProof w:val="0"/>
          <w:lang w:bidi="fr-CA"/>
        </w:rPr>
        <w:t>Les droits au travail à protéger à la lumière d’une trajectoire de vie</w:t>
      </w:r>
      <w:bookmarkEnd w:id="192"/>
      <w:bookmarkEnd w:id="193"/>
    </w:p>
    <w:p w14:paraId="52C4A0C7" w14:textId="191967E1" w:rsidR="009C5E92" w:rsidRPr="00A839DD" w:rsidRDefault="009C5E92" w:rsidP="0006339A">
      <w:pPr>
        <w:pStyle w:val="Paragraphe"/>
      </w:pPr>
      <w:r w:rsidRPr="00A839DD">
        <w:rPr>
          <w:lang w:bidi="fr-CA"/>
        </w:rPr>
        <w:t xml:space="preserve">Les effets de la discrimination alléguée vécus par les personnes plaignantes peuvent être exacerbés du fait de l’accumulation d’expériences négatives au cours de la vie. </w:t>
      </w:r>
      <w:r w:rsidR="00813CFE" w:rsidRPr="00A839DD">
        <w:rPr>
          <w:lang w:bidi="fr-CA"/>
        </w:rPr>
        <w:t xml:space="preserve">Ceux-ci ne </w:t>
      </w:r>
      <w:r w:rsidRPr="00A839DD">
        <w:rPr>
          <w:lang w:bidi="fr-CA"/>
        </w:rPr>
        <w:t xml:space="preserve">sont </w:t>
      </w:r>
      <w:r w:rsidR="00813CFE" w:rsidRPr="00A839DD">
        <w:rPr>
          <w:lang w:bidi="fr-CA"/>
        </w:rPr>
        <w:t xml:space="preserve">pas toujours causés par un événement isolé. Ils s’ajoutent </w:t>
      </w:r>
      <w:r w:rsidRPr="00A839DD">
        <w:rPr>
          <w:lang w:bidi="fr-CA"/>
        </w:rPr>
        <w:t xml:space="preserve">souvent </w:t>
      </w:r>
      <w:r w:rsidR="00813CFE" w:rsidRPr="00A839DD">
        <w:rPr>
          <w:lang w:bidi="fr-CA"/>
        </w:rPr>
        <w:t>à d’autres expériences négatives vécues antérieurement</w:t>
      </w:r>
      <w:r w:rsidR="0004287A">
        <w:rPr>
          <w:lang w:bidi="fr-CA"/>
        </w:rPr>
        <w:t xml:space="preserve"> et peuvent prendre des formes </w:t>
      </w:r>
      <w:r>
        <w:rPr>
          <w:lang w:bidi="fr-CA"/>
        </w:rPr>
        <w:t xml:space="preserve">directes mais aussi parfois </w:t>
      </w:r>
      <w:r w:rsidR="00BA191D">
        <w:rPr>
          <w:lang w:bidi="fr-CA"/>
        </w:rPr>
        <w:t xml:space="preserve">plus </w:t>
      </w:r>
      <w:r>
        <w:rPr>
          <w:lang w:bidi="fr-CA"/>
        </w:rPr>
        <w:t>diffuses</w:t>
      </w:r>
      <w:r w:rsidR="00813CFE" w:rsidRPr="00A839DD">
        <w:rPr>
          <w:lang w:bidi="fr-CA"/>
        </w:rPr>
        <w:t xml:space="preserve">. </w:t>
      </w:r>
      <w:r w:rsidR="00530AE7">
        <w:rPr>
          <w:lang w:bidi="fr-CA"/>
        </w:rPr>
        <w:t xml:space="preserve">Les </w:t>
      </w:r>
      <w:r w:rsidR="00813CFE" w:rsidRPr="00A839DD">
        <w:rPr>
          <w:lang w:bidi="fr-CA"/>
        </w:rPr>
        <w:t xml:space="preserve">situations rapportées et leurs effets peuvent </w:t>
      </w:r>
      <w:r w:rsidR="00530AE7">
        <w:rPr>
          <w:lang w:bidi="fr-CA"/>
        </w:rPr>
        <w:t xml:space="preserve">ainsi </w:t>
      </w:r>
      <w:r w:rsidR="00813CFE" w:rsidRPr="00A839DD">
        <w:rPr>
          <w:rFonts w:cstheme="minorHAnsi"/>
        </w:rPr>
        <w:t>être</w:t>
      </w:r>
      <w:r w:rsidRPr="00A839DD">
        <w:rPr>
          <w:rFonts w:cstheme="minorHAnsi"/>
        </w:rPr>
        <w:t xml:space="preserve"> </w:t>
      </w:r>
      <w:r w:rsidR="00735618" w:rsidRPr="00A839DD">
        <w:rPr>
          <w:rFonts w:cstheme="minorHAnsi"/>
        </w:rPr>
        <w:t>complexes</w:t>
      </w:r>
      <w:r w:rsidRPr="00A839DD">
        <w:rPr>
          <w:rFonts w:cstheme="minorHAnsi"/>
        </w:rPr>
        <w:t xml:space="preserve"> à </w:t>
      </w:r>
      <w:r w:rsidR="00813CFE" w:rsidRPr="00A839DD">
        <w:rPr>
          <w:rFonts w:cstheme="minorHAnsi"/>
        </w:rPr>
        <w:t>documenter</w:t>
      </w:r>
      <w:r w:rsidRPr="00A839DD">
        <w:rPr>
          <w:rFonts w:cstheme="minorHAnsi"/>
        </w:rPr>
        <w:t>, de sorte que leur responsabilité peut être difficile à attribuer. Dans ces cas, les personnes concernées peuvent avoir de la difficulté à nommer et expliciter le caractère discriminatoire d’une situation</w:t>
      </w:r>
      <w:r w:rsidRPr="00A839DD">
        <w:rPr>
          <w:rStyle w:val="Appelnotedebasdep"/>
          <w:rFonts w:cstheme="minorHAnsi"/>
        </w:rPr>
        <w:footnoteReference w:id="333"/>
      </w:r>
      <w:r w:rsidRPr="00A839DD">
        <w:t>.</w:t>
      </w:r>
    </w:p>
    <w:p w14:paraId="5C58E6BB" w14:textId="3ADFA1CC" w:rsidR="009C5E92" w:rsidRPr="00A839DD" w:rsidRDefault="009C5E92" w:rsidP="0006339A">
      <w:pPr>
        <w:pStyle w:val="Paragraphe"/>
      </w:pPr>
      <w:r w:rsidRPr="00A839DD">
        <w:t>Pour assurer la réalisation des droits des personnes LGBTQ+ en milieu de travail, il est pertinent de reconnaître que leur expérience professionnelle peut être influencée par des éléments de leur parcours de vie, tels que l’intimidation vécue à l’école, l</w:t>
      </w:r>
      <w:r w:rsidR="00A45577" w:rsidRPr="00A839DD">
        <w:t>e dévoilement de</w:t>
      </w:r>
      <w:r w:rsidRPr="00A839DD">
        <w:t xml:space="preserve"> son orientation sexuelle ou </w:t>
      </w:r>
      <w:r w:rsidRPr="00A839DD">
        <w:lastRenderedPageBreak/>
        <w:t xml:space="preserve">son identité de genre, </w:t>
      </w:r>
      <w:r w:rsidR="00665AAB" w:rsidRPr="00A839DD">
        <w:t>des obstacles dans l’accès aux</w:t>
      </w:r>
      <w:r w:rsidR="00AA1705" w:rsidRPr="00A839DD">
        <w:t xml:space="preserve"> services, des </w:t>
      </w:r>
      <w:r w:rsidR="00DD118B" w:rsidRPr="00A839DD">
        <w:t>interactions problématiques avec les services policiers</w:t>
      </w:r>
      <w:r w:rsidR="003A08B5" w:rsidRPr="00A839DD">
        <w:t xml:space="preserve"> </w:t>
      </w:r>
      <w:r w:rsidRPr="00A839DD">
        <w:t>ou encore des expériences négatives dans des emplois antérieurs. Sans que l’employeur ait à assumer la responsabilité de ces expériences, en être conscient peut favoriser une réponse plus appropriée lorsqu’une situation problématique est signalée. Par exemple, l’employeur devrait éviter de remettre d’emblée en cause la crédibilité de la personne ou de l’accuser d’une supposée «</w:t>
      </w:r>
      <w:r w:rsidR="002D3AE6" w:rsidRPr="00A839DD">
        <w:rPr>
          <w:rFonts w:ascii="Arial" w:hAnsi="Arial" w:cs="Arial"/>
        </w:rPr>
        <w:t> </w:t>
      </w:r>
      <w:r w:rsidRPr="00A839DD">
        <w:t>sensibilité excessive</w:t>
      </w:r>
      <w:r w:rsidR="002D3AE6" w:rsidRPr="00A839DD">
        <w:rPr>
          <w:rFonts w:ascii="Arial" w:hAnsi="Arial" w:cs="Arial"/>
        </w:rPr>
        <w:t> </w:t>
      </w:r>
      <w:r w:rsidRPr="00A839DD">
        <w:t xml:space="preserve">». Concrètement, l’employeur </w:t>
      </w:r>
      <w:r w:rsidR="00884606">
        <w:t>doit</w:t>
      </w:r>
      <w:r w:rsidRPr="00A839DD">
        <w:t xml:space="preserve"> plutôt privilégier l’écoute et chercher des mesures pour assurer le respect des droits de la personne au travail.</w:t>
      </w:r>
    </w:p>
    <w:p w14:paraId="55FECB45" w14:textId="234EE015" w:rsidR="00CA7F1D" w:rsidRPr="00A839DD" w:rsidRDefault="00CA7F1D" w:rsidP="001D3E83">
      <w:pPr>
        <w:pStyle w:val="Titre2"/>
        <w:rPr>
          <w:noProof w:val="0"/>
          <w:lang w:bidi="fr-CA"/>
        </w:rPr>
      </w:pPr>
      <w:bookmarkStart w:id="194" w:name="_Toc215748750"/>
      <w:bookmarkStart w:id="195" w:name="_Toc229131353"/>
      <w:r w:rsidRPr="00A839DD">
        <w:rPr>
          <w:noProof w:val="0"/>
          <w:lang w:bidi="fr-CA"/>
        </w:rPr>
        <w:t>Le travail, indissociable d</w:t>
      </w:r>
      <w:r w:rsidR="00297796" w:rsidRPr="00A839DD">
        <w:rPr>
          <w:noProof w:val="0"/>
          <w:lang w:bidi="fr-CA"/>
        </w:rPr>
        <w:t xml:space="preserve">es autres sphères de la vie </w:t>
      </w:r>
      <w:r w:rsidRPr="00A839DD">
        <w:rPr>
          <w:noProof w:val="0"/>
          <w:lang w:bidi="fr-CA"/>
        </w:rPr>
        <w:t>des personnes</w:t>
      </w:r>
      <w:bookmarkEnd w:id="194"/>
      <w:bookmarkEnd w:id="195"/>
    </w:p>
    <w:p w14:paraId="28606066" w14:textId="550976FA" w:rsidR="006045C8" w:rsidRPr="00A839DD" w:rsidRDefault="006045C8" w:rsidP="0006339A">
      <w:pPr>
        <w:pStyle w:val="Paragraphe"/>
      </w:pPr>
      <w:r w:rsidRPr="00A839DD">
        <w:t>L’imbrication de l’homophobie et de la transphobie dans le quotidien, ainsi que leur inscription dans la trajectoire des personnes concernées, montrent que leur expérience au travail ne peut être appréhendée indépendamment d</w:t>
      </w:r>
      <w:r w:rsidR="00297796" w:rsidRPr="00A839DD">
        <w:t>es autres sphères de</w:t>
      </w:r>
      <w:r w:rsidRPr="00A839DD">
        <w:t xml:space="preserve"> leur vie. Or, afin d’être épanouie au travail, toute personne doit </w:t>
      </w:r>
      <w:r w:rsidR="000958A0" w:rsidRPr="00A839DD">
        <w:t xml:space="preserve">plus largement </w:t>
      </w:r>
      <w:r w:rsidRPr="00A839DD">
        <w:t>avoir accès à des services d’éducation, de santé et de services sociaux, pouvoir compter sur des mesures de soutien social lorsqu’elle en a besoin, et disposer de moyens effectifs et accessibles pour</w:t>
      </w:r>
      <w:r w:rsidR="00FB1A92" w:rsidRPr="00A839DD">
        <w:t xml:space="preserve"> connaître et</w:t>
      </w:r>
      <w:r w:rsidRPr="00A839DD">
        <w:t xml:space="preserve"> faire valoir ses droits. Historiquement et encore trop souvent aujourd’hui, les personnes LGBTQ+ y ont un accès plus limité</w:t>
      </w:r>
      <w:r w:rsidR="008C539F" w:rsidRPr="00A839DD">
        <w:t xml:space="preserve"> ou y rencontrent différents obstacles</w:t>
      </w:r>
      <w:r w:rsidR="0054768A" w:rsidRPr="00A839DD">
        <w:t xml:space="preserve">, comme le reconnaît le </w:t>
      </w:r>
      <w:r w:rsidR="0054768A" w:rsidRPr="00A839DD">
        <w:rPr>
          <w:i/>
          <w:iCs/>
        </w:rPr>
        <w:t>Plan d’action gouvernemental de lutte contre l’homophobie et la transphobie</w:t>
      </w:r>
      <w:r w:rsidR="006D0691" w:rsidRPr="00A839DD">
        <w:rPr>
          <w:i/>
          <w:iCs/>
        </w:rPr>
        <w:t xml:space="preserve"> 2023-2028</w:t>
      </w:r>
      <w:r w:rsidR="00427C74" w:rsidRPr="00A839DD">
        <w:rPr>
          <w:rStyle w:val="Appelnotedebasdep"/>
          <w:i/>
          <w:iCs/>
        </w:rPr>
        <w:footnoteReference w:id="334"/>
      </w:r>
      <w:r w:rsidRPr="00A839DD">
        <w:t>.</w:t>
      </w:r>
    </w:p>
    <w:p w14:paraId="145EF1F7" w14:textId="2F221A61" w:rsidR="006045C8" w:rsidRPr="00A839DD" w:rsidRDefault="006045C8" w:rsidP="0006339A">
      <w:pPr>
        <w:pStyle w:val="Paragraphe"/>
      </w:pPr>
      <w:r w:rsidRPr="00A839DD">
        <w:t>Le respect des droits en milieu de travail est donc intimement lié à la réalisation des autres droits, y compris les droits économiques et sociaux, comme ceux à l’éducation</w:t>
      </w:r>
      <w:r w:rsidR="002702B1" w:rsidRPr="00A839DD">
        <w:t xml:space="preserve">, à la santé </w:t>
      </w:r>
      <w:r w:rsidRPr="00A839DD">
        <w:t xml:space="preserve">et à un niveau de vie décent. Comme chacun de ces droits doit être garanti en toute égalité, il est nécessaire d’éliminer toutes les formes de discrimination fondée sur l’orientation sexuelle et l’identité ou l’expression de genre </w:t>
      </w:r>
      <w:r w:rsidR="00021D14" w:rsidRPr="00A839DD">
        <w:t>—</w:t>
      </w:r>
      <w:r w:rsidR="00B30485" w:rsidRPr="00A839DD">
        <w:rPr>
          <w:rFonts w:ascii="Arial" w:hAnsi="Arial" w:cs="Arial"/>
        </w:rPr>
        <w:t> </w:t>
      </w:r>
      <w:r w:rsidRPr="00A839DD">
        <w:t>qu’elles soient directes, indirectes ou systémiques</w:t>
      </w:r>
      <w:r w:rsidR="00B30485" w:rsidRPr="00A839DD">
        <w:rPr>
          <w:rFonts w:ascii="Arial" w:hAnsi="Arial" w:cs="Arial"/>
        </w:rPr>
        <w:t> </w:t>
      </w:r>
      <w:r w:rsidR="00021D14" w:rsidRPr="00A839DD">
        <w:t>—</w:t>
      </w:r>
      <w:r w:rsidRPr="00A839DD">
        <w:t xml:space="preserve"> et ce, dans tous les milieux, par des actions coordonnées à plusieurs niveaux, soit dans les discours publics, la législation, les politiques publiques, les normes et pratiques organisationnelles, ainsi que les relations interpersonnelles.</w:t>
      </w:r>
    </w:p>
    <w:p w14:paraId="3BF0E509" w14:textId="77777777" w:rsidR="005510E0" w:rsidRPr="00A839DD" w:rsidRDefault="005510E0" w:rsidP="001D3E83">
      <w:pPr>
        <w:pStyle w:val="Titre2"/>
        <w:rPr>
          <w:noProof w:val="0"/>
          <w:lang w:bidi="fr-CA"/>
        </w:rPr>
      </w:pPr>
      <w:bookmarkStart w:id="196" w:name="_Toc215748751"/>
      <w:bookmarkStart w:id="197" w:name="_Toc229131354"/>
      <w:r w:rsidRPr="00A839DD">
        <w:rPr>
          <w:noProof w:val="0"/>
          <w:lang w:bidi="fr-CA"/>
        </w:rPr>
        <w:t>Le dilemme du dévoilement au travail, une question de droit au respect de sa vie privée</w:t>
      </w:r>
      <w:bookmarkEnd w:id="196"/>
      <w:bookmarkEnd w:id="197"/>
      <w:r w:rsidRPr="00A839DD">
        <w:rPr>
          <w:noProof w:val="0"/>
          <w:lang w:bidi="fr-CA"/>
        </w:rPr>
        <w:t xml:space="preserve"> </w:t>
      </w:r>
    </w:p>
    <w:p w14:paraId="53CFF215" w14:textId="77777777" w:rsidR="00C73524" w:rsidRPr="00A839DD" w:rsidRDefault="00C73524" w:rsidP="0006339A">
      <w:pPr>
        <w:pStyle w:val="Paragraphe"/>
      </w:pPr>
      <w:r w:rsidRPr="00A839DD">
        <w:t>L’analyse des plaintes montre bien la diversité des scénarios de dévoilement de l’orientation sexuelle ou de la transidentité au travail. Certaines personnes en parlent ouvertement, d’autres cachent complètement cette information, tandis que d’autres encore ne la dévoilent qu’à certaines personnes choisies ou dans certaines circonstances. Cette information est par ailleurs parfois connue au travail à la suite d’un dévoilement forcé, par exemple en raison de commérages ou de l’indiscrétion volontaire ou non d’une autre personne.</w:t>
      </w:r>
    </w:p>
    <w:p w14:paraId="6B86E56B" w14:textId="117E0AC2" w:rsidR="00C73524" w:rsidRPr="00A839DD" w:rsidRDefault="00C73524" w:rsidP="0006339A">
      <w:pPr>
        <w:pStyle w:val="Paragraphe"/>
      </w:pPr>
      <w:r w:rsidRPr="00A839DD">
        <w:t xml:space="preserve">Le droit au respect de sa vie privée, garanti par la Charte, protège la possibilité pour une personne de dévoiler ou non son orientation sexuelle ou sa transidentité, y compris en emploi. Ces informations, </w:t>
      </w:r>
      <w:r w:rsidRPr="00A839DD">
        <w:lastRenderedPageBreak/>
        <w:t>ainsi que le sexe, sont en effet des renseignements personnels, au même titre que les données liées à d’autres motifs interdits de discrimination. La jurisprudence reconnaît que l’orientation sexuelle et l’identité de genre font partie des renseignements relevant de l’identité fondamentale d’une personne dont la divulgation involontaire est susceptible de porter atteinte à ses droits à la sauvegarde de sa dignité et au respect de sa vie privée, en plus de l’exposer à la discrimination et à des préjudices sur le marché du travail</w:t>
      </w:r>
      <w:r w:rsidRPr="00A839DD">
        <w:rPr>
          <w:rStyle w:val="Appelnotedebasdep"/>
        </w:rPr>
        <w:footnoteReference w:id="335"/>
      </w:r>
      <w:r w:rsidRPr="00A839DD">
        <w:t>. Un individu doit par exemple pouvoir «</w:t>
      </w:r>
      <w:r w:rsidR="002D3AE6" w:rsidRPr="00A839DD">
        <w:rPr>
          <w:rFonts w:ascii="Arial" w:hAnsi="Arial" w:cs="Arial"/>
        </w:rPr>
        <w:t> </w:t>
      </w:r>
      <w:r w:rsidRPr="00A839DD">
        <w:t>librement décider de révéler qu’il est homosexuel à un futur employeur […</w:t>
      </w:r>
      <w:r w:rsidRPr="00A839DD">
        <w:softHyphen/>
        <w:t>] Il est aussi libre de ne pas en faire état.</w:t>
      </w:r>
      <w:r w:rsidR="002D3AE6" w:rsidRPr="00A839DD">
        <w:rPr>
          <w:rFonts w:ascii="Arial" w:hAnsi="Arial" w:cs="Arial"/>
        </w:rPr>
        <w:t> </w:t>
      </w:r>
      <w:r w:rsidRPr="00A839DD">
        <w:t>»</w:t>
      </w:r>
      <w:r w:rsidRPr="00A839DD">
        <w:rPr>
          <w:rStyle w:val="Appelnotedebasdep"/>
        </w:rPr>
        <w:footnoteReference w:id="336"/>
      </w:r>
      <w:r w:rsidRPr="00A839DD">
        <w:t>.</w:t>
      </w:r>
    </w:p>
    <w:p w14:paraId="311C3940" w14:textId="77777777" w:rsidR="00C73524" w:rsidRPr="00A839DD" w:rsidRDefault="00C73524" w:rsidP="0006339A">
      <w:pPr>
        <w:pStyle w:val="Paragraphe"/>
      </w:pPr>
      <w:r w:rsidRPr="00A839DD">
        <w:t>Comme la Commission l’a déjà soutenu, le dévoilement de renseignements sur l’orientation sexuelle et l’identité de genre peut s’avérer particulièrement délicat. Cet enjeu apparaît en effet dans la littérature académique comme central dans l’expérience des discriminations hétérocissexistes</w:t>
      </w:r>
      <w:r w:rsidRPr="00A839DD">
        <w:rPr>
          <w:rStyle w:val="Appelnotedebasdep"/>
        </w:rPr>
        <w:footnoteReference w:id="337"/>
      </w:r>
      <w:r w:rsidRPr="00A839DD">
        <w:t>. Le dévoilement s’inscrit généralement dans un long processus de réflexion relativement à ses implications et conséquences, celui-ci pouvant être plus ou moins difficile et douloureux selon le vécu et le contexte de la personne, ce qui explique la variété des décisions des personnes LGBTQ+ relativement au dévoilement en milieu de travail.</w:t>
      </w:r>
    </w:p>
    <w:p w14:paraId="22CD1E00" w14:textId="77777777" w:rsidR="00C73524" w:rsidRPr="00A839DD" w:rsidRDefault="00C73524" w:rsidP="0006339A">
      <w:pPr>
        <w:pStyle w:val="Paragraphe"/>
      </w:pPr>
      <w:r w:rsidRPr="00A839DD">
        <w:t>Concrètement, pour assurer l’exercice du droit au respect de sa vie privée en milieu de travail, un employeur doit par exemple maintenir la confidentialité des informations sur le sexe, l’identité de genre et l’orientation sexuelle des membres du personnel, lorsqu’elles sont connues. Celles-ci ne devraient d’ailleurs être collectées qu’avec le consentement des personnes concernées et uniquement dans le but explicite de lutter contre la discrimination. Dans les cas où des informations sur le sexe à la naissance seraient strictement nécessaires, cette information devrait être clairement distinguée des renseignements servant à s’adresser à la personne (p. ex. titre de civilité, prénom, genre) et les finalités auxquelles servira ce renseignement devraient être présentées à la personne concernée.</w:t>
      </w:r>
    </w:p>
    <w:p w14:paraId="618D2C3B" w14:textId="77777777" w:rsidR="0047054A" w:rsidRPr="00A839DD" w:rsidRDefault="0047054A" w:rsidP="001D3E83">
      <w:pPr>
        <w:pStyle w:val="Titre2"/>
        <w:rPr>
          <w:noProof w:val="0"/>
          <w:lang w:bidi="fr-CA"/>
        </w:rPr>
      </w:pPr>
      <w:bookmarkStart w:id="198" w:name="_Toc229131355"/>
      <w:r w:rsidRPr="00A839DD">
        <w:rPr>
          <w:noProof w:val="0"/>
          <w:lang w:bidi="fr-CA"/>
        </w:rPr>
        <w:t>Le sexisme comme élément structurant de la discrimination envers les personnes LGBTQ+</w:t>
      </w:r>
      <w:bookmarkEnd w:id="198"/>
      <w:r w:rsidRPr="00A839DD">
        <w:rPr>
          <w:noProof w:val="0"/>
          <w:lang w:bidi="fr-CA"/>
        </w:rPr>
        <w:t xml:space="preserve"> </w:t>
      </w:r>
    </w:p>
    <w:p w14:paraId="2564C201" w14:textId="62EE061A" w:rsidR="00CF3B62" w:rsidRPr="00A839DD" w:rsidRDefault="00CF3B62" w:rsidP="0006339A">
      <w:pPr>
        <w:pStyle w:val="Paragraphe"/>
      </w:pPr>
      <w:r w:rsidRPr="00A839DD">
        <w:t xml:space="preserve">L’analyse des plaintes révèle comment le sexisme </w:t>
      </w:r>
      <w:r w:rsidR="00021D14" w:rsidRPr="00A839DD">
        <w:t>—</w:t>
      </w:r>
      <w:r w:rsidR="00B30485" w:rsidRPr="00A839DD">
        <w:rPr>
          <w:rFonts w:ascii="Arial" w:hAnsi="Arial" w:cs="Arial"/>
        </w:rPr>
        <w:t> </w:t>
      </w:r>
      <w:r w:rsidRPr="00A839DD">
        <w:t>en tant que forme de discrimination fondée sur le sexe ou le genre</w:t>
      </w:r>
      <w:r w:rsidRPr="00A839DD">
        <w:rPr>
          <w:rStyle w:val="Appelnotedebasdep"/>
        </w:rPr>
        <w:footnoteReference w:id="338"/>
      </w:r>
      <w:r w:rsidR="00B30485" w:rsidRPr="00A839DD">
        <w:rPr>
          <w:rFonts w:ascii="Arial" w:hAnsi="Arial" w:cs="Arial"/>
        </w:rPr>
        <w:t> </w:t>
      </w:r>
      <w:r w:rsidR="00021D14" w:rsidRPr="00A839DD">
        <w:t>—</w:t>
      </w:r>
      <w:r w:rsidRPr="00A839DD">
        <w:t xml:space="preserve"> peut affecter l’expérience des personnes LGBTQ+ en emploi.</w:t>
      </w:r>
    </w:p>
    <w:p w14:paraId="2573691F" w14:textId="0919D5EB" w:rsidR="00CF3B62" w:rsidRPr="00A839DD" w:rsidRDefault="00CF3B62" w:rsidP="0006339A">
      <w:pPr>
        <w:pStyle w:val="Paragraphe"/>
      </w:pPr>
      <w:r w:rsidRPr="00A839DD">
        <w:lastRenderedPageBreak/>
        <w:t>Les femmes lesbiennes sont nettement sous-représentées dans les plaintes pour discrimination en emploi fondée sur l’orientation sexuelle. Bien qu’il soit possible qu’elles soient moins victimes de discrimination en emploi que les hommes homosexuels, l’ampleur de l’écart constaté laisse penser que les formes spécifiques de di</w:t>
      </w:r>
      <w:r w:rsidR="00723BC2" w:rsidRPr="00A839DD">
        <w:t>s</w:t>
      </w:r>
      <w:r w:rsidRPr="00A839DD">
        <w:t>crimination dont elles sont l’objet sont invisibilisées ou encore traitées sous le motif «</w:t>
      </w:r>
      <w:r w:rsidR="002D3AE6" w:rsidRPr="00A839DD">
        <w:rPr>
          <w:rFonts w:ascii="Arial" w:hAnsi="Arial" w:cs="Arial"/>
        </w:rPr>
        <w:t> </w:t>
      </w:r>
      <w:r w:rsidRPr="00A839DD">
        <w:t>sexe</w:t>
      </w:r>
      <w:r w:rsidR="002D3AE6" w:rsidRPr="00A839DD">
        <w:rPr>
          <w:rFonts w:ascii="Arial" w:hAnsi="Arial" w:cs="Arial"/>
        </w:rPr>
        <w:t> </w:t>
      </w:r>
      <w:r w:rsidRPr="00A839DD">
        <w:t>». Dans les deux cas, elles seraient traitées inégalement parce qu’elles sont des femmes.</w:t>
      </w:r>
    </w:p>
    <w:p w14:paraId="57948C0C" w14:textId="77777777" w:rsidR="00CF3B62" w:rsidRPr="00A839DD" w:rsidRDefault="00CF3B62" w:rsidP="0006339A">
      <w:pPr>
        <w:pStyle w:val="Paragraphe"/>
      </w:pPr>
      <w:r w:rsidRPr="00A839DD">
        <w:t>Les femmes trans sont en revanche surreprésentées dans les plaintes pour discrimination en emploi fondée sur l’identité ou l’expression de genre par rapport aux hommes trans et aux personnes non binaires, ce qui fait écho aux stéréotypes transmisogynes récurrents associant les femmes trans à des menaces ou risques.</w:t>
      </w:r>
    </w:p>
    <w:p w14:paraId="78CD94A1" w14:textId="3E711600" w:rsidR="00CF3B62" w:rsidRPr="00A839DD" w:rsidRDefault="00CF3B62" w:rsidP="0006339A">
      <w:pPr>
        <w:pStyle w:val="Paragraphe"/>
      </w:pPr>
      <w:r w:rsidRPr="00A839DD">
        <w:t xml:space="preserve">Les hommes homosexuels portent quant à eux régulièrement plainte pour des propos les associant à une féminité stéréotypée, des conduites imitant </w:t>
      </w:r>
      <w:r w:rsidRPr="00C15AC0">
        <w:t>leur</w:t>
      </w:r>
      <w:r w:rsidR="00C15AC0" w:rsidRPr="00C15AC0">
        <w:t>s</w:t>
      </w:r>
      <w:r w:rsidRPr="00A839DD">
        <w:t xml:space="preserve"> soi-disant «</w:t>
      </w:r>
      <w:r w:rsidR="002D3AE6" w:rsidRPr="00A839DD">
        <w:rPr>
          <w:rFonts w:ascii="Arial" w:hAnsi="Arial" w:cs="Arial"/>
        </w:rPr>
        <w:t> </w:t>
      </w:r>
      <w:r w:rsidRPr="00A839DD">
        <w:t>traits féminins</w:t>
      </w:r>
      <w:r w:rsidR="002D3AE6" w:rsidRPr="00A839DD">
        <w:rPr>
          <w:rFonts w:ascii="Arial" w:hAnsi="Arial" w:cs="Arial"/>
        </w:rPr>
        <w:t> </w:t>
      </w:r>
      <w:r w:rsidRPr="00A839DD">
        <w:t xml:space="preserve">» ou du mégenrage, soit </w:t>
      </w:r>
      <w:r w:rsidR="007F2ACA" w:rsidRPr="00A839DD">
        <w:t>des agissements véhiculant l’idée qu’ils ne seraient pas de «</w:t>
      </w:r>
      <w:r w:rsidR="007F2ACA" w:rsidRPr="00A839DD">
        <w:rPr>
          <w:rFonts w:ascii="Arial" w:hAnsi="Arial" w:cs="Arial"/>
        </w:rPr>
        <w:t> </w:t>
      </w:r>
      <w:r w:rsidR="007F2ACA" w:rsidRPr="00A839DD">
        <w:t>vrais</w:t>
      </w:r>
      <w:r w:rsidR="007F2ACA" w:rsidRPr="00A839DD">
        <w:rPr>
          <w:rFonts w:ascii="Arial" w:hAnsi="Arial" w:cs="Arial"/>
        </w:rPr>
        <w:t> </w:t>
      </w:r>
      <w:r w:rsidR="007F2ACA" w:rsidRPr="00A839DD">
        <w:t xml:space="preserve">» hommes. </w:t>
      </w:r>
      <w:r w:rsidRPr="00A839DD">
        <w:t xml:space="preserve">Ces traitements sont des manifestations du sexisme qui accordent une plus grande valeur à ce qui est traditionnellement masculin alors qu’elles dévalorisent ce qui est traditionnellement attribué au féminin, au détriment des femmes et des personnes LGBTQ+. </w:t>
      </w:r>
    </w:p>
    <w:p w14:paraId="01CBD064" w14:textId="3A56DD99" w:rsidR="00CF3B62" w:rsidRPr="00A839DD" w:rsidRDefault="00CF3B62" w:rsidP="0006339A">
      <w:pPr>
        <w:pStyle w:val="Paragraphe"/>
      </w:pPr>
      <w:r w:rsidRPr="00A839DD">
        <w:t>Ces exemples exposent la façon dont le sexisme est constitutif de l’hétérocissexisme</w:t>
      </w:r>
      <w:r w:rsidRPr="00A839DD">
        <w:rPr>
          <w:rStyle w:val="Appelnotedebasdep"/>
        </w:rPr>
        <w:footnoteReference w:id="339"/>
      </w:r>
      <w:r w:rsidRPr="00A839DD">
        <w:t xml:space="preserve">, tel que présenté à la </w:t>
      </w:r>
      <w:r w:rsidRPr="000F7A47">
        <w:t>page</w:t>
      </w:r>
      <w:r w:rsidR="00F9183B" w:rsidRPr="000F7A47">
        <w:t> </w:t>
      </w:r>
      <w:r w:rsidR="00157039" w:rsidRPr="000F7A47">
        <w:t>19</w:t>
      </w:r>
      <w:r w:rsidRPr="000F7A47">
        <w:t>.</w:t>
      </w:r>
      <w:r w:rsidRPr="00A839DD">
        <w:t xml:space="preserve"> Les motifs interdits de discrimination «</w:t>
      </w:r>
      <w:r w:rsidR="002D3AE6" w:rsidRPr="00A839DD">
        <w:rPr>
          <w:rFonts w:ascii="Arial" w:hAnsi="Arial" w:cs="Arial"/>
        </w:rPr>
        <w:t> </w:t>
      </w:r>
      <w:r w:rsidRPr="00A839DD">
        <w:t>sexe</w:t>
      </w:r>
      <w:r w:rsidR="002D3AE6" w:rsidRPr="00A839DD">
        <w:rPr>
          <w:rFonts w:ascii="Arial" w:hAnsi="Arial" w:cs="Arial"/>
        </w:rPr>
        <w:t> </w:t>
      </w:r>
      <w:r w:rsidRPr="00A839DD">
        <w:t>», «</w:t>
      </w:r>
      <w:r w:rsidR="002D3AE6" w:rsidRPr="00A839DD">
        <w:rPr>
          <w:rFonts w:ascii="Arial" w:hAnsi="Arial" w:cs="Arial"/>
        </w:rPr>
        <w:t> </w:t>
      </w:r>
      <w:r w:rsidRPr="00A839DD">
        <w:t>orientation sexuelle</w:t>
      </w:r>
      <w:r w:rsidR="002D3AE6" w:rsidRPr="00A839DD">
        <w:rPr>
          <w:rFonts w:ascii="Arial" w:hAnsi="Arial" w:cs="Arial"/>
        </w:rPr>
        <w:t> </w:t>
      </w:r>
      <w:r w:rsidRPr="00A839DD">
        <w:t>» et «</w:t>
      </w:r>
      <w:r w:rsidR="002D3AE6" w:rsidRPr="00A839DD">
        <w:rPr>
          <w:rFonts w:ascii="Arial" w:hAnsi="Arial" w:cs="Arial"/>
        </w:rPr>
        <w:t> </w:t>
      </w:r>
      <w:r w:rsidRPr="00A839DD">
        <w:t xml:space="preserve">identité </w:t>
      </w:r>
      <w:r w:rsidR="00FD065A">
        <w:t xml:space="preserve">ou expression </w:t>
      </w:r>
      <w:r w:rsidRPr="00A839DD">
        <w:t>de genre</w:t>
      </w:r>
      <w:r w:rsidR="002D3AE6" w:rsidRPr="00A839DD">
        <w:rPr>
          <w:rFonts w:ascii="Arial" w:hAnsi="Arial" w:cs="Arial"/>
        </w:rPr>
        <w:t> </w:t>
      </w:r>
      <w:r w:rsidRPr="00A839DD">
        <w:t>» gagnent à être pensés comme étant interreliés dans la mesure où ils offrent une protection complémentaire contre les effets du sexisme, de l’hétérosexisme et du cissexisme. Pour enrayer la discrimination en emploi envers les personnes LGBTQ+, il apparaît incontournable pour les employeurs de lutter contre le sexisme, incluant les stéréotypes de genre, et de s’attarder aux situations particulières des femmes lesbiennes, largement invisibilisées, et des femmes trans, surreprésentées.</w:t>
      </w:r>
    </w:p>
    <w:p w14:paraId="3163D5C8" w14:textId="64D619FD" w:rsidR="003E58E6" w:rsidRPr="00A839DD" w:rsidRDefault="003E58E6" w:rsidP="001D3E83">
      <w:pPr>
        <w:pStyle w:val="Titre2"/>
        <w:rPr>
          <w:noProof w:val="0"/>
          <w:lang w:bidi="fr-CA"/>
        </w:rPr>
      </w:pPr>
      <w:bookmarkStart w:id="199" w:name="_Toc229131356"/>
      <w:r w:rsidRPr="00A839DD">
        <w:rPr>
          <w:noProof w:val="0"/>
          <w:lang w:bidi="fr-CA"/>
        </w:rPr>
        <w:t>L</w:t>
      </w:r>
      <w:r w:rsidR="00C73AC1" w:rsidRPr="00A839DD">
        <w:rPr>
          <w:noProof w:val="0"/>
          <w:lang w:bidi="fr-CA"/>
        </w:rPr>
        <w:t>’embauche, le</w:t>
      </w:r>
      <w:r w:rsidRPr="00A839DD">
        <w:rPr>
          <w:noProof w:val="0"/>
          <w:lang w:bidi="fr-CA"/>
        </w:rPr>
        <w:t xml:space="preserve"> maintien en emploi et le climat de travail, </w:t>
      </w:r>
      <w:r w:rsidR="00C73AC1" w:rsidRPr="00A839DD">
        <w:rPr>
          <w:noProof w:val="0"/>
          <w:lang w:bidi="fr-CA"/>
        </w:rPr>
        <w:t>trois</w:t>
      </w:r>
      <w:r w:rsidRPr="00A839DD">
        <w:rPr>
          <w:noProof w:val="0"/>
          <w:lang w:bidi="fr-CA"/>
        </w:rPr>
        <w:t xml:space="preserve"> aspects à travailler pour les employeurs</w:t>
      </w:r>
      <w:bookmarkEnd w:id="199"/>
    </w:p>
    <w:p w14:paraId="335B0756" w14:textId="17F57619" w:rsidR="00456DDE" w:rsidRPr="00A839DD" w:rsidRDefault="00456DDE" w:rsidP="0006339A">
      <w:pPr>
        <w:pStyle w:val="Paragraphe"/>
      </w:pPr>
      <w:r w:rsidRPr="00A839DD">
        <w:t>L’analyse qualitative des plaintes a entre autres montré que les personnes plaignantes déplorent dans un grand nombre de cas la tolérance par leur employeur de situations d’homophobie ou de transphobie. Les employeurs p</w:t>
      </w:r>
      <w:r w:rsidR="005624F2" w:rsidRPr="00A839DD">
        <w:t xml:space="preserve">euvent </w:t>
      </w:r>
      <w:r w:rsidRPr="00A839DD">
        <w:t>ainsi avoir un impact important sur les situations qui amènent des personnes LGBTQ+ à porter plainte à la Commission des droits, et ce, en agissant, sans s’y limiter, au niveau du maintien en emploi et du climat de travail. La perte d’emploi et le climat de travail représentent respectivement un tier</w:t>
      </w:r>
      <w:r w:rsidR="006B68AE" w:rsidRPr="00A839DD">
        <w:t>s</w:t>
      </w:r>
      <w:r w:rsidRPr="00A839DD">
        <w:t xml:space="preserve"> et un cinquième des situations visées par des plaintes pour discrimination en emploi fondée sur l’orientation sexuelle ou l’identité ou l’expression de genre. Ces </w:t>
      </w:r>
      <w:r w:rsidRPr="00A839DD">
        <w:lastRenderedPageBreak/>
        <w:t>deux aspects de l’emploi se recoupent d’ailleurs parfois, un climat de travail négatif étant susceptible de nuire à la rétention en emploi, que ce soit en menant à des congédiements ou à des démissions.</w:t>
      </w:r>
    </w:p>
    <w:p w14:paraId="463544A2" w14:textId="53BA9007" w:rsidR="00456DDE" w:rsidRPr="00A839DD" w:rsidRDefault="00456DDE" w:rsidP="0006339A">
      <w:pPr>
        <w:pStyle w:val="Paragraphe"/>
      </w:pPr>
      <w:r w:rsidRPr="00A839DD">
        <w:t xml:space="preserve">Afin </w:t>
      </w:r>
      <w:r w:rsidR="001960F4" w:rsidRPr="00A839DD">
        <w:t>d’assurer un milieu de travail exempt</w:t>
      </w:r>
      <w:r w:rsidR="00D430C1" w:rsidRPr="00A839DD">
        <w:t xml:space="preserve"> de discrimination</w:t>
      </w:r>
      <w:r w:rsidRPr="00A839DD">
        <w:t xml:space="preserve">, les employeurs ont </w:t>
      </w:r>
      <w:r w:rsidR="00162F12" w:rsidRPr="00A839DD">
        <w:t>plusieurs</w:t>
      </w:r>
      <w:r w:rsidRPr="00A839DD">
        <w:t xml:space="preserve"> responsabilités </w:t>
      </w:r>
      <w:r w:rsidR="006B1883" w:rsidRPr="00A839DD">
        <w:t xml:space="preserve">et obligations </w:t>
      </w:r>
      <w:r w:rsidR="00E45FCF" w:rsidRPr="00A839DD">
        <w:t>qui impliquent la mise en place de différentes mesures</w:t>
      </w:r>
      <w:r w:rsidRPr="00A839DD">
        <w:t xml:space="preserve">. Ils </w:t>
      </w:r>
      <w:r w:rsidR="00E45FCF" w:rsidRPr="00A839DD">
        <w:t xml:space="preserve">doivent </w:t>
      </w:r>
      <w:r w:rsidRPr="00A839DD">
        <w:t xml:space="preserve">adopter des politiques </w:t>
      </w:r>
      <w:r w:rsidR="00EC69B9" w:rsidRPr="00A839DD">
        <w:t xml:space="preserve">claires </w:t>
      </w:r>
      <w:r w:rsidRPr="00A839DD">
        <w:t>contre le harcèlement et la discrimination,</w:t>
      </w:r>
      <w:r w:rsidR="00EF2105" w:rsidRPr="00A839DD">
        <w:t xml:space="preserve"> incluant</w:t>
      </w:r>
      <w:r w:rsidRPr="00A839DD">
        <w:t xml:space="preserve"> un processus </w:t>
      </w:r>
      <w:r w:rsidR="00EF2105" w:rsidRPr="00A839DD">
        <w:t>confidentiel et efficace</w:t>
      </w:r>
      <w:r w:rsidRPr="00A839DD">
        <w:t xml:space="preserve"> de traitement des plaintes, </w:t>
      </w:r>
      <w:r w:rsidR="00A96DCB">
        <w:t xml:space="preserve">de même que </w:t>
      </w:r>
      <w:r w:rsidRPr="00A839DD">
        <w:t>respecter l’identité des membres du personnel</w:t>
      </w:r>
      <w:r w:rsidR="00E45FCF" w:rsidRPr="00A839DD">
        <w:t xml:space="preserve"> et</w:t>
      </w:r>
      <w:r w:rsidRPr="00A839DD">
        <w:t xml:space="preserve"> assurer la confidentialité des informations qui leur sont confiées</w:t>
      </w:r>
      <w:r w:rsidR="00E45FCF" w:rsidRPr="00A839DD">
        <w:t>.</w:t>
      </w:r>
      <w:r w:rsidRPr="00A839DD">
        <w:t xml:space="preserve"> </w:t>
      </w:r>
      <w:r w:rsidR="00E45FCF" w:rsidRPr="00A839DD">
        <w:t xml:space="preserve">Ils peuvent également </w:t>
      </w:r>
      <w:r w:rsidRPr="00A839DD">
        <w:t xml:space="preserve">offrir une formation </w:t>
      </w:r>
      <w:r w:rsidR="007B5013" w:rsidRPr="00A839DD">
        <w:t xml:space="preserve">aux gestionnaires et aux équipes </w:t>
      </w:r>
      <w:r w:rsidRPr="00A839DD">
        <w:t>sur les réalités des personnes LGBTQ+, les droits et libertés, in</w:t>
      </w:r>
      <w:r w:rsidR="006B68AE" w:rsidRPr="00A839DD">
        <w:t>cl</w:t>
      </w:r>
      <w:r w:rsidRPr="00A839DD">
        <w:t>uant la non-discrimination, ainsi que les façons de répondre aux préoccupations des personnes concernées. Les employeurs devraient aussi porter une attention particulière à leur proces</w:t>
      </w:r>
      <w:r w:rsidR="006B68AE" w:rsidRPr="00A839DD">
        <w:t>s</w:t>
      </w:r>
      <w:r w:rsidRPr="00A839DD">
        <w:t>us d’embauche, notamment afin de ne pas exclure les personnes trans dont 20 % des plaintes pour discrimination en emploi y sont relatives.</w:t>
      </w:r>
    </w:p>
    <w:p w14:paraId="653A8D55" w14:textId="77777777" w:rsidR="008360D8" w:rsidRPr="00A839DD" w:rsidRDefault="008360D8" w:rsidP="001D3E83">
      <w:pPr>
        <w:pStyle w:val="Titre2"/>
        <w:rPr>
          <w:noProof w:val="0"/>
        </w:rPr>
      </w:pPr>
      <w:bookmarkStart w:id="200" w:name="_Toc229131357"/>
      <w:r w:rsidRPr="00A839DD">
        <w:rPr>
          <w:noProof w:val="0"/>
        </w:rPr>
        <w:t>Des défis différents selon la taille du milieu de travail</w:t>
      </w:r>
      <w:bookmarkEnd w:id="200"/>
    </w:p>
    <w:p w14:paraId="21FC52AE" w14:textId="77777777" w:rsidR="00FF00B1" w:rsidRPr="00A839DD" w:rsidRDefault="00FF00B1" w:rsidP="0006339A">
      <w:pPr>
        <w:pStyle w:val="Paragraphe"/>
      </w:pPr>
      <w:r w:rsidRPr="00A839DD">
        <w:t>Les plaintes de personnes LGBTQ+ adressées à la Commission visent majoritairement des très petites et petites entreprises. À la différence des grandes entreprises qui disposent généralement de politiques anti-discrimination, de directions des ressources humaines et de mécanismes internes de traitement des plaintes, les petites structures n’ont souvent pas autant de ressources à consacrer à l’inclusion. Pourtant, leur obligation de respecter les droits des membres de leur personnel est la même.</w:t>
      </w:r>
    </w:p>
    <w:p w14:paraId="67FCA1B1" w14:textId="77777777" w:rsidR="00FF00B1" w:rsidRPr="00A839DD" w:rsidRDefault="00FF00B1" w:rsidP="0006339A">
      <w:pPr>
        <w:pStyle w:val="Paragraphe"/>
      </w:pPr>
      <w:r w:rsidRPr="00A839DD">
        <w:t xml:space="preserve">Ces milieux de travail peuvent aussi être moins bien outillés pour respecter et relayer les lois et politiques publiques relatives aux droits des personnes employées. Ils n’ont pas nécessairement de directions consacrées aux affaires publiques et juridiques, ni de syndicat ou d’autres moyens de rester au fait de leurs obligations légales ou des programmes pouvant les aider à les rencontrer. Le respect de la vie privée des membres du personnel peut aussi y poser davantage de défis dans certains cas. </w:t>
      </w:r>
    </w:p>
    <w:p w14:paraId="61D40440" w14:textId="3CC60F24" w:rsidR="00FF00B1" w:rsidRPr="00A839DD" w:rsidRDefault="00FF00B1" w:rsidP="0006339A">
      <w:pPr>
        <w:pStyle w:val="Paragraphe"/>
      </w:pPr>
      <w:r w:rsidRPr="00A839DD">
        <w:t>Une personne LGBTQ+ à l’emploi d’une petite organisation peut de plus se sentir isolée ou impuissante si sa hiérarchie ignore la situation qu’elle dénonce ou en est elle-même responsable. Toutefois, l</w:t>
      </w:r>
      <w:r w:rsidR="00F30383" w:rsidRPr="00A839DD">
        <w:t>a</w:t>
      </w:r>
      <w:r w:rsidRPr="00A839DD">
        <w:t xml:space="preserve"> taille réduite du milieu de travail peut faciliter un règlement rapide et informel des situations problématiques, à condition que les gestionnaires s’engagent activement. La culture organisationnelle et le climat de travail peuvent aussi potentiellement évoluer plus rapidement.</w:t>
      </w:r>
    </w:p>
    <w:p w14:paraId="1DB3FC3F" w14:textId="77777777" w:rsidR="00FF00B1" w:rsidRPr="00A839DD" w:rsidRDefault="00FF00B1" w:rsidP="0006339A">
      <w:pPr>
        <w:pStyle w:val="Paragraphe"/>
      </w:pPr>
      <w:r w:rsidRPr="00A839DD">
        <w:t>De leur côté, les grandes entreprises peuvent quant à elles être confrontées à d’autres défis, comme la pression d’actionnaires ou de l’opinion publique, dont les intérêts ne sont pas toujours alignés avec le respect des droits. Ces influences peuvent être accentuées dans un climat social marqué par des reculs ou des remises en question des politiques dites d’équité, de diversité et d’inclusion.</w:t>
      </w:r>
    </w:p>
    <w:p w14:paraId="40059EAA" w14:textId="77777777" w:rsidR="002C387B" w:rsidRPr="00A839DD" w:rsidRDefault="002C387B" w:rsidP="0006339A">
      <w:pPr>
        <w:pStyle w:val="Paragraphe"/>
        <w:sectPr w:rsidR="002C387B" w:rsidRPr="00A839DD" w:rsidSect="00754354">
          <w:headerReference w:type="even" r:id="rId58"/>
          <w:headerReference w:type="default" r:id="rId59"/>
          <w:footerReference w:type="default" r:id="rId60"/>
          <w:headerReference w:type="first" r:id="rId61"/>
          <w:pgSz w:w="12240" w:h="15840" w:code="1"/>
          <w:pgMar w:top="1985" w:right="1134" w:bottom="1418" w:left="1418" w:header="709" w:footer="709" w:gutter="0"/>
          <w:pgNumType w:start="1"/>
          <w:cols w:space="708"/>
          <w:docGrid w:linePitch="360"/>
        </w:sectPr>
      </w:pPr>
    </w:p>
    <w:p w14:paraId="2E7236E8" w14:textId="295FC4BB" w:rsidR="008360D8" w:rsidRPr="00A839DD" w:rsidRDefault="00FF00B1" w:rsidP="006471A9">
      <w:pPr>
        <w:pStyle w:val="Titre"/>
      </w:pPr>
      <w:bookmarkStart w:id="201" w:name="_Toc229131358"/>
      <w:r w:rsidRPr="00A839DD">
        <w:lastRenderedPageBreak/>
        <w:t>Conclusion</w:t>
      </w:r>
      <w:bookmarkEnd w:id="201"/>
    </w:p>
    <w:p w14:paraId="0F6A40ED" w14:textId="0110644D" w:rsidR="002C387B" w:rsidRPr="00A839DD" w:rsidRDefault="002C387B" w:rsidP="0006339A">
      <w:pPr>
        <w:pStyle w:val="Paragraphe"/>
      </w:pPr>
      <w:r w:rsidRPr="00A839DD">
        <w:t>Alors que le Québec a fait figure de pionnier à bien des égards en matière de reconnaissance des droits des personnes LGBTQ+, force est de constater que la réalisation effective de ces droits ne se traduit toujours pas pleinement en pratique, notamment dans les milieux de travail. Comme le révèle l’analyse de trente ans de plaintes pour discrimination en emploi fondée sur l’orientation sexuelle et l’identité ou l’expression de genre, les situations en cause ont évolué au cours de cette période. Jusqu’au début des années</w:t>
      </w:r>
      <w:r w:rsidR="00F9183B" w:rsidRPr="00A839DD">
        <w:t> </w:t>
      </w:r>
      <w:r w:rsidRPr="00A839DD">
        <w:t>2000, plusieurs plaintes visaient des politiques formelles ou encore des dispositions de conventions collectives qui discriminaient explicitement les personnes gaies et lesbiennes. L’élimination progressive de ces exclusions discriminatoires n’a cependant pas suffi à assurer le respect de tous les droits de toutes les personnes gaies et lesbiennes en emploi, et encore moins de toutes les personnes LGBTQ+. La situation n’est cependant pas entièrement sombre. Certains groupes s’en tirent mieux que d’autres, particulièrement les hommes gais, bien qu’ils rencontrent toujours des obstacles. Au contraire, la situation des personnes trans et des personnes bisexuelles reste dramatique. De façon transversale, les femmes de la diversité sexuelle et de genre sont quant à elles confrontées à des défis particuliers en raison du sexisme.</w:t>
      </w:r>
    </w:p>
    <w:p w14:paraId="7A497805" w14:textId="0D331434" w:rsidR="002C387B" w:rsidRPr="00A839DD" w:rsidRDefault="002C387B" w:rsidP="0006339A">
      <w:pPr>
        <w:pStyle w:val="Paragraphe"/>
      </w:pPr>
      <w:r w:rsidRPr="00A839DD">
        <w:t>L’évolution des dernières décennies s’inscrit dans un mouvement de reconnaissance des droits des personnes LGBTQ+</w:t>
      </w:r>
      <w:r w:rsidRPr="00A839DD">
        <w:rPr>
          <w:rStyle w:val="Appelnotedebasdep"/>
        </w:rPr>
        <w:footnoteReference w:id="340"/>
      </w:r>
      <w:r w:rsidRPr="00A839DD">
        <w:t xml:space="preserve"> qui s’est amorcé</w:t>
      </w:r>
      <w:r w:rsidR="0098556B" w:rsidRPr="00A839DD">
        <w:t>e</w:t>
      </w:r>
      <w:r w:rsidRPr="00A839DD">
        <w:t xml:space="preserve"> avec l’abandon progressif d’infractions utilisées pour les criminaliser, suivie de l’adoption de mesures anti-discrimination, puis la reconnaissance de droits positifs, dont la possibilité de se marier ou de fonder une famille. À ces étapes s’ajoutent la protection et la promotion de la diversité sexuelle et de genre par des mesures de lutte contre la discrimination et des mesures visant à faciliter la vie des personnes LGBTQ+</w:t>
      </w:r>
      <w:r w:rsidRPr="00A839DD">
        <w:rPr>
          <w:rStyle w:val="Appelnotedebasdep"/>
        </w:rPr>
        <w:footnoteReference w:id="341"/>
      </w:r>
      <w:r w:rsidRPr="00A839DD">
        <w:t xml:space="preserve">, comme celles contenues dans le </w:t>
      </w:r>
      <w:r w:rsidRPr="00A839DD">
        <w:rPr>
          <w:i/>
          <w:iCs/>
        </w:rPr>
        <w:t>Plan d’action gouvernemental de lutte contre l’homophobie et la transphobie</w:t>
      </w:r>
      <w:r w:rsidR="00F9183B" w:rsidRPr="00A839DD">
        <w:rPr>
          <w:i/>
          <w:iCs/>
        </w:rPr>
        <w:t> </w:t>
      </w:r>
      <w:r w:rsidRPr="00A839DD">
        <w:rPr>
          <w:i/>
          <w:iCs/>
        </w:rPr>
        <w:t>2023-2028</w:t>
      </w:r>
      <w:r w:rsidRPr="00A839DD">
        <w:t>. Cette évolution qui semblait jusqu’ici inexorable fait toutefois aujourd’hui face à de forts vents contraires un peu partout dans le monde, y compris au Québec.</w:t>
      </w:r>
    </w:p>
    <w:p w14:paraId="6F8E534C" w14:textId="25A90B0D" w:rsidR="002C387B" w:rsidRPr="00D91AF4" w:rsidRDefault="002C387B" w:rsidP="0006339A">
      <w:pPr>
        <w:pStyle w:val="Paragraphe"/>
      </w:pPr>
      <w:r w:rsidRPr="00A839DD">
        <w:t>Près de 20</w:t>
      </w:r>
      <w:r w:rsidR="005516C0" w:rsidRPr="00A839DD">
        <w:t> </w:t>
      </w:r>
      <w:r w:rsidRPr="00A839DD">
        <w:t xml:space="preserve">ans après son rapport </w:t>
      </w:r>
      <w:r w:rsidRPr="00A839DD">
        <w:rPr>
          <w:i/>
          <w:iCs/>
        </w:rPr>
        <w:t>De l’égalité juridique à l’égalité sociale</w:t>
      </w:r>
      <w:r w:rsidRPr="00A839DD">
        <w:t>, la Commission des droits invite la société québécoise dans son ensemble à rester vigilante et à se mobiliser afin de réaffirmer et approfondir son engagement pour le respect des droits des personnes LGBTQ+ dans leur quotidien, ce qui passe inévitablement par l’atteinte de l’égalité réelle en emploi. Comme les mesures prises par les gouvernements, les employeurs et les syndicats n’ont pas suffi, la Commission s’engage à poursuivre son travail d’éducation aux droits et de promotion des droits des personnes LGBTQ+, ainsi qu’à inciter ces acteurs à agir pour favoriser leur plein épanouis</w:t>
      </w:r>
      <w:r w:rsidR="0005552D" w:rsidRPr="00A839DD">
        <w:t>s</w:t>
      </w:r>
      <w:r w:rsidRPr="00A839DD">
        <w:t>ement dans toutes les sphères de leur vie.</w:t>
      </w:r>
    </w:p>
    <w:sectPr w:rsidR="002C387B" w:rsidRPr="00D91AF4" w:rsidSect="00FB315B">
      <w:pgSz w:w="12240" w:h="15840" w:code="1"/>
      <w:pgMar w:top="1985"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F994F" w14:textId="77777777" w:rsidR="00C826A4" w:rsidRPr="00A839DD" w:rsidRDefault="00C826A4">
      <w:r w:rsidRPr="00A839DD">
        <w:separator/>
      </w:r>
    </w:p>
  </w:endnote>
  <w:endnote w:type="continuationSeparator" w:id="0">
    <w:p w14:paraId="5DBE7915" w14:textId="77777777" w:rsidR="00C826A4" w:rsidRPr="00A839DD" w:rsidRDefault="00C826A4">
      <w:r w:rsidRPr="00A839DD">
        <w:continuationSeparator/>
      </w:r>
    </w:p>
  </w:endnote>
  <w:endnote w:type="continuationNotice" w:id="1">
    <w:p w14:paraId="52FD767F" w14:textId="77777777" w:rsidR="00C826A4" w:rsidRPr="00A839DD" w:rsidRDefault="00C82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Gra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Walbaum Heading">
    <w:charset w:val="00"/>
    <w:family w:val="roman"/>
    <w:pitch w:val="variable"/>
    <w:sig w:usb0="8000002F" w:usb1="0000000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ptos Narrow">
    <w:panose1 w:val="020B000402020209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A46E60" w:rsidRPr="00A839DD" w14:paraId="49A38400" w14:textId="77777777" w:rsidTr="005D583E">
      <w:trPr>
        <w:trHeight w:val="281"/>
      </w:trPr>
      <w:tc>
        <w:tcPr>
          <w:tcW w:w="9634" w:type="dxa"/>
        </w:tcPr>
        <w:p w14:paraId="34D54423" w14:textId="77777777" w:rsidR="00A46E60" w:rsidRPr="00A839DD" w:rsidRDefault="00A46E60" w:rsidP="00A46E60">
          <w:pPr>
            <w:widowControl w:val="0"/>
            <w:jc w:val="right"/>
            <w:rPr>
              <w:rFonts w:eastAsia="Aptos" w:cs="Aptos"/>
            </w:rPr>
          </w:pPr>
          <w:r w:rsidRPr="00A839DD">
            <w:rPr>
              <w:rFonts w:eastAsia="Aptos" w:cs="Aptos"/>
              <w:noProof/>
            </w:rPr>
            <w:drawing>
              <wp:inline distT="0" distB="0" distL="0" distR="0" wp14:anchorId="210BD6D5" wp14:editId="5E3D7342">
                <wp:extent cx="414311" cy="145727"/>
                <wp:effectExtent l="0" t="0" r="5080" b="6985"/>
                <wp:docPr id="76774330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74A3C402" w14:textId="77777777" w:rsidR="00A46E60" w:rsidRPr="00A839DD" w:rsidRDefault="00A46E60" w:rsidP="00A46E60">
          <w:pPr>
            <w:widowControl w:val="0"/>
            <w:jc w:val="right"/>
            <w:rPr>
              <w:rFonts w:eastAsia="Aptos" w:cs="Aptos"/>
              <w:spacing w:val="-2"/>
            </w:rPr>
          </w:pPr>
          <w:r w:rsidRPr="00A839DD">
            <w:rPr>
              <w:rFonts w:eastAsia="Aptos" w:cs="Aptos"/>
              <w:spacing w:val="-2"/>
            </w:rPr>
            <w:fldChar w:fldCharType="begin"/>
          </w:r>
          <w:r w:rsidRPr="00A839DD">
            <w:rPr>
              <w:rFonts w:eastAsia="Aptos" w:cs="Aptos"/>
              <w:spacing w:val="-2"/>
            </w:rPr>
            <w:instrText>PAGE   \* MERGEFORMAT</w:instrText>
          </w:r>
          <w:r w:rsidRPr="00A839DD">
            <w:rPr>
              <w:rFonts w:eastAsia="Aptos" w:cs="Aptos"/>
              <w:spacing w:val="-2"/>
            </w:rPr>
            <w:fldChar w:fldCharType="separate"/>
          </w:r>
          <w:r w:rsidRPr="00A839DD">
            <w:rPr>
              <w:rFonts w:eastAsia="Aptos" w:cs="Aptos"/>
              <w:spacing w:val="-2"/>
            </w:rPr>
            <w:t>2</w:t>
          </w:r>
          <w:r w:rsidRPr="00A839DD">
            <w:rPr>
              <w:rFonts w:eastAsia="Aptos" w:cs="Aptos"/>
              <w:spacing w:val="-2"/>
            </w:rPr>
            <w:fldChar w:fldCharType="end"/>
          </w:r>
        </w:p>
      </w:tc>
    </w:tr>
  </w:tbl>
  <w:p w14:paraId="2608FEB2" w14:textId="6413A4D0" w:rsidR="0009074D" w:rsidRPr="00A839DD" w:rsidRDefault="00A46E60" w:rsidP="00A46E60">
    <w:pPr>
      <w:pStyle w:val="Pieddepage"/>
      <w:jc w:val="right"/>
      <w:rPr>
        <w:rFonts w:ascii="Aptos Light" w:hAnsi="Aptos Light"/>
        <w:szCs w:val="22"/>
      </w:rPr>
    </w:pPr>
    <w:r w:rsidRPr="00A839DD">
      <w:rPr>
        <w:rFonts w:ascii="Aptos Light" w:hAnsi="Aptos Light"/>
        <w:noProof/>
        <w:szCs w:val="22"/>
      </w:rPr>
      <mc:AlternateContent>
        <mc:Choice Requires="wps">
          <w:drawing>
            <wp:anchor distT="0" distB="0" distL="114300" distR="114300" simplePos="0" relativeHeight="251658245" behindDoc="0" locked="0" layoutInCell="1" allowOverlap="1" wp14:anchorId="60A69BCC" wp14:editId="1615745F">
              <wp:simplePos x="0" y="0"/>
              <wp:positionH relativeFrom="column">
                <wp:posOffset>-1016000</wp:posOffset>
              </wp:positionH>
              <wp:positionV relativeFrom="paragraph">
                <wp:posOffset>438150</wp:posOffset>
              </wp:positionV>
              <wp:extent cx="8261350" cy="203200"/>
              <wp:effectExtent l="0" t="0" r="6350" b="6350"/>
              <wp:wrapNone/>
              <wp:docPr id="230953027"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3ECF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82CCE" id="Rectangle 9" o:spid="_x0000_s1026" alt="&quot;&quot;" style="position:absolute;margin-left:-80pt;margin-top:34.5pt;width:650.5pt;height: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" fillcolor="#e3ecf9"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26E92" w:rsidRPr="00A839DD" w14:paraId="7DB46CD4" w14:textId="77777777" w:rsidTr="00D20D83">
      <w:trPr>
        <w:trHeight w:val="300"/>
      </w:trPr>
      <w:tc>
        <w:tcPr>
          <w:tcW w:w="3245" w:type="dxa"/>
        </w:tcPr>
        <w:p w14:paraId="527EF103" w14:textId="77777777" w:rsidR="00026E92" w:rsidRPr="00A839DD" w:rsidRDefault="00026E92" w:rsidP="00D20D83">
          <w:pPr>
            <w:pStyle w:val="En-tte"/>
            <w:ind w:left="-115"/>
          </w:pPr>
        </w:p>
      </w:tc>
      <w:tc>
        <w:tcPr>
          <w:tcW w:w="3245" w:type="dxa"/>
        </w:tcPr>
        <w:p w14:paraId="6AF0E0D2" w14:textId="77777777" w:rsidR="00026E92" w:rsidRPr="00A839DD" w:rsidRDefault="00026E92" w:rsidP="00D20D83">
          <w:pPr>
            <w:pStyle w:val="En-tte"/>
            <w:jc w:val="center"/>
          </w:pPr>
        </w:p>
      </w:tc>
      <w:tc>
        <w:tcPr>
          <w:tcW w:w="3245" w:type="dxa"/>
        </w:tcPr>
        <w:p w14:paraId="35EDC53C" w14:textId="77777777" w:rsidR="00026E92" w:rsidRPr="00A839DD" w:rsidRDefault="00026E92" w:rsidP="00D20D83">
          <w:pPr>
            <w:pStyle w:val="En-tte"/>
            <w:ind w:right="-115"/>
            <w:jc w:val="right"/>
          </w:pPr>
        </w:p>
      </w:tc>
    </w:tr>
  </w:tbl>
  <w:p w14:paraId="0DBFFFA6" w14:textId="0CAFD654" w:rsidR="00026E92" w:rsidRPr="00A839DD" w:rsidRDefault="00C12975">
    <w:pPr>
      <w:pStyle w:val="Pieddepage"/>
    </w:pPr>
    <w:r w:rsidRPr="00A839DD">
      <w:rPr>
        <w:rFonts w:ascii="Aptos Light" w:hAnsi="Aptos Light"/>
        <w:noProof/>
        <w:szCs w:val="22"/>
      </w:rPr>
      <mc:AlternateContent>
        <mc:Choice Requires="wps">
          <w:drawing>
            <wp:anchor distT="0" distB="0" distL="114300" distR="114300" simplePos="0" relativeHeight="251658242" behindDoc="0" locked="0" layoutInCell="1" allowOverlap="1" wp14:anchorId="3AFF49E4" wp14:editId="610DD855">
              <wp:simplePos x="0" y="0"/>
              <wp:positionH relativeFrom="column">
                <wp:posOffset>-1170940</wp:posOffset>
              </wp:positionH>
              <wp:positionV relativeFrom="paragraph">
                <wp:posOffset>464820</wp:posOffset>
              </wp:positionV>
              <wp:extent cx="8261350" cy="203200"/>
              <wp:effectExtent l="0" t="0" r="6350" b="6350"/>
              <wp:wrapNone/>
              <wp:docPr id="61722223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3ECF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89712" id="Rectangle 9" o:spid="_x0000_s1026" alt="&quot;&quot;" style="position:absolute;margin-left:-92.2pt;margin-top:36.6pt;width:650.5pt;height: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" fillcolor="#e3ecf9"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9074D" w:rsidRPr="00A839DD" w14:paraId="0D1C0593" w14:textId="77777777" w:rsidTr="00D20D83">
      <w:trPr>
        <w:trHeight w:val="300"/>
      </w:trPr>
      <w:tc>
        <w:tcPr>
          <w:tcW w:w="3245" w:type="dxa"/>
        </w:tcPr>
        <w:p w14:paraId="16B3A9BF" w14:textId="0AB7C821" w:rsidR="0009074D" w:rsidRPr="00A839DD" w:rsidRDefault="0009074D" w:rsidP="00D20D83">
          <w:pPr>
            <w:pStyle w:val="En-tte"/>
            <w:ind w:left="-115"/>
          </w:pPr>
        </w:p>
      </w:tc>
      <w:tc>
        <w:tcPr>
          <w:tcW w:w="3245" w:type="dxa"/>
        </w:tcPr>
        <w:p w14:paraId="0583BF49" w14:textId="77777777" w:rsidR="0009074D" w:rsidRPr="00A839DD" w:rsidRDefault="0009074D" w:rsidP="00D20D83">
          <w:pPr>
            <w:pStyle w:val="En-tte"/>
            <w:jc w:val="center"/>
          </w:pPr>
        </w:p>
      </w:tc>
      <w:tc>
        <w:tcPr>
          <w:tcW w:w="3245" w:type="dxa"/>
        </w:tcPr>
        <w:p w14:paraId="2A4DFE28" w14:textId="77777777" w:rsidR="0009074D" w:rsidRPr="00A839DD" w:rsidRDefault="0009074D" w:rsidP="00D20D83">
          <w:pPr>
            <w:pStyle w:val="En-tte"/>
            <w:ind w:right="-115"/>
            <w:jc w:val="right"/>
          </w:pPr>
        </w:p>
      </w:tc>
    </w:tr>
  </w:tbl>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5D583E" w:rsidRPr="00A839DD" w14:paraId="689241BE" w14:textId="77777777" w:rsidTr="005D583E">
      <w:trPr>
        <w:trHeight w:val="281"/>
      </w:trPr>
      <w:tc>
        <w:tcPr>
          <w:tcW w:w="9634" w:type="dxa"/>
        </w:tcPr>
        <w:p w14:paraId="337175CE" w14:textId="77777777" w:rsidR="005D583E" w:rsidRPr="00A839DD" w:rsidRDefault="005D583E" w:rsidP="005D583E">
          <w:pPr>
            <w:widowControl w:val="0"/>
            <w:jc w:val="right"/>
            <w:rPr>
              <w:rFonts w:eastAsia="Aptos" w:cs="Aptos"/>
            </w:rPr>
          </w:pPr>
          <w:r w:rsidRPr="00A839DD">
            <w:rPr>
              <w:rFonts w:eastAsia="Aptos" w:cs="Aptos"/>
              <w:noProof/>
            </w:rPr>
            <w:drawing>
              <wp:inline distT="0" distB="0" distL="0" distR="0" wp14:anchorId="4DF10EBB" wp14:editId="33CF0DAD">
                <wp:extent cx="414311" cy="145727"/>
                <wp:effectExtent l="0" t="0" r="5080" b="6985"/>
                <wp:docPr id="1492652117"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22C1316F" w14:textId="77777777" w:rsidR="005D583E" w:rsidRPr="00A839DD" w:rsidRDefault="005D583E" w:rsidP="005D583E">
          <w:pPr>
            <w:widowControl w:val="0"/>
            <w:jc w:val="right"/>
            <w:rPr>
              <w:rFonts w:eastAsia="Aptos" w:cs="Aptos"/>
              <w:spacing w:val="-2"/>
            </w:rPr>
          </w:pPr>
          <w:r w:rsidRPr="00A839DD">
            <w:rPr>
              <w:rFonts w:eastAsia="Aptos" w:cs="Aptos"/>
              <w:spacing w:val="-2"/>
            </w:rPr>
            <w:fldChar w:fldCharType="begin"/>
          </w:r>
          <w:r w:rsidRPr="00A839DD">
            <w:rPr>
              <w:rFonts w:eastAsia="Aptos" w:cs="Aptos"/>
              <w:spacing w:val="-2"/>
            </w:rPr>
            <w:instrText>PAGE   \* MERGEFORMAT</w:instrText>
          </w:r>
          <w:r w:rsidRPr="00A839DD">
            <w:rPr>
              <w:rFonts w:eastAsia="Aptos" w:cs="Aptos"/>
              <w:spacing w:val="-2"/>
            </w:rPr>
            <w:fldChar w:fldCharType="separate"/>
          </w:r>
          <w:r w:rsidRPr="00A839DD">
            <w:rPr>
              <w:rFonts w:eastAsia="Aptos" w:cs="Aptos"/>
              <w:spacing w:val="-2"/>
            </w:rPr>
            <w:t>2</w:t>
          </w:r>
          <w:r w:rsidRPr="00A839DD">
            <w:rPr>
              <w:rFonts w:eastAsia="Aptos" w:cs="Aptos"/>
              <w:spacing w:val="-2"/>
            </w:rPr>
            <w:fldChar w:fldCharType="end"/>
          </w:r>
        </w:p>
      </w:tc>
    </w:tr>
  </w:tbl>
  <w:p w14:paraId="070E7EFF" w14:textId="38DA8D74" w:rsidR="0009074D" w:rsidRPr="00A839DD" w:rsidRDefault="00996878" w:rsidP="0009074D">
    <w:pPr>
      <w:pStyle w:val="Pieddepage"/>
      <w:jc w:val="center"/>
      <w:rPr>
        <w:caps/>
        <w:color w:val="4A66AC" w:themeColor="accent1"/>
      </w:rPr>
    </w:pPr>
    <w:r w:rsidRPr="00A839DD">
      <w:rPr>
        <w:noProof/>
      </w:rPr>
      <w:drawing>
        <wp:anchor distT="0" distB="0" distL="114300" distR="114300" simplePos="0" relativeHeight="251658244" behindDoc="1" locked="0" layoutInCell="1" allowOverlap="1" wp14:anchorId="0450E435" wp14:editId="7B967817">
          <wp:simplePos x="0" y="0"/>
          <wp:positionH relativeFrom="page">
            <wp:posOffset>5876290</wp:posOffset>
          </wp:positionH>
          <wp:positionV relativeFrom="page">
            <wp:posOffset>8469630</wp:posOffset>
          </wp:positionV>
          <wp:extent cx="1944000" cy="1504800"/>
          <wp:effectExtent l="0" t="0" r="0" b="635"/>
          <wp:wrapNone/>
          <wp:docPr id="228931237"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1237" name="Image 59">
                    <a:extLst>
                      <a:ext uri="{C183D7F6-B498-43B3-948B-1728B52AA6E4}">
                        <adec:decorative xmlns:adec="http://schemas.microsoft.com/office/drawing/2017/decorative" val="1"/>
                      </a:ext>
                    </a:extLst>
                  </pic:cNvPr>
                  <pic:cNvPicPr/>
                </pic:nvPicPr>
                <pic:blipFill>
                  <a:blip r:embed="rId2"/>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r w:rsidR="00C12975" w:rsidRPr="00A839DD">
      <w:rPr>
        <w:rFonts w:ascii="Aptos Light" w:hAnsi="Aptos Light"/>
        <w:noProof/>
        <w:szCs w:val="22"/>
      </w:rPr>
      <mc:AlternateContent>
        <mc:Choice Requires="wps">
          <w:drawing>
            <wp:anchor distT="0" distB="0" distL="114300" distR="114300" simplePos="0" relativeHeight="251658243" behindDoc="0" locked="0" layoutInCell="1" allowOverlap="1" wp14:anchorId="43C89FB0" wp14:editId="4EB590BF">
              <wp:simplePos x="0" y="0"/>
              <wp:positionH relativeFrom="column">
                <wp:posOffset>-1085850</wp:posOffset>
              </wp:positionH>
              <wp:positionV relativeFrom="paragraph">
                <wp:posOffset>450850</wp:posOffset>
              </wp:positionV>
              <wp:extent cx="8261350" cy="234950"/>
              <wp:effectExtent l="0" t="0" r="6350" b="0"/>
              <wp:wrapNone/>
              <wp:docPr id="70262626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5873D" id="Rectangle 9" o:spid="_x0000_s1026" alt="&quot;&quot;" style="position:absolute;margin-left:-85.5pt;margin-top:35.5pt;width:650.5pt;height: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" fillcolor="#e9fafc"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CC4C55" w:rsidRPr="00A839DD" w14:paraId="6B7B6490" w14:textId="77777777">
      <w:trPr>
        <w:trHeight w:val="281"/>
      </w:trPr>
      <w:tc>
        <w:tcPr>
          <w:tcW w:w="9634" w:type="dxa"/>
        </w:tcPr>
        <w:p w14:paraId="384A5E7F" w14:textId="157DFBBD" w:rsidR="00CC4C55" w:rsidRPr="00A839DD" w:rsidRDefault="00CC4C55" w:rsidP="00CC4C55">
          <w:pPr>
            <w:widowControl w:val="0"/>
            <w:jc w:val="right"/>
            <w:rPr>
              <w:rFonts w:eastAsia="Aptos" w:cs="Aptos"/>
            </w:rPr>
          </w:pPr>
          <w:r w:rsidRPr="00A839DD">
            <w:rPr>
              <w:rFonts w:eastAsia="Aptos" w:cs="Aptos"/>
              <w:noProof/>
            </w:rPr>
            <w:drawing>
              <wp:inline distT="0" distB="0" distL="0" distR="0" wp14:anchorId="77CDC898" wp14:editId="3960B701">
                <wp:extent cx="414311" cy="145727"/>
                <wp:effectExtent l="0" t="0" r="5080" b="6985"/>
                <wp:docPr id="522763653"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1817FE17" w14:textId="77777777" w:rsidR="00CC4C55" w:rsidRPr="00A839DD" w:rsidRDefault="00CC4C55" w:rsidP="00CC4C55">
          <w:pPr>
            <w:widowControl w:val="0"/>
            <w:jc w:val="right"/>
            <w:rPr>
              <w:rFonts w:eastAsia="Aptos" w:cs="Aptos"/>
              <w:spacing w:val="-2"/>
            </w:rPr>
          </w:pPr>
          <w:r w:rsidRPr="00A839DD">
            <w:rPr>
              <w:rFonts w:eastAsia="Aptos" w:cs="Aptos"/>
              <w:spacing w:val="-2"/>
            </w:rPr>
            <w:fldChar w:fldCharType="begin"/>
          </w:r>
          <w:r w:rsidRPr="00A839DD">
            <w:rPr>
              <w:rFonts w:eastAsia="Aptos" w:cs="Aptos"/>
              <w:spacing w:val="-2"/>
            </w:rPr>
            <w:instrText>PAGE   \* MERGEFORMAT</w:instrText>
          </w:r>
          <w:r w:rsidRPr="00A839DD">
            <w:rPr>
              <w:rFonts w:eastAsia="Aptos" w:cs="Aptos"/>
              <w:spacing w:val="-2"/>
            </w:rPr>
            <w:fldChar w:fldCharType="separate"/>
          </w:r>
          <w:r w:rsidRPr="00A839DD">
            <w:rPr>
              <w:rFonts w:eastAsia="Aptos" w:cs="Aptos"/>
              <w:spacing w:val="-2"/>
            </w:rPr>
            <w:t>2</w:t>
          </w:r>
          <w:r w:rsidRPr="00A839DD">
            <w:rPr>
              <w:rFonts w:eastAsia="Aptos" w:cs="Aptos"/>
              <w:spacing w:val="-2"/>
            </w:rPr>
            <w:fldChar w:fldCharType="end"/>
          </w:r>
        </w:p>
      </w:tc>
    </w:tr>
  </w:tbl>
  <w:p w14:paraId="700EE0ED" w14:textId="1D2F446C" w:rsidR="002C4DF6" w:rsidRPr="00A839DD" w:rsidRDefault="00710762" w:rsidP="00A46E60">
    <w:pPr>
      <w:pStyle w:val="Pieddepage"/>
      <w:jc w:val="right"/>
      <w:rPr>
        <w:rFonts w:ascii="Aptos Light" w:hAnsi="Aptos Light"/>
        <w:szCs w:val="22"/>
      </w:rPr>
    </w:pPr>
    <w:r w:rsidRPr="00A839DD">
      <w:rPr>
        <w:rFonts w:ascii="Aptos Light" w:hAnsi="Aptos Light"/>
        <w:noProof/>
        <w:szCs w:val="22"/>
      </w:rPr>
      <mc:AlternateContent>
        <mc:Choice Requires="wps">
          <w:drawing>
            <wp:anchor distT="0" distB="0" distL="114300" distR="114300" simplePos="0" relativeHeight="251658246" behindDoc="0" locked="0" layoutInCell="1" allowOverlap="1" wp14:anchorId="637F301B" wp14:editId="5F16CCCE">
              <wp:simplePos x="0" y="0"/>
              <wp:positionH relativeFrom="column">
                <wp:posOffset>-2316480</wp:posOffset>
              </wp:positionH>
              <wp:positionV relativeFrom="paragraph">
                <wp:posOffset>477520</wp:posOffset>
              </wp:positionV>
              <wp:extent cx="10165080" cy="153670"/>
              <wp:effectExtent l="0" t="0" r="7620" b="0"/>
              <wp:wrapNone/>
              <wp:docPr id="91485796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5080" cy="153670"/>
                      </a:xfrm>
                      <a:prstGeom prst="rect">
                        <a:avLst/>
                      </a:prstGeom>
                      <a:solidFill>
                        <a:srgbClr val="E3ECF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2CACE" id="Rectangle 9" o:spid="_x0000_s1026" alt="&quot;&quot;" style="position:absolute;margin-left:-182.4pt;margin-top:37.6pt;width:800.4pt;height:1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" fillcolor="#e3ecf9"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A8F5F" w14:textId="77777777" w:rsidR="00C826A4" w:rsidRPr="00A839DD" w:rsidRDefault="00C826A4">
      <w:bookmarkStart w:id="0" w:name="_Hlk193119338"/>
      <w:bookmarkEnd w:id="0"/>
      <w:r w:rsidRPr="00A839DD">
        <w:separator/>
      </w:r>
    </w:p>
  </w:footnote>
  <w:footnote w:type="continuationSeparator" w:id="0">
    <w:p w14:paraId="1FC387E0" w14:textId="77777777" w:rsidR="00C826A4" w:rsidRPr="00A839DD" w:rsidRDefault="00C826A4">
      <w:r w:rsidRPr="00A839DD">
        <w:continuationSeparator/>
      </w:r>
    </w:p>
  </w:footnote>
  <w:footnote w:type="continuationNotice" w:id="1">
    <w:p w14:paraId="60B98808" w14:textId="77777777" w:rsidR="00C826A4" w:rsidRPr="00A839DD" w:rsidRDefault="00C826A4"/>
  </w:footnote>
  <w:footnote w:id="2">
    <w:p w14:paraId="4E06DE29" w14:textId="396D19C9" w:rsidR="00563B17" w:rsidRPr="00561F65" w:rsidRDefault="00C11291" w:rsidP="004E4354">
      <w:pPr>
        <w:pStyle w:val="NotesBasPage"/>
      </w:pPr>
      <w:r w:rsidRPr="00561F65">
        <w:rPr>
          <w:rStyle w:val="Appelnotedebasdep"/>
        </w:rPr>
        <w:footnoteRef/>
      </w:r>
      <w:r w:rsidR="00494060">
        <w:t xml:space="preserve"> </w:t>
      </w:r>
      <w:r w:rsidR="00494060">
        <w:tab/>
      </w:r>
      <w:r w:rsidRPr="00561F65">
        <w:tab/>
        <w:t xml:space="preserve">Voir </w:t>
      </w:r>
      <w:r w:rsidRPr="00561F65">
        <w:rPr>
          <w:smallCaps/>
        </w:rPr>
        <w:t xml:space="preserve">Projet SAVIE-LGBTQ, </w:t>
      </w:r>
      <w:r w:rsidRPr="00561F65">
        <w:t>«</w:t>
      </w:r>
      <w:r w:rsidR="002D3AE6" w:rsidRPr="00561F65">
        <w:rPr>
          <w:rFonts w:ascii="Arial" w:hAnsi="Arial" w:cs="Arial"/>
        </w:rPr>
        <w:t> </w:t>
      </w:r>
      <w:r w:rsidRPr="00561F65">
        <w:t>Projet</w:t>
      </w:r>
      <w:r w:rsidR="002D3AE6" w:rsidRPr="00561F65">
        <w:rPr>
          <w:rFonts w:ascii="Arial" w:hAnsi="Arial" w:cs="Arial"/>
        </w:rPr>
        <w:t> </w:t>
      </w:r>
      <w:r w:rsidRPr="00561F65">
        <w:t xml:space="preserve">», </w:t>
      </w:r>
      <w:r w:rsidR="00E55CE0" w:rsidRPr="00E55CE0">
        <w:t>[En ligne].</w:t>
      </w:r>
      <w:r w:rsidRPr="00561F65">
        <w:t xml:space="preserve"> </w:t>
      </w:r>
      <w:hyperlink r:id="rId1" w:history="1">
        <w:r w:rsidR="00563B17" w:rsidRPr="00843B2F">
          <w:rPr>
            <w:rStyle w:val="Lienhypertexte"/>
          </w:rPr>
          <w:t>https://savie-lgbtq.uqam.ca/projet/</w:t>
        </w:r>
      </w:hyperlink>
    </w:p>
  </w:footnote>
  <w:footnote w:id="3">
    <w:p w14:paraId="20B914A1" w14:textId="77777777" w:rsidR="00DB5308" w:rsidRPr="00561F65" w:rsidRDefault="00DB5308" w:rsidP="004E4354">
      <w:pPr>
        <w:pStyle w:val="NotesBasPage"/>
      </w:pPr>
      <w:r w:rsidRPr="00561F65">
        <w:rPr>
          <w:rStyle w:val="Appelnotedebasdep"/>
        </w:rPr>
        <w:footnoteRef/>
      </w:r>
      <w:r w:rsidRPr="00561F65">
        <w:t xml:space="preserve"> </w:t>
      </w:r>
      <w:r w:rsidRPr="00561F65">
        <w:tab/>
        <w:t>Au fil du rapport, l’acronyme utilisé pour désigner les minorités sexuelles et de genre peut varier pour refléter celui employé dans les sources citées.</w:t>
      </w:r>
    </w:p>
  </w:footnote>
  <w:footnote w:id="4">
    <w:p w14:paraId="77593ABA" w14:textId="50E0DCCB" w:rsidR="00DB5308" w:rsidRPr="00561F65" w:rsidRDefault="00DB5308" w:rsidP="004E4354">
      <w:pPr>
        <w:pStyle w:val="NotesBasPage"/>
      </w:pPr>
      <w:r w:rsidRPr="00561F65">
        <w:rPr>
          <w:rStyle w:val="Appelnotedebasdep"/>
        </w:rPr>
        <w:footnoteRef/>
      </w:r>
      <w:r w:rsidRPr="00561F65">
        <w:t xml:space="preserve"> </w:t>
      </w:r>
      <w:r w:rsidRPr="00561F65">
        <w:tab/>
        <w:t xml:space="preserve">Voir </w:t>
      </w:r>
      <w:r w:rsidR="002D3EF8" w:rsidRPr="00561F65">
        <w:rPr>
          <w:smallCaps/>
        </w:rPr>
        <w:t>Projet SAVIE-LGBTQ</w:t>
      </w:r>
      <w:r w:rsidR="002D3EF8" w:rsidRPr="00561F65">
        <w:t xml:space="preserve">, </w:t>
      </w:r>
      <w:proofErr w:type="spellStart"/>
      <w:r w:rsidRPr="00561F65">
        <w:t>préc</w:t>
      </w:r>
      <w:proofErr w:type="spellEnd"/>
      <w:r w:rsidRPr="00561F65">
        <w:t>., note</w:t>
      </w:r>
      <w:r w:rsidR="00F9183B" w:rsidRPr="00561F65">
        <w:t> </w:t>
      </w:r>
      <w:r w:rsidRPr="00561F65">
        <w:fldChar w:fldCharType="begin"/>
      </w:r>
      <w:r w:rsidRPr="00561F65">
        <w:instrText xml:space="preserve"> NOTEREF _Ref173937483 \h </w:instrText>
      </w:r>
      <w:r w:rsidR="00021EE0" w:rsidRPr="00561F65">
        <w:instrText xml:space="preserve"> \* MERGEFORMAT </w:instrText>
      </w:r>
      <w:r w:rsidRPr="00561F65">
        <w:fldChar w:fldCharType="separate"/>
      </w:r>
      <w:r w:rsidR="000374E3" w:rsidRPr="00561F65">
        <w:t>1</w:t>
      </w:r>
      <w:r w:rsidRPr="00561F65">
        <w:fldChar w:fldCharType="end"/>
      </w:r>
      <w:r w:rsidRPr="00561F65">
        <w:t>.</w:t>
      </w:r>
    </w:p>
  </w:footnote>
  <w:footnote w:id="5">
    <w:p w14:paraId="2FE2B493" w14:textId="361A3BAE" w:rsidR="004A2D9A" w:rsidRPr="00561F65" w:rsidRDefault="004A2D9A" w:rsidP="004E4354">
      <w:pPr>
        <w:pStyle w:val="NotesBasPage"/>
      </w:pPr>
      <w:r w:rsidRPr="00561F65">
        <w:rPr>
          <w:rStyle w:val="Appelnotedebasdep"/>
        </w:rPr>
        <w:footnoteRef/>
      </w:r>
      <w:r w:rsidRPr="00561F65">
        <w:t xml:space="preserve"> </w:t>
      </w:r>
      <w:r w:rsidR="00A2321B" w:rsidRPr="00561F65">
        <w:tab/>
      </w:r>
      <w:r w:rsidR="005F21F4" w:rsidRPr="00561F65">
        <w:rPr>
          <w:smallCaps/>
        </w:rPr>
        <w:t>Commission des droits de la personne et des droits de la jeunesse</w:t>
      </w:r>
      <w:r w:rsidR="005F21F4" w:rsidRPr="00561F65">
        <w:t xml:space="preserve">, </w:t>
      </w:r>
      <w:r w:rsidR="005F21F4" w:rsidRPr="00494060">
        <w:rPr>
          <w:i/>
          <w:iCs/>
        </w:rPr>
        <w:t>Après 25 ans : La Charte québécoise des droits et libertés, Étude n</w:t>
      </w:r>
      <w:r w:rsidR="005F21F4" w:rsidRPr="00494060">
        <w:rPr>
          <w:i/>
          <w:iCs/>
          <w:vertAlign w:val="superscript"/>
        </w:rPr>
        <w:t>o</w:t>
      </w:r>
      <w:r w:rsidR="005F21F4" w:rsidRPr="00494060">
        <w:rPr>
          <w:i/>
          <w:iCs/>
        </w:rPr>
        <w:t xml:space="preserve"> 2, Le droit à l’égalité : des progrès remarquables, des inégalités persistantes</w:t>
      </w:r>
      <w:r w:rsidR="005F21F4" w:rsidRPr="00561F65">
        <w:t xml:space="preserve">, 2003, p. 129, [En ligne]. </w:t>
      </w:r>
      <w:hyperlink r:id="rId2" w:history="1">
        <w:r w:rsidR="00EE492F" w:rsidRPr="00843B2F">
          <w:rPr>
            <w:rStyle w:val="Lienhypertexte"/>
          </w:rPr>
          <w:t>https://www.cdpdj.qc.ca/storage/app/media/publications/bilan_charte_etude_2.pdf</w:t>
        </w:r>
      </w:hyperlink>
    </w:p>
  </w:footnote>
  <w:footnote w:id="6">
    <w:p w14:paraId="3267107A" w14:textId="52AE3D41" w:rsidR="00B27E38" w:rsidRPr="00561F65" w:rsidRDefault="00B833D1" w:rsidP="004E4354">
      <w:pPr>
        <w:pStyle w:val="NotesBasPage"/>
      </w:pPr>
      <w:r w:rsidRPr="00561F65">
        <w:rPr>
          <w:rStyle w:val="Appelnotedebasdep"/>
        </w:rPr>
        <w:footnoteRef/>
      </w:r>
      <w:r w:rsidR="00494060">
        <w:tab/>
      </w:r>
      <w:r w:rsidRPr="00561F65">
        <w:rPr>
          <w:smallCaps/>
        </w:rPr>
        <w:t>Commission des droits de la personne et des droits de la jeunesse</w:t>
      </w:r>
      <w:r w:rsidRPr="00561F65">
        <w:t xml:space="preserve">, </w:t>
      </w:r>
      <w:r w:rsidRPr="00494060">
        <w:rPr>
          <w:i/>
          <w:iCs/>
        </w:rPr>
        <w:t>De l’illégalité à l’égalité : Rapport de la consultation publique sur la violence et la discrimination envers les gais et lesbiennes</w:t>
      </w:r>
      <w:r w:rsidRPr="00561F65">
        <w:t xml:space="preserve">, 1994, [En ligne]. </w:t>
      </w:r>
      <w:hyperlink r:id="rId3" w:history="1">
        <w:r w:rsidR="00B27E38" w:rsidRPr="00843B2F">
          <w:rPr>
            <w:rStyle w:val="Lienhypertexte"/>
          </w:rPr>
          <w:t>https://www.cdpdj.qc.ca/storage/app/media/publications/rapport_consultation_homophobie_1994.pdf</w:t>
        </w:r>
      </w:hyperlink>
    </w:p>
  </w:footnote>
  <w:footnote w:id="7">
    <w:p w14:paraId="658819E0" w14:textId="1295976F" w:rsidR="00B833D1" w:rsidRPr="00561F65" w:rsidRDefault="00B833D1" w:rsidP="004E4354">
      <w:pPr>
        <w:pStyle w:val="NotesBasPage"/>
      </w:pPr>
      <w:r w:rsidRPr="00561F65">
        <w:rPr>
          <w:rStyle w:val="Appelnotedebasdep"/>
        </w:rPr>
        <w:footnoteRef/>
      </w:r>
      <w:r w:rsidRPr="00561F65">
        <w:t xml:space="preserve"> </w:t>
      </w:r>
      <w:r w:rsidRPr="00561F65">
        <w:tab/>
      </w:r>
      <w:r w:rsidRPr="00561F65">
        <w:rPr>
          <w:i/>
        </w:rPr>
        <w:t>Id.</w:t>
      </w:r>
      <w:r w:rsidRPr="00561F65">
        <w:t>, p.</w:t>
      </w:r>
      <w:r w:rsidR="00F9183B" w:rsidRPr="00561F65">
        <w:t> </w:t>
      </w:r>
      <w:r w:rsidRPr="00561F65">
        <w:t xml:space="preserve">99 et </w:t>
      </w:r>
      <w:proofErr w:type="spellStart"/>
      <w:r w:rsidRPr="00561F65">
        <w:t>suiv</w:t>
      </w:r>
      <w:proofErr w:type="spellEnd"/>
      <w:r w:rsidRPr="00561F65">
        <w:t>.</w:t>
      </w:r>
    </w:p>
  </w:footnote>
  <w:footnote w:id="8">
    <w:p w14:paraId="4EF4643C" w14:textId="32139F3D" w:rsidR="0091685D" w:rsidRPr="00561F65" w:rsidRDefault="0091685D" w:rsidP="004E4354">
      <w:pPr>
        <w:pStyle w:val="NotesBasPage"/>
      </w:pPr>
      <w:r w:rsidRPr="00561F65">
        <w:rPr>
          <w:rStyle w:val="Appelnotedebasdep"/>
        </w:rPr>
        <w:footnoteRef/>
      </w:r>
      <w:r w:rsidRPr="00561F65">
        <w:t xml:space="preserve"> </w:t>
      </w:r>
      <w:r w:rsidRPr="00561F65">
        <w:tab/>
        <w:t xml:space="preserve">Ce </w:t>
      </w:r>
      <w:r w:rsidR="003F2D5C" w:rsidRPr="00561F65">
        <w:t>groupe</w:t>
      </w:r>
      <w:r w:rsidRPr="00561F65">
        <w:t xml:space="preserve"> de travail était composé de </w:t>
      </w:r>
      <w:r w:rsidR="00D84DBC" w:rsidRPr="00561F65">
        <w:t xml:space="preserve">représentants et représentantes de ministères et d’organismes publics, </w:t>
      </w:r>
      <w:r w:rsidR="009F71D9" w:rsidRPr="00561F65">
        <w:t xml:space="preserve">ainsi que </w:t>
      </w:r>
      <w:r w:rsidR="00D84DBC" w:rsidRPr="00561F65">
        <w:t xml:space="preserve">de </w:t>
      </w:r>
      <w:r w:rsidR="009F71D9" w:rsidRPr="00561F65">
        <w:t>partenaires des milieux communautaires, syndicaux et universitaires.</w:t>
      </w:r>
    </w:p>
  </w:footnote>
  <w:footnote w:id="9">
    <w:p w14:paraId="4FC2D3F7" w14:textId="420832AD" w:rsidR="00C66C8F" w:rsidRPr="00561F65" w:rsidRDefault="00EB508E"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xml:space="preserve">, </w:t>
      </w:r>
      <w:r w:rsidRPr="00691DE0">
        <w:rPr>
          <w:i/>
          <w:iCs/>
        </w:rPr>
        <w:t>De l’égalité juridique à l’égalité sociale : vers une stratégie nationale de lutte contre l’homophobie, Rapport de consultation du Groupe de travail mixte contre l’homophobie</w:t>
      </w:r>
      <w:r w:rsidRPr="00561F65">
        <w:t xml:space="preserve">, 2007, [En ligne]. </w:t>
      </w:r>
      <w:hyperlink r:id="rId4" w:history="1">
        <w:r w:rsidR="00C66C8F" w:rsidRPr="00B27E38">
          <w:rPr>
            <w:rStyle w:val="Lienhypertexte"/>
          </w:rPr>
          <w:t>https://www.cdpdj.qc.ca/storage/app/media/publications/rapport_homophobie.pdf</w:t>
        </w:r>
      </w:hyperlink>
    </w:p>
  </w:footnote>
  <w:footnote w:id="10">
    <w:p w14:paraId="2EE477CF" w14:textId="531A455C" w:rsidR="00EB508E" w:rsidRPr="00561F65" w:rsidRDefault="00EB508E" w:rsidP="004E4354">
      <w:pPr>
        <w:pStyle w:val="NotesBasPage"/>
      </w:pPr>
      <w:r w:rsidRPr="00561F65">
        <w:rPr>
          <w:rStyle w:val="Appelnotedebasdep"/>
        </w:rPr>
        <w:footnoteRef/>
      </w:r>
      <w:r w:rsidRPr="00561F65">
        <w:t xml:space="preserve"> </w:t>
      </w:r>
      <w:r w:rsidRPr="00561F65">
        <w:tab/>
      </w:r>
      <w:r w:rsidR="00ED057D" w:rsidRPr="00561F65">
        <w:t xml:space="preserve">Line </w:t>
      </w:r>
      <w:r w:rsidRPr="00561F65">
        <w:rPr>
          <w:smallCaps/>
        </w:rPr>
        <w:t>Chamberland</w:t>
      </w:r>
      <w:r w:rsidRPr="00561F65">
        <w:t>,</w:t>
      </w:r>
      <w:r w:rsidR="00ED057D" w:rsidRPr="00561F65">
        <w:t xml:space="preserve"> </w:t>
      </w:r>
      <w:r w:rsidRPr="00561F65">
        <w:t>«</w:t>
      </w:r>
      <w:r w:rsidR="002D3AE6" w:rsidRPr="00561F65">
        <w:rPr>
          <w:rFonts w:ascii="Arial" w:hAnsi="Arial" w:cs="Arial"/>
        </w:rPr>
        <w:t> </w:t>
      </w:r>
      <w:r w:rsidRPr="00561F65">
        <w:t>L’homophobie dans l’environnement de travail – Un portrait de la situation au Québec</w:t>
      </w:r>
      <w:r w:rsidR="002D3AE6" w:rsidRPr="00561F65">
        <w:rPr>
          <w:rFonts w:ascii="Arial" w:hAnsi="Arial" w:cs="Arial"/>
        </w:rPr>
        <w:t> </w:t>
      </w:r>
      <w:r w:rsidRPr="00561F65">
        <w:t>». Syndicat des travailleuses et travailleurs du CSSS Hochelaga Maisonneuve Olivier-Guimond et Rosemont-CSN, 2006</w:t>
      </w:r>
      <w:r w:rsidR="001D3E86" w:rsidRPr="00561F65">
        <w:t>.</w:t>
      </w:r>
      <w:r w:rsidRPr="00561F65">
        <w:t xml:space="preserve"> </w:t>
      </w:r>
    </w:p>
  </w:footnote>
  <w:footnote w:id="11">
    <w:p w14:paraId="49983FB5" w14:textId="6E2DF35F" w:rsidR="00F80256" w:rsidRPr="00561F65" w:rsidRDefault="00373A59" w:rsidP="004E4354">
      <w:pPr>
        <w:pStyle w:val="NotesBasPage"/>
      </w:pPr>
      <w:r w:rsidRPr="00561F65">
        <w:rPr>
          <w:rStyle w:val="Appelnotedebasdep"/>
        </w:rPr>
        <w:footnoteRef/>
      </w:r>
      <w:r w:rsidRPr="00561F65">
        <w:t xml:space="preserve"> </w:t>
      </w:r>
      <w:r w:rsidRPr="00561F65">
        <w:tab/>
      </w:r>
      <w:r w:rsidRPr="00561F65">
        <w:rPr>
          <w:smallCaps/>
        </w:rPr>
        <w:t>V</w:t>
      </w:r>
      <w:r w:rsidRPr="00561F65">
        <w:t>oir par exemple ses plus récentes interventions sur le sujet : C</w:t>
      </w:r>
      <w:r w:rsidRPr="00561F65">
        <w:rPr>
          <w:smallCaps/>
        </w:rPr>
        <w:t>ommission des droits de la personne et des droits de la jeunesse</w:t>
      </w:r>
      <w:r w:rsidRPr="00561F65">
        <w:t xml:space="preserve">, </w:t>
      </w:r>
      <w:r w:rsidRPr="00561F65">
        <w:rPr>
          <w:i/>
        </w:rPr>
        <w:t>Mémoire à la Commission des institutions de l’Assemblée nationale, Projet de loi n° 2, Loi portant sur la réforme du droit de la famille en matière de filiation et modifiant le Code civil en matière de droits de la personnalité et d’état civil</w:t>
      </w:r>
      <w:r w:rsidRPr="00561F65">
        <w:t>, 2022, p. 84 à 117, [En ligne</w:t>
      </w:r>
      <w:hyperlink r:id="rId5" w:history="1">
        <w:r w:rsidRPr="00B27E38">
          <w:rPr>
            <w:rStyle w:val="Lienhypertexte"/>
          </w:rPr>
          <w:t xml:space="preserve">]. </w:t>
        </w:r>
        <w:r w:rsidR="001109D5" w:rsidRPr="00B27E38">
          <w:rPr>
            <w:rStyle w:val="Lienhypertexte"/>
          </w:rPr>
          <w:t>https://www.cdpdj.qc.ca/storage/app/media/publications/memoire-reforme-droit-famille.pdf</w:t>
        </w:r>
      </w:hyperlink>
      <w:r w:rsidRPr="00561F65">
        <w:rPr>
          <w:rFonts w:ascii="Arial" w:hAnsi="Arial" w:cs="Arial"/>
        </w:rPr>
        <w:t> </w:t>
      </w:r>
      <w:r w:rsidRPr="00561F65">
        <w:t xml:space="preserve">; </w:t>
      </w:r>
      <w:r w:rsidRPr="00561F65">
        <w:rPr>
          <w:smallCaps/>
        </w:rPr>
        <w:t>Commission des droits de la personne et des droits de la jeunesse</w:t>
      </w:r>
      <w:r w:rsidRPr="00561F65">
        <w:t xml:space="preserve">, Lettre du 19 janvier 2024 adressée à madame Diane </w:t>
      </w:r>
      <w:proofErr w:type="spellStart"/>
      <w:r w:rsidRPr="00561F65">
        <w:t>Lavallée</w:t>
      </w:r>
      <w:proofErr w:type="spellEnd"/>
      <w:r w:rsidRPr="00561F65">
        <w:t>, présidente du Comité de sages sur l’identité de genre, ayant pour objet «</w:t>
      </w:r>
      <w:r w:rsidRPr="00561F65">
        <w:rPr>
          <w:rFonts w:ascii="Arial" w:hAnsi="Arial"/>
        </w:rPr>
        <w:t> </w:t>
      </w:r>
      <w:r w:rsidRPr="00561F65">
        <w:t>Suite de notre rencontre du 15</w:t>
      </w:r>
      <w:r w:rsidRPr="00561F65">
        <w:rPr>
          <w:rFonts w:cs="Aptos"/>
        </w:rPr>
        <w:t> </w:t>
      </w:r>
      <w:r w:rsidRPr="00561F65">
        <w:t>janvier 2024</w:t>
      </w:r>
      <w:r w:rsidRPr="00561F65">
        <w:rPr>
          <w:rFonts w:ascii="Arial" w:hAnsi="Arial"/>
        </w:rPr>
        <w:t> </w:t>
      </w:r>
      <w:r w:rsidRPr="00561F65">
        <w:rPr>
          <w:rFonts w:cs="Aptos"/>
        </w:rPr>
        <w:t>»</w:t>
      </w:r>
      <w:r w:rsidRPr="00561F65">
        <w:t xml:space="preserve">, [En ligne]. </w:t>
      </w:r>
      <w:hyperlink r:id="rId6" w:history="1">
        <w:r w:rsidR="00F80256" w:rsidRPr="00B27E38">
          <w:rPr>
            <w:rStyle w:val="Lienhypertexte"/>
          </w:rPr>
          <w:t>https://www.cdpdj.qc.ca/storage/app/media/publications/lettre_identite-genre.pdf</w:t>
        </w:r>
      </w:hyperlink>
    </w:p>
  </w:footnote>
  <w:footnote w:id="12">
    <w:p w14:paraId="644FADDA" w14:textId="4BF1FAA0" w:rsidR="00373A59" w:rsidRPr="00561F65" w:rsidRDefault="00373A59" w:rsidP="004E4354">
      <w:pPr>
        <w:pStyle w:val="NotesBasPage"/>
      </w:pPr>
      <w:r w:rsidRPr="00561F65">
        <w:rPr>
          <w:rStyle w:val="Appelnotedebasdep"/>
        </w:rPr>
        <w:footnoteRef/>
      </w:r>
      <w:r w:rsidRPr="00561F65">
        <w:t xml:space="preserve"> </w:t>
      </w:r>
      <w:r w:rsidRPr="00561F65">
        <w:tab/>
        <w:t>Par exemple, 58 % des personnes trans ontariennes</w:t>
      </w:r>
      <w:r w:rsidR="00F51353" w:rsidRPr="00561F65">
        <w:t xml:space="preserve"> </w:t>
      </w:r>
      <w:r w:rsidR="000F4364" w:rsidRPr="00561F65">
        <w:t>(</w:t>
      </w:r>
      <w:r w:rsidR="00F51353" w:rsidRPr="00561F65">
        <w:t>connaissan</w:t>
      </w:r>
      <w:r w:rsidR="000F4364" w:rsidRPr="00561F65">
        <w:t>t au moins une autre personne trans)</w:t>
      </w:r>
      <w:r w:rsidRPr="00561F65">
        <w:t xml:space="preserve"> ne pouvaient obtenir un relevé de notes avec les bons noms et pronoms, et 28 % ne pouvaient obtenir une référence pour un emploi présentant leur prénom et pronom actuels. Voir Greta R. </w:t>
      </w:r>
      <w:r w:rsidRPr="00561F65">
        <w:rPr>
          <w:smallCaps/>
        </w:rPr>
        <w:t>Bauer</w:t>
      </w:r>
      <w:r w:rsidRPr="00561F65">
        <w:t xml:space="preserve"> et Ayden I. </w:t>
      </w:r>
      <w:proofErr w:type="spellStart"/>
      <w:r w:rsidRPr="00561F65">
        <w:rPr>
          <w:smallCaps/>
        </w:rPr>
        <w:t>Scheim</w:t>
      </w:r>
      <w:proofErr w:type="spellEnd"/>
      <w:r w:rsidRPr="00561F65">
        <w:rPr>
          <w:smallCaps/>
        </w:rPr>
        <w:t xml:space="preserve">, </w:t>
      </w:r>
      <w:r w:rsidRPr="00561F65">
        <w:t xml:space="preserve">pour l’équipe du projet Trans PULSE, </w:t>
      </w:r>
      <w:proofErr w:type="spellStart"/>
      <w:r w:rsidRPr="00561F65">
        <w:rPr>
          <w:i/>
        </w:rPr>
        <w:t>Transgender</w:t>
      </w:r>
      <w:proofErr w:type="spellEnd"/>
      <w:r w:rsidRPr="00561F65">
        <w:rPr>
          <w:i/>
        </w:rPr>
        <w:t xml:space="preserve"> People in Ontario, Canada : </w:t>
      </w:r>
      <w:proofErr w:type="spellStart"/>
      <w:r w:rsidRPr="00561F65">
        <w:rPr>
          <w:i/>
        </w:rPr>
        <w:t>Statistics</w:t>
      </w:r>
      <w:proofErr w:type="spellEnd"/>
      <w:r w:rsidRPr="00561F65">
        <w:rPr>
          <w:i/>
        </w:rPr>
        <w:t xml:space="preserve"> to </w:t>
      </w:r>
      <w:proofErr w:type="spellStart"/>
      <w:r w:rsidRPr="00561F65">
        <w:rPr>
          <w:i/>
        </w:rPr>
        <w:t>Inform</w:t>
      </w:r>
      <w:proofErr w:type="spellEnd"/>
      <w:r w:rsidRPr="00561F65">
        <w:rPr>
          <w:i/>
        </w:rPr>
        <w:t xml:space="preserve"> Human </w:t>
      </w:r>
      <w:proofErr w:type="spellStart"/>
      <w:r w:rsidRPr="00561F65">
        <w:rPr>
          <w:i/>
        </w:rPr>
        <w:t>Rights</w:t>
      </w:r>
      <w:proofErr w:type="spellEnd"/>
      <w:r w:rsidRPr="00561F65">
        <w:rPr>
          <w:i/>
        </w:rPr>
        <w:t xml:space="preserve"> Policy</w:t>
      </w:r>
      <w:r w:rsidRPr="00561F65">
        <w:t xml:space="preserve">, London, </w:t>
      </w:r>
      <w:r w:rsidR="00D072A5" w:rsidRPr="00561F65">
        <w:t>Ontario</w:t>
      </w:r>
      <w:r w:rsidRPr="00561F65">
        <w:t>, 2015, p. 3, [En ligne].</w:t>
      </w:r>
      <w:r w:rsidR="008B7EE5" w:rsidRPr="00561F65">
        <w:t xml:space="preserve"> </w:t>
      </w:r>
      <w:hyperlink r:id="rId7" w:history="1">
        <w:r w:rsidR="008B7EE5" w:rsidRPr="00B27E38">
          <w:rPr>
            <w:rStyle w:val="Lienhypertexte"/>
          </w:rPr>
          <w:t>https://transpulseproject.ca/wp-content/uploads/2015/06/Trans-PULSE-Statistics-Relevant-for-Human-Rights-Policy-June-2015.pdf</w:t>
        </w:r>
      </w:hyperlink>
      <w:r w:rsidRPr="00561F65">
        <w:t xml:space="preserve"> </w:t>
      </w:r>
    </w:p>
  </w:footnote>
  <w:footnote w:id="13">
    <w:p w14:paraId="652C3A32" w14:textId="1839C3F4" w:rsidR="00EB508E" w:rsidRPr="00561F65" w:rsidRDefault="00EB508E"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w:t>
      </w:r>
      <w:r w:rsidRPr="00561F65">
        <w:rPr>
          <w:rFonts w:ascii="Arial" w:hAnsi="Arial" w:cs="Arial"/>
        </w:rPr>
        <w:t> </w:t>
      </w:r>
      <w:r w:rsidRPr="00561F65">
        <w:t>S</w:t>
      </w:r>
      <w:r w:rsidRPr="00561F65">
        <w:rPr>
          <w:rFonts w:cs="Aptos"/>
        </w:rPr>
        <w:t>’</w:t>
      </w:r>
      <w:r w:rsidRPr="00561F65">
        <w:t>allier pour l</w:t>
      </w:r>
      <w:r w:rsidRPr="00561F65">
        <w:rPr>
          <w:rFonts w:cs="Aptos"/>
        </w:rPr>
        <w:t>’é</w:t>
      </w:r>
      <w:r w:rsidRPr="00561F65">
        <w:t>galit</w:t>
      </w:r>
      <w:r w:rsidRPr="00561F65">
        <w:rPr>
          <w:rFonts w:cs="Aptos"/>
        </w:rPr>
        <w:t>é</w:t>
      </w:r>
      <w:r w:rsidRPr="00561F65">
        <w:t xml:space="preserve"> des personnes LGBTQI+</w:t>
      </w:r>
      <w:r w:rsidRPr="00561F65">
        <w:rPr>
          <w:rFonts w:ascii="Arial" w:hAnsi="Arial" w:cs="Arial"/>
        </w:rPr>
        <w:t> </w:t>
      </w:r>
      <w:r w:rsidR="003A2BE2" w:rsidRPr="00561F65">
        <w:rPr>
          <w:rFonts w:cs="Aptos"/>
        </w:rPr>
        <w:t>»</w:t>
      </w:r>
      <w:r w:rsidR="003A2BE2" w:rsidRPr="00561F65">
        <w:t>,</w:t>
      </w:r>
      <w:r w:rsidR="003A2BE2">
        <w:t xml:space="preserve"> formation,</w:t>
      </w:r>
      <w:r w:rsidRPr="00561F65">
        <w:t xml:space="preserve"> </w:t>
      </w:r>
      <w:r w:rsidR="00FF7785" w:rsidRPr="00561F65">
        <w:t xml:space="preserve">2025, </w:t>
      </w:r>
      <w:r w:rsidRPr="00561F65">
        <w:t xml:space="preserve">[En ligne]. </w:t>
      </w:r>
      <w:hyperlink r:id="rId8" w:history="1">
        <w:r w:rsidR="002B798A" w:rsidRPr="00B27E38">
          <w:rPr>
            <w:rStyle w:val="Lienhypertexte"/>
          </w:rPr>
          <w:t>https://cdpdj.illuxi.com/activites/lgbtqi-4939-3826</w:t>
        </w:r>
      </w:hyperlink>
      <w:r w:rsidRPr="00561F65">
        <w:t xml:space="preserve"> </w:t>
      </w:r>
    </w:p>
  </w:footnote>
  <w:footnote w:id="14">
    <w:p w14:paraId="1DDAE9BC" w14:textId="54441428" w:rsidR="00390853" w:rsidRPr="00561F65" w:rsidRDefault="00390853" w:rsidP="004E4354">
      <w:pPr>
        <w:pStyle w:val="NotesBasPage"/>
      </w:pPr>
      <w:r w:rsidRPr="00561F65">
        <w:rPr>
          <w:rStyle w:val="Appelnotedebasdep"/>
        </w:rPr>
        <w:footnoteRef/>
      </w:r>
      <w:r w:rsidRPr="00561F65">
        <w:t xml:space="preserve"> </w:t>
      </w:r>
      <w:r w:rsidRPr="00561F65">
        <w:tab/>
        <w:t xml:space="preserve">Cette tendance se vérifie de façon répétée dans les résultats de l’Enquête SAVIE-LGBTQ (2019-2020), </w:t>
      </w:r>
      <w:r w:rsidRPr="00561F65">
        <w:rPr>
          <w:smallCaps/>
        </w:rPr>
        <w:t>Chaire de recherche sur la diversité sexuelle et la pluralité des genres</w:t>
      </w:r>
      <w:r w:rsidRPr="00561F65">
        <w:t xml:space="preserve">, </w:t>
      </w:r>
      <w:r w:rsidR="00E010E1" w:rsidRPr="00561F65">
        <w:rPr>
          <w:i/>
        </w:rPr>
        <w:t>Tableau de bord des indicateurs d'inclusion et d'exclusion sociales chez les personnes LGBTQ2+ du Québec (2019-2020)</w:t>
      </w:r>
      <w:r w:rsidR="00E010E1" w:rsidRPr="00561F65">
        <w:t xml:space="preserve">, </w:t>
      </w:r>
      <w:r w:rsidRPr="00561F65">
        <w:t>[En ligne].</w:t>
      </w:r>
      <w:r w:rsidR="001C42C1" w:rsidRPr="00561F65">
        <w:t xml:space="preserve"> </w:t>
      </w:r>
      <w:hyperlink r:id="rId9" w:history="1">
        <w:r w:rsidR="001C42C1" w:rsidRPr="00B27E38">
          <w:rPr>
            <w:rStyle w:val="Lienhypertexte"/>
          </w:rPr>
          <w:t xml:space="preserve">https://shiny.initiativesnumeriques.org/savie-dashboard/ </w:t>
        </w:r>
      </w:hyperlink>
      <w:r w:rsidRPr="00561F65">
        <w:t xml:space="preserve"> </w:t>
      </w:r>
    </w:p>
  </w:footnote>
  <w:footnote w:id="15">
    <w:p w14:paraId="7245842C" w14:textId="542FD808" w:rsidR="00390853" w:rsidRPr="00561F65" w:rsidRDefault="00390853" w:rsidP="004E4354">
      <w:pPr>
        <w:pStyle w:val="NotesBasPage"/>
      </w:pPr>
      <w:r w:rsidRPr="00561F65">
        <w:rPr>
          <w:rStyle w:val="Appelnotedebasdep"/>
        </w:rPr>
        <w:footnoteRef/>
      </w:r>
      <w:r w:rsidRPr="00561F65">
        <w:t xml:space="preserve"> </w:t>
      </w:r>
      <w:r w:rsidRPr="00561F65">
        <w:tab/>
        <w:t xml:space="preserve">Voir notamment </w:t>
      </w:r>
      <w:r w:rsidRPr="00AD4A99">
        <w:rPr>
          <w:i/>
          <w:iCs/>
        </w:rPr>
        <w:t>Loi modifiant la Charte des droits et libertés de la personne et d'autres dispositions législatives</w:t>
      </w:r>
      <w:r w:rsidRPr="00561F65">
        <w:t>, L.Q.</w:t>
      </w:r>
      <w:r w:rsidR="00F9183B" w:rsidRPr="00561F65">
        <w:t> </w:t>
      </w:r>
      <w:r w:rsidRPr="00561F65">
        <w:t>1996, c. 10</w:t>
      </w:r>
      <w:r w:rsidR="00F01F5E" w:rsidRPr="00561F65">
        <w:rPr>
          <w:rFonts w:ascii="Arial" w:hAnsi="Arial" w:cs="Arial"/>
        </w:rPr>
        <w:t> </w:t>
      </w:r>
      <w:r w:rsidRPr="00561F65">
        <w:t xml:space="preserve">; </w:t>
      </w:r>
      <w:r w:rsidRPr="00AD4A99">
        <w:rPr>
          <w:i/>
          <w:iCs/>
        </w:rPr>
        <w:t xml:space="preserve">Loi instituant l'union civile et établissant de nouvelles règles de filiation, </w:t>
      </w:r>
      <w:r w:rsidRPr="003A2BE2">
        <w:t>L.Q.</w:t>
      </w:r>
      <w:r w:rsidR="00F9183B" w:rsidRPr="003A2BE2">
        <w:t> </w:t>
      </w:r>
      <w:r w:rsidRPr="003A2BE2">
        <w:t>2002, c.</w:t>
      </w:r>
      <w:r w:rsidR="00F9183B" w:rsidRPr="003A2BE2">
        <w:t> </w:t>
      </w:r>
      <w:r w:rsidRPr="003A2BE2">
        <w:t>6</w:t>
      </w:r>
      <w:r w:rsidR="00F01F5E" w:rsidRPr="00AD4A99">
        <w:rPr>
          <w:rFonts w:ascii="Arial" w:hAnsi="Arial" w:cs="Arial"/>
          <w:i/>
          <w:iCs/>
        </w:rPr>
        <w:t> </w:t>
      </w:r>
      <w:r w:rsidRPr="00AD4A99">
        <w:rPr>
          <w:i/>
          <w:iCs/>
        </w:rPr>
        <w:t>; Loi portant sur la réforme du droit de la famille en matière de filiation et modifiant le Code civil en matière de droits de la personnalité et d’état civil</w:t>
      </w:r>
      <w:r w:rsidRPr="00561F65">
        <w:t>, L.Q.</w:t>
      </w:r>
      <w:r w:rsidR="00F9183B" w:rsidRPr="00561F65">
        <w:t> </w:t>
      </w:r>
      <w:r w:rsidRPr="00561F65">
        <w:t>2022, c.</w:t>
      </w:r>
      <w:r w:rsidR="00F9183B" w:rsidRPr="00561F65">
        <w:t> </w:t>
      </w:r>
      <w:r w:rsidRPr="00561F65">
        <w:t>22</w:t>
      </w:r>
      <w:r w:rsidR="008C4BEC" w:rsidRPr="00561F65">
        <w:t>.</w:t>
      </w:r>
    </w:p>
  </w:footnote>
  <w:footnote w:id="16">
    <w:p w14:paraId="6FEC72A2" w14:textId="323AE89E" w:rsidR="00390853" w:rsidRPr="00561F65" w:rsidRDefault="00390853" w:rsidP="004E4354">
      <w:pPr>
        <w:pStyle w:val="NotesBasPage"/>
      </w:pPr>
      <w:r w:rsidRPr="00561F65">
        <w:rPr>
          <w:rStyle w:val="Appelnotedebasdep"/>
        </w:rPr>
        <w:footnoteRef/>
      </w:r>
      <w:r w:rsidRPr="00561F65">
        <w:t xml:space="preserve"> </w:t>
      </w:r>
      <w:r w:rsidRPr="00561F65">
        <w:tab/>
      </w:r>
      <w:r w:rsidRPr="00AD4A99">
        <w:rPr>
          <w:i/>
          <w:iCs/>
        </w:rPr>
        <w:t>Loi modifiant le Code civil relativement au mariage</w:t>
      </w:r>
      <w:r w:rsidRPr="00561F65">
        <w:t>, L.Q.</w:t>
      </w:r>
      <w:r w:rsidR="00F9183B" w:rsidRPr="00561F65">
        <w:t> </w:t>
      </w:r>
      <w:r w:rsidRPr="00561F65">
        <w:t>2004, c. 23</w:t>
      </w:r>
      <w:r w:rsidR="00F01F5E" w:rsidRPr="00561F65">
        <w:rPr>
          <w:rFonts w:ascii="Arial" w:hAnsi="Arial" w:cs="Arial"/>
        </w:rPr>
        <w:t> </w:t>
      </w:r>
      <w:r w:rsidRPr="00561F65">
        <w:t xml:space="preserve">; </w:t>
      </w:r>
      <w:r w:rsidRPr="00AD4A99">
        <w:rPr>
          <w:i/>
          <w:iCs/>
        </w:rPr>
        <w:t>Loi sur le mariage civil</w:t>
      </w:r>
      <w:r w:rsidRPr="00561F65">
        <w:t>, L</w:t>
      </w:r>
      <w:r w:rsidR="00422F1A" w:rsidRPr="00561F65">
        <w:t>.</w:t>
      </w:r>
      <w:r w:rsidRPr="00561F65">
        <w:t>C</w:t>
      </w:r>
      <w:r w:rsidR="00422F1A" w:rsidRPr="00561F65">
        <w:t>.</w:t>
      </w:r>
      <w:r w:rsidRPr="00561F65">
        <w:t xml:space="preserve"> 2005, c.</w:t>
      </w:r>
      <w:r w:rsidR="00F9183B" w:rsidRPr="00561F65">
        <w:t> </w:t>
      </w:r>
      <w:r w:rsidRPr="00561F65">
        <w:t>33.</w:t>
      </w:r>
    </w:p>
  </w:footnote>
  <w:footnote w:id="17">
    <w:p w14:paraId="5CF6AB5C" w14:textId="1A1CD92A" w:rsidR="00390853" w:rsidRPr="00561F65" w:rsidRDefault="00390853" w:rsidP="004E4354">
      <w:pPr>
        <w:pStyle w:val="NotesBasPage"/>
      </w:pPr>
      <w:r w:rsidRPr="00561F65">
        <w:rPr>
          <w:rStyle w:val="Appelnotedebasdep"/>
        </w:rPr>
        <w:footnoteRef/>
      </w:r>
      <w:r w:rsidRPr="00561F65">
        <w:t xml:space="preserve"> </w:t>
      </w:r>
      <w:r w:rsidRPr="00561F65">
        <w:tab/>
      </w:r>
      <w:r w:rsidRPr="00141CBD">
        <w:rPr>
          <w:i/>
          <w:iCs/>
        </w:rPr>
        <w:t>Loi modifiant le Code civil en matière d’état civil, de succession et de publicité des droits</w:t>
      </w:r>
      <w:r w:rsidRPr="00561F65">
        <w:t>, L.Q.</w:t>
      </w:r>
      <w:r w:rsidR="00F9183B" w:rsidRPr="00561F65">
        <w:t> </w:t>
      </w:r>
      <w:r w:rsidRPr="00561F65">
        <w:t>2013, c.</w:t>
      </w:r>
      <w:r w:rsidR="00F9183B" w:rsidRPr="00561F65">
        <w:t> </w:t>
      </w:r>
      <w:r w:rsidRPr="00561F65">
        <w:t>27</w:t>
      </w:r>
      <w:r w:rsidR="00F01F5E" w:rsidRPr="00141CBD">
        <w:rPr>
          <w:rFonts w:ascii="Arial" w:hAnsi="Arial" w:cs="Arial"/>
          <w:i/>
          <w:iCs/>
        </w:rPr>
        <w:t> </w:t>
      </w:r>
      <w:r w:rsidRPr="00141CBD">
        <w:rPr>
          <w:i/>
          <w:iCs/>
        </w:rPr>
        <w:t>; Loi visant à renforcer la lutte contre la transphobie et à améliorer notamment la situation des mineurs transgenres</w:t>
      </w:r>
      <w:r w:rsidRPr="00561F65">
        <w:t>, L.Q.</w:t>
      </w:r>
      <w:r w:rsidR="00F9183B" w:rsidRPr="00561F65">
        <w:t> </w:t>
      </w:r>
      <w:r w:rsidRPr="00561F65">
        <w:t>2016, c.</w:t>
      </w:r>
      <w:r w:rsidR="008C4BEC" w:rsidRPr="00561F65">
        <w:t> </w:t>
      </w:r>
      <w:r w:rsidRPr="00561F65">
        <w:t>19</w:t>
      </w:r>
      <w:r w:rsidR="00F01F5E" w:rsidRPr="00561F65">
        <w:rPr>
          <w:rFonts w:ascii="Arial" w:hAnsi="Arial" w:cs="Arial"/>
        </w:rPr>
        <w:t> </w:t>
      </w:r>
      <w:r w:rsidRPr="00561F65">
        <w:t xml:space="preserve">; </w:t>
      </w:r>
      <w:r w:rsidRPr="00141CBD">
        <w:rPr>
          <w:i/>
          <w:iCs/>
        </w:rPr>
        <w:t>Loi portant sur la réforme du droit de la famille en matière de filiation et modifiant le Code civil en matière de droits de la personnalité et d’état civil</w:t>
      </w:r>
      <w:r w:rsidRPr="00561F65">
        <w:t>, L.Q.</w:t>
      </w:r>
      <w:r w:rsidR="00F9183B" w:rsidRPr="00561F65">
        <w:t> </w:t>
      </w:r>
      <w:r w:rsidRPr="00561F65">
        <w:t>2022, c.</w:t>
      </w:r>
      <w:r w:rsidR="00F9183B" w:rsidRPr="00561F65">
        <w:t> </w:t>
      </w:r>
      <w:r w:rsidRPr="00561F65">
        <w:t>22.</w:t>
      </w:r>
    </w:p>
  </w:footnote>
  <w:footnote w:id="18">
    <w:p w14:paraId="7E18C1A8" w14:textId="77777777" w:rsidR="00390853" w:rsidRPr="00561F65" w:rsidRDefault="00390853" w:rsidP="004E4354">
      <w:pPr>
        <w:pStyle w:val="NotesBasPage"/>
      </w:pPr>
      <w:r w:rsidRPr="00561F65">
        <w:rPr>
          <w:rStyle w:val="Appelnotedebasdep"/>
        </w:rPr>
        <w:footnoteRef/>
      </w:r>
      <w:r w:rsidRPr="00561F65">
        <w:t xml:space="preserve"> </w:t>
      </w:r>
      <w:r w:rsidRPr="00561F65">
        <w:tab/>
      </w:r>
      <w:r w:rsidRPr="00D13C6F">
        <w:rPr>
          <w:i/>
          <w:iCs/>
        </w:rPr>
        <w:t>Loi visant à protéger les personnes contre les thérapies de conversion dispensées pour changer leur orientation sexuelle, leur identité de genre ou leur expression de genre</w:t>
      </w:r>
      <w:r w:rsidRPr="00561F65">
        <w:t>, RLRQ, c. P-42.2.</w:t>
      </w:r>
    </w:p>
  </w:footnote>
  <w:footnote w:id="19">
    <w:p w14:paraId="16CA570D" w14:textId="2AAD21FB" w:rsidR="00390853" w:rsidRPr="00561F65" w:rsidRDefault="00390853" w:rsidP="004E4354">
      <w:pPr>
        <w:pStyle w:val="NotesBasPage"/>
      </w:pPr>
      <w:r w:rsidRPr="00561F65">
        <w:rPr>
          <w:rStyle w:val="Appelnotedebasdep"/>
        </w:rPr>
        <w:footnoteRef/>
      </w:r>
      <w:r w:rsidRPr="00561F65">
        <w:t xml:space="preserve"> </w:t>
      </w:r>
      <w:r w:rsidRPr="00D13C6F">
        <w:rPr>
          <w:i/>
          <w:iCs/>
        </w:rPr>
        <w:tab/>
        <w:t>Loi portant sur la réforme du droit de la famille en matière de filiation et modifiant le Code civil en matière de droits de la personnalité et d’état civil</w:t>
      </w:r>
      <w:r w:rsidRPr="00561F65">
        <w:t>, L.Q.</w:t>
      </w:r>
      <w:r w:rsidR="00F9183B" w:rsidRPr="00561F65">
        <w:t> </w:t>
      </w:r>
      <w:r w:rsidRPr="00561F65">
        <w:t>2022, c.</w:t>
      </w:r>
      <w:r w:rsidR="00F9183B" w:rsidRPr="00561F65">
        <w:t> </w:t>
      </w:r>
      <w:r w:rsidRPr="00561F65">
        <w:t>22.</w:t>
      </w:r>
    </w:p>
  </w:footnote>
  <w:footnote w:id="20">
    <w:p w14:paraId="6B7A3B80" w14:textId="77777777" w:rsidR="00390853" w:rsidRPr="00561F65" w:rsidRDefault="00390853" w:rsidP="004E4354">
      <w:pPr>
        <w:pStyle w:val="NotesBasPage"/>
      </w:pPr>
      <w:r w:rsidRPr="00561F65">
        <w:rPr>
          <w:rStyle w:val="Appelnotedebasdep"/>
        </w:rPr>
        <w:footnoteRef/>
      </w:r>
      <w:r w:rsidRPr="00561F65">
        <w:t xml:space="preserve"> </w:t>
      </w:r>
      <w:r w:rsidRPr="00561F65">
        <w:tab/>
      </w:r>
      <w:r w:rsidRPr="00D13C6F">
        <w:rPr>
          <w:i/>
          <w:iCs/>
        </w:rPr>
        <w:t>Loi modifiant la Charte des droits et libertés de la personne</w:t>
      </w:r>
      <w:r w:rsidRPr="00561F65">
        <w:t>, L.Q. 1977, c. 6, art. 1.</w:t>
      </w:r>
    </w:p>
  </w:footnote>
  <w:footnote w:id="21">
    <w:p w14:paraId="4B499D07" w14:textId="21D4D2D7" w:rsidR="00390853" w:rsidRPr="00561F65" w:rsidRDefault="00390853" w:rsidP="004E4354">
      <w:pPr>
        <w:pStyle w:val="NotesBasPage"/>
      </w:pPr>
      <w:r w:rsidRPr="00561F65">
        <w:rPr>
          <w:rStyle w:val="Appelnotedebasdep"/>
        </w:rPr>
        <w:footnoteRef/>
      </w:r>
      <w:r w:rsidRPr="00561F65">
        <w:t xml:space="preserve"> </w:t>
      </w:r>
      <w:r w:rsidRPr="00561F65">
        <w:tab/>
      </w:r>
      <w:r w:rsidRPr="00561F65">
        <w:rPr>
          <w:rStyle w:val="NotedebasdepageCar"/>
          <w:smallCaps/>
          <w:color w:val="202C4B"/>
          <w:sz w:val="18"/>
          <w:szCs w:val="18"/>
        </w:rPr>
        <w:t xml:space="preserve">Commission des droits de la personne </w:t>
      </w:r>
      <w:r w:rsidR="009E57A2" w:rsidRPr="00561F65">
        <w:rPr>
          <w:rStyle w:val="NotedebasdepageCar"/>
          <w:smallCaps/>
          <w:color w:val="202C4B"/>
          <w:sz w:val="18"/>
          <w:szCs w:val="18"/>
        </w:rPr>
        <w:t>du Québec</w:t>
      </w:r>
      <w:r w:rsidRPr="00561F65">
        <w:t xml:space="preserve">, </w:t>
      </w:r>
      <w:r w:rsidRPr="00561F65">
        <w:rPr>
          <w:i/>
        </w:rPr>
        <w:t>Un défi de justice pour tous : Premier rapport annuel</w:t>
      </w:r>
      <w:r w:rsidRPr="00561F65">
        <w:t>, 1976, p. 22.</w:t>
      </w:r>
    </w:p>
  </w:footnote>
  <w:footnote w:id="22">
    <w:p w14:paraId="6219F560" w14:textId="11A17BE5" w:rsidR="00390853" w:rsidRPr="00561F65" w:rsidRDefault="00390853" w:rsidP="004E4354">
      <w:pPr>
        <w:pStyle w:val="NotesBasPage"/>
      </w:pPr>
      <w:r w:rsidRPr="00561F65">
        <w:rPr>
          <w:rStyle w:val="Appelnotedebasdep"/>
        </w:rPr>
        <w:footnoteRef/>
      </w:r>
      <w:r w:rsidRPr="00561F65">
        <w:t xml:space="preserve"> </w:t>
      </w:r>
      <w:r w:rsidRPr="00561F65">
        <w:tab/>
      </w:r>
      <w:r w:rsidRPr="00D13C6F">
        <w:rPr>
          <w:i/>
          <w:iCs/>
        </w:rPr>
        <w:t xml:space="preserve">Commission des droits de la personne et des droits de la jeunesse (M.L.) </w:t>
      </w:r>
      <w:r w:rsidRPr="00B24341">
        <w:t>c</w:t>
      </w:r>
      <w:r w:rsidRPr="00D13C6F">
        <w:rPr>
          <w:i/>
          <w:iCs/>
        </w:rPr>
        <w:t>. Maison des jeunes A</w:t>
      </w:r>
      <w:r w:rsidRPr="00561F65">
        <w:t>., 1998 CanLII 28 (QC TDP)</w:t>
      </w:r>
      <w:r w:rsidR="00B52237" w:rsidRPr="00561F65">
        <w:t>.</w:t>
      </w:r>
    </w:p>
  </w:footnote>
  <w:footnote w:id="23">
    <w:p w14:paraId="18E749EE" w14:textId="3CB0AF21" w:rsidR="00390853" w:rsidRPr="00561F65" w:rsidRDefault="00390853" w:rsidP="004E4354">
      <w:pPr>
        <w:pStyle w:val="NotesBasPage"/>
      </w:pPr>
      <w:r w:rsidRPr="00561F65">
        <w:rPr>
          <w:rStyle w:val="Appelnotedebasdep"/>
        </w:rPr>
        <w:footnoteRef/>
      </w:r>
      <w:r w:rsidRPr="00561F65">
        <w:t xml:space="preserve"> </w:t>
      </w:r>
      <w:r w:rsidRPr="00561F65">
        <w:tab/>
      </w:r>
      <w:r w:rsidRPr="00F762AC">
        <w:rPr>
          <w:i/>
          <w:iCs/>
        </w:rPr>
        <w:t>Loi visant à renforcer la lutte contre la transphobie et à améliorer notamment la situation des mineurs transgenres</w:t>
      </w:r>
      <w:r w:rsidRPr="00561F65">
        <w:t>, L.Q.</w:t>
      </w:r>
      <w:r w:rsidR="00F9183B" w:rsidRPr="00561F65">
        <w:t> </w:t>
      </w:r>
      <w:r w:rsidRPr="00561F65">
        <w:t>2016, c.</w:t>
      </w:r>
      <w:r w:rsidR="00F9183B" w:rsidRPr="00561F65">
        <w:t> </w:t>
      </w:r>
      <w:r w:rsidRPr="00561F65">
        <w:t>19, art.</w:t>
      </w:r>
      <w:r w:rsidR="00F9183B" w:rsidRPr="00561F65">
        <w:t> </w:t>
      </w:r>
      <w:r w:rsidRPr="00561F65">
        <w:t>11.</w:t>
      </w:r>
    </w:p>
  </w:footnote>
  <w:footnote w:id="24">
    <w:p w14:paraId="7C0BF212" w14:textId="6188414C" w:rsidR="00390853" w:rsidRPr="00561F65" w:rsidRDefault="00390853" w:rsidP="004E4354">
      <w:pPr>
        <w:pStyle w:val="NotesBasPage"/>
      </w:pPr>
      <w:r w:rsidRPr="00561F65">
        <w:rPr>
          <w:rStyle w:val="Appelnotedebasdep"/>
        </w:rPr>
        <w:footnoteRef/>
      </w:r>
      <w:r w:rsidRPr="00561F65">
        <w:t xml:space="preserve"> </w:t>
      </w:r>
      <w:r w:rsidRPr="00561F65">
        <w:tab/>
      </w:r>
      <w:r w:rsidR="00EE23ED" w:rsidRPr="00561F65">
        <w:rPr>
          <w:smallCaps/>
        </w:rPr>
        <w:t>Statistique Canada,</w:t>
      </w:r>
      <w:r w:rsidR="00EE23ED" w:rsidRPr="00561F65">
        <w:rPr>
          <w:rFonts w:ascii="Arial" w:hAnsi="Arial" w:cs="Arial"/>
          <w:smallCaps/>
        </w:rPr>
        <w:t> </w:t>
      </w:r>
      <w:r w:rsidR="00EE23ED" w:rsidRPr="00EE23ED">
        <w:rPr>
          <w:i/>
        </w:rPr>
        <w:t>Le</w:t>
      </w:r>
      <w:r w:rsidRPr="00EE23ED">
        <w:rPr>
          <w:i/>
          <w:iCs/>
        </w:rPr>
        <w:t xml:space="preserve"> Canada est le premier pays à produire des données sur les personnes transgenres et les personnes non binaires à l'aide du recensement</w:t>
      </w:r>
      <w:r w:rsidRPr="00561F65">
        <w:t xml:space="preserve">, 2022, [En ligne]. </w:t>
      </w:r>
      <w:hyperlink r:id="rId10" w:history="1">
        <w:r w:rsidR="00CB61EB" w:rsidRPr="00843B2F">
          <w:rPr>
            <w:rStyle w:val="Lienhypertexte"/>
          </w:rPr>
          <w:t>https://www150.statcan.gc.ca/n1/daily-quotidien/220427/dq220427b-fra.htm</w:t>
        </w:r>
      </w:hyperlink>
      <w:r w:rsidR="00CB61EB">
        <w:t xml:space="preserve"> </w:t>
      </w:r>
      <w:r w:rsidR="00F81F95" w:rsidRPr="00561F65">
        <w:t>(page consultée le 16</w:t>
      </w:r>
      <w:r w:rsidR="00460CE2" w:rsidRPr="00561F65">
        <w:t> </w:t>
      </w:r>
      <w:r w:rsidR="00F81F95" w:rsidRPr="00561F65">
        <w:t>décembre 2025).</w:t>
      </w:r>
      <w:r w:rsidRPr="00561F65">
        <w:t xml:space="preserve"> </w:t>
      </w:r>
    </w:p>
  </w:footnote>
  <w:footnote w:id="25">
    <w:p w14:paraId="715288BC" w14:textId="77777777" w:rsidR="00390853" w:rsidRPr="00561F65" w:rsidRDefault="00390853" w:rsidP="004E4354">
      <w:pPr>
        <w:pStyle w:val="NotesBasPage"/>
      </w:pPr>
      <w:r w:rsidRPr="00561F65">
        <w:rPr>
          <w:rStyle w:val="Appelnotedebasdep"/>
        </w:rPr>
        <w:footnoteRef/>
      </w:r>
      <w:r w:rsidRPr="00561F65">
        <w:t xml:space="preserve"> </w:t>
      </w:r>
      <w:r w:rsidRPr="00561F65">
        <w:tab/>
      </w:r>
      <w:r w:rsidRPr="00561F65">
        <w:rPr>
          <w:i/>
        </w:rPr>
        <w:t>Id.</w:t>
      </w:r>
    </w:p>
  </w:footnote>
  <w:footnote w:id="26">
    <w:p w14:paraId="0654793B" w14:textId="0DF37ED5" w:rsidR="00390853" w:rsidRPr="00561F65" w:rsidRDefault="00390853" w:rsidP="004E4354">
      <w:pPr>
        <w:pStyle w:val="NotesBasPage"/>
        <w:rPr>
          <w:smallCaps/>
        </w:rPr>
      </w:pPr>
      <w:r w:rsidRPr="00561F65">
        <w:rPr>
          <w:rStyle w:val="Appelnotedebasdep"/>
        </w:rPr>
        <w:footnoteRef/>
      </w:r>
      <w:r w:rsidRPr="00561F65">
        <w:t xml:space="preserve"> </w:t>
      </w:r>
      <w:r w:rsidRPr="00561F65">
        <w:tab/>
      </w:r>
      <w:r w:rsidRPr="00561F65">
        <w:rPr>
          <w:smallCaps/>
        </w:rPr>
        <w:t>Statistique Canada</w:t>
      </w:r>
      <w:r w:rsidRPr="00561F65">
        <w:t xml:space="preserve">, </w:t>
      </w:r>
      <w:r w:rsidRPr="00561F65">
        <w:rPr>
          <w:i/>
        </w:rPr>
        <w:t>Statistiques sur les crimes déclarés par la police au Canada, 2023</w:t>
      </w:r>
      <w:r w:rsidRPr="00561F65">
        <w:t>, 2024, produit n</w:t>
      </w:r>
      <w:r w:rsidRPr="00561F65">
        <w:rPr>
          <w:vertAlign w:val="superscript"/>
        </w:rPr>
        <w:t>o</w:t>
      </w:r>
      <w:r w:rsidR="00F9183B" w:rsidRPr="00561F65">
        <w:t> </w:t>
      </w:r>
      <w:r w:rsidRPr="00561F65">
        <w:t>2</w:t>
      </w:r>
      <w:r w:rsidR="00BB0290" w:rsidRPr="00561F65">
        <w:t> </w:t>
      </w:r>
      <w:r w:rsidRPr="00561F65">
        <w:t>11-001-X, p.</w:t>
      </w:r>
      <w:r w:rsidR="00F9183B" w:rsidRPr="00561F65">
        <w:t> </w:t>
      </w:r>
      <w:r w:rsidRPr="00561F65">
        <w:t xml:space="preserve">8, [En ligne]. </w:t>
      </w:r>
      <w:hyperlink r:id="rId11" w:history="1">
        <w:r w:rsidR="000A7F83" w:rsidRPr="00843B2F">
          <w:rPr>
            <w:rStyle w:val="Lienhypertexte"/>
          </w:rPr>
          <w:t>https://www150.statcan.gc.ca/n1/fr/daily-quotidien/240725/dq240725b-fra.pdf?st=GOX9otPf</w:t>
        </w:r>
      </w:hyperlink>
      <w:r w:rsidR="000A7F83">
        <w:t xml:space="preserve">  </w:t>
      </w:r>
      <w:r w:rsidR="00B12AD1" w:rsidRPr="00561F65">
        <w:t>(page consultée le 16</w:t>
      </w:r>
      <w:r w:rsidR="00460CE2" w:rsidRPr="00561F65">
        <w:t> </w:t>
      </w:r>
      <w:r w:rsidR="00B12AD1" w:rsidRPr="00561F65">
        <w:t>décembre 2025).</w:t>
      </w:r>
      <w:r w:rsidRPr="00561F65">
        <w:t xml:space="preserve"> </w:t>
      </w:r>
    </w:p>
  </w:footnote>
  <w:footnote w:id="27">
    <w:p w14:paraId="3D5E22CE" w14:textId="3F4759E2" w:rsidR="002A57D2" w:rsidRPr="00561F65" w:rsidRDefault="00390853" w:rsidP="004E4354">
      <w:pPr>
        <w:pStyle w:val="NotesBasPage"/>
      </w:pPr>
      <w:r w:rsidRPr="00561F65">
        <w:rPr>
          <w:rStyle w:val="Appelnotedebasdep"/>
        </w:rPr>
        <w:footnoteRef/>
      </w:r>
      <w:r w:rsidRPr="00561F65">
        <w:t xml:space="preserve"> </w:t>
      </w:r>
      <w:r w:rsidRPr="00561F65">
        <w:tab/>
      </w:r>
      <w:r w:rsidR="00673349" w:rsidRPr="00561F65">
        <w:t xml:space="preserve">Quentin </w:t>
      </w:r>
      <w:r w:rsidR="00673349" w:rsidRPr="00561F65">
        <w:rPr>
          <w:smallCaps/>
        </w:rPr>
        <w:t>Dufranne</w:t>
      </w:r>
      <w:r w:rsidR="004968E7">
        <w:rPr>
          <w:smallCaps/>
        </w:rPr>
        <w:t>,</w:t>
      </w:r>
      <w:r w:rsidR="00673349" w:rsidRPr="00561F65">
        <w:t xml:space="preserve"> «</w:t>
      </w:r>
      <w:r w:rsidR="0082681C" w:rsidRPr="00561F65">
        <w:rPr>
          <w:rFonts w:ascii="Arial" w:hAnsi="Arial" w:cs="Arial"/>
        </w:rPr>
        <w:t> </w:t>
      </w:r>
      <w:r w:rsidR="00673349" w:rsidRPr="00561F65">
        <w:t>Deux personnes LGBTQ+ victimes d’un guet-apens en Estrie</w:t>
      </w:r>
      <w:r w:rsidR="0082681C" w:rsidRPr="00561F65">
        <w:rPr>
          <w:rFonts w:ascii="Arial" w:hAnsi="Arial" w:cs="Arial"/>
        </w:rPr>
        <w:t> </w:t>
      </w:r>
      <w:r w:rsidR="00673349" w:rsidRPr="00561F65">
        <w:rPr>
          <w:rFonts w:ascii="Walbaum Heading" w:hAnsi="Walbaum Heading"/>
        </w:rPr>
        <w:t>»</w:t>
      </w:r>
      <w:r w:rsidR="00673349" w:rsidRPr="00561F65">
        <w:t xml:space="preserve">, </w:t>
      </w:r>
      <w:r w:rsidR="00673349" w:rsidRPr="00561F65">
        <w:rPr>
          <w:i/>
        </w:rPr>
        <w:t>La Presse</w:t>
      </w:r>
      <w:r w:rsidR="00673349" w:rsidRPr="00561F65">
        <w:t xml:space="preserve">, [En ligne]. </w:t>
      </w:r>
      <w:hyperlink r:id="rId12" w:anchor=":~:text=Deux%20hommes%20auraient%20%C3%A9t%C3%A9%20agress%C3%A9s%20dans%20la%20nuit%20de%20mercred" w:history="1">
        <w:r w:rsidR="001766C3" w:rsidRPr="00843B2F">
          <w:rPr>
            <w:rStyle w:val="Lienhypertexte"/>
          </w:rPr>
          <w:t>https://www.lapresse.ca/actualites/justice-et-faits-divers/2024-08-09/deux-personnes-lgbtq-victimes-d-un-guet-apens-en-estrie.php#:~:text=Deux%20hommes%20auraient%20%C3%A9t%C3%A9%20agress%C3%A9s%20dans%20la%20nuit%20de%20mercred</w:t>
        </w:r>
      </w:hyperlink>
      <w:r w:rsidR="00BB627E">
        <w:t xml:space="preserve"> </w:t>
      </w:r>
      <w:hyperlink r:id="rId13" w:anchor=":~:text=Deux%20hommes%20auraient%20%C3%A9t%C3%A9%20agress%C3%A9s%20dans%20la%20nuit%20de%20mercredi" w:history="1"/>
      <w:r w:rsidR="00607C21" w:rsidRPr="00561F65">
        <w:rPr>
          <w:rFonts w:ascii="Arial" w:hAnsi="Arial" w:cs="Arial"/>
        </w:rPr>
        <w:t> </w:t>
      </w:r>
      <w:r w:rsidR="006775DB" w:rsidRPr="00561F65">
        <w:t xml:space="preserve">; </w:t>
      </w:r>
      <w:r w:rsidR="005B7B49" w:rsidRPr="00561F65">
        <w:t xml:space="preserve">Quentin </w:t>
      </w:r>
      <w:r w:rsidR="005B7B49" w:rsidRPr="00561F65">
        <w:rPr>
          <w:smallCaps/>
        </w:rPr>
        <w:t>Dufranne</w:t>
      </w:r>
      <w:r w:rsidR="005B7B49" w:rsidRPr="00561F65">
        <w:t>, «</w:t>
      </w:r>
      <w:r w:rsidR="00607C21" w:rsidRPr="00561F65">
        <w:rPr>
          <w:rFonts w:ascii="Arial" w:hAnsi="Arial" w:cs="Arial"/>
        </w:rPr>
        <w:t> </w:t>
      </w:r>
      <w:r w:rsidR="00732999" w:rsidRPr="00561F65">
        <w:t>Attaques contre des personnes LGBTQ2+</w:t>
      </w:r>
      <w:r w:rsidR="003A2449" w:rsidRPr="00561F65">
        <w:t>, «</w:t>
      </w:r>
      <w:r w:rsidR="00732999" w:rsidRPr="00561F65">
        <w:t xml:space="preserve"> C’est à cette seconde-là que j’ai compris que c’était un guet-apens »</w:t>
      </w:r>
      <w:r w:rsidR="00607C21" w:rsidRPr="00561F65">
        <w:rPr>
          <w:rFonts w:ascii="Arial" w:hAnsi="Arial" w:cs="Arial"/>
        </w:rPr>
        <w:t> </w:t>
      </w:r>
      <w:r w:rsidR="00732999" w:rsidRPr="00561F65">
        <w:t>»</w:t>
      </w:r>
      <w:r w:rsidR="00607C21" w:rsidRPr="00561F65">
        <w:rPr>
          <w:rFonts w:ascii="Arial" w:hAnsi="Arial" w:cs="Arial"/>
        </w:rPr>
        <w:t> </w:t>
      </w:r>
      <w:r w:rsidR="00732999" w:rsidRPr="00561F65">
        <w:t xml:space="preserve">; </w:t>
      </w:r>
      <w:r w:rsidR="00D93807" w:rsidRPr="00561F65">
        <w:rPr>
          <w:i/>
        </w:rPr>
        <w:t>La Presse</w:t>
      </w:r>
      <w:r w:rsidR="00D93807" w:rsidRPr="00561F65">
        <w:t xml:space="preserve">, [En ligne]. </w:t>
      </w:r>
      <w:hyperlink r:id="rId14" w:anchor="%20:%20~%20:%20text%20=Les%20deux%20guets-apens%20ciblant%20des%20personnes%20issues%20des" w:history="1">
        <w:r w:rsidR="002A57D2" w:rsidRPr="00843B2F">
          <w:rPr>
            <w:rStyle w:val="Lienhypertexte"/>
          </w:rPr>
          <w:t>https://www.lapresse.ca/actualites/2024-08-31/attaques-contre-des-personnes-lgbtq2/c-est-a-cette-seconde-la-que-j-ai-compris-que-c-etait-un-guet-apens.php#%20:%20~%20:%20text%20=Les%20deux%20guets-apens%20ciblant%20des%20personnes%20issues%20des</w:t>
        </w:r>
      </w:hyperlink>
    </w:p>
  </w:footnote>
  <w:footnote w:id="28">
    <w:p w14:paraId="44288BA9" w14:textId="023F84B0" w:rsidR="00756C1D" w:rsidRPr="00561F65" w:rsidRDefault="00390853" w:rsidP="004E4354">
      <w:pPr>
        <w:pStyle w:val="NotesBasPage"/>
      </w:pPr>
      <w:r w:rsidRPr="00561F65">
        <w:rPr>
          <w:rStyle w:val="Appelnotedebasdep"/>
        </w:rPr>
        <w:footnoteRef/>
      </w:r>
      <w:r w:rsidRPr="00561F65">
        <w:t xml:space="preserve"> </w:t>
      </w:r>
      <w:r w:rsidRPr="00561F65">
        <w:tab/>
      </w:r>
      <w:r w:rsidR="0060128F" w:rsidRPr="00561F65">
        <w:t>Gabrielle</w:t>
      </w:r>
      <w:r w:rsidR="0060128F" w:rsidRPr="00561F65">
        <w:rPr>
          <w:smallCaps/>
        </w:rPr>
        <w:t xml:space="preserve"> </w:t>
      </w:r>
      <w:r w:rsidRPr="00561F65">
        <w:rPr>
          <w:smallCaps/>
        </w:rPr>
        <w:t>Richard</w:t>
      </w:r>
      <w:r w:rsidRPr="00561F65">
        <w:t xml:space="preserve">, Alexis </w:t>
      </w:r>
      <w:r w:rsidRPr="00561F65">
        <w:rPr>
          <w:smallCaps/>
        </w:rPr>
        <w:t>Graindorge</w:t>
      </w:r>
      <w:r w:rsidRPr="00561F65">
        <w:t xml:space="preserve">, Amélie </w:t>
      </w:r>
      <w:r w:rsidRPr="00561F65">
        <w:rPr>
          <w:smallCaps/>
        </w:rPr>
        <w:t>Charbonneau</w:t>
      </w:r>
      <w:r w:rsidRPr="00561F65">
        <w:t xml:space="preserve">, Olivier </w:t>
      </w:r>
      <w:r w:rsidRPr="00561F65">
        <w:rPr>
          <w:smallCaps/>
        </w:rPr>
        <w:t>Vallerand</w:t>
      </w:r>
      <w:r w:rsidRPr="00561F65">
        <w:t xml:space="preserve"> et Marie </w:t>
      </w:r>
      <w:r w:rsidRPr="00561F65">
        <w:rPr>
          <w:smallCaps/>
        </w:rPr>
        <w:t>Houzeau</w:t>
      </w:r>
      <w:r w:rsidRPr="00561F65">
        <w:t xml:space="preserve">, </w:t>
      </w:r>
      <w:r w:rsidRPr="00561F65">
        <w:rPr>
          <w:i/>
        </w:rPr>
        <w:t>Augmentation des niveaux de malaise. Ce que les élèves du secondaire pensent de la diversité sexuelle, 2017-2024</w:t>
      </w:r>
      <w:r w:rsidRPr="00561F65">
        <w:t xml:space="preserve">, 2025, GRIS-Montréal, </w:t>
      </w:r>
      <w:r w:rsidR="0089167C" w:rsidRPr="00561F65">
        <w:t>[E</w:t>
      </w:r>
      <w:r w:rsidRPr="00561F65">
        <w:t>n ligne</w:t>
      </w:r>
      <w:r w:rsidR="0089167C" w:rsidRPr="00561F65">
        <w:t>].</w:t>
      </w:r>
      <w:r w:rsidRPr="00561F65">
        <w:t xml:space="preserve"> </w:t>
      </w:r>
      <w:hyperlink r:id="rId15" w:history="1">
        <w:r w:rsidR="00756C1D" w:rsidRPr="00843B2F">
          <w:rPr>
            <w:rStyle w:val="Lienhypertexte"/>
          </w:rPr>
          <w:t>https://www.gris.ca/app/uploads/2025/01/GRIS_rapport-final_30jan2025.pdf</w:t>
        </w:r>
      </w:hyperlink>
    </w:p>
    <w:p w14:paraId="5C936870" w14:textId="4C501C67" w:rsidR="001012F7" w:rsidRPr="00561F65" w:rsidRDefault="00D815E5" w:rsidP="004E4354">
      <w:pPr>
        <w:pStyle w:val="NotesBasPage"/>
      </w:pPr>
      <w:r w:rsidRPr="00561F65">
        <w:tab/>
      </w:r>
      <w:r w:rsidR="00390853" w:rsidRPr="00561F65">
        <w:t xml:space="preserve">Voir aussi : Anne-Sophie </w:t>
      </w:r>
      <w:r w:rsidR="00390853" w:rsidRPr="00561F65">
        <w:rPr>
          <w:smallCaps/>
        </w:rPr>
        <w:t>Poiré</w:t>
      </w:r>
      <w:r w:rsidR="00390853" w:rsidRPr="00561F65">
        <w:t>, «</w:t>
      </w:r>
      <w:r w:rsidR="002D3AE6" w:rsidRPr="00561F65">
        <w:rPr>
          <w:rFonts w:ascii="Arial" w:hAnsi="Arial" w:cs="Arial"/>
        </w:rPr>
        <w:t> </w:t>
      </w:r>
      <w:r w:rsidR="00390853" w:rsidRPr="00561F65">
        <w:t>De plus en plus de jeunes ouvertement homophobes et transphobes à l’école</w:t>
      </w:r>
      <w:r w:rsidR="00577C83" w:rsidRPr="00561F65">
        <w:t> </w:t>
      </w:r>
      <w:r w:rsidR="00390853" w:rsidRPr="00561F65">
        <w:t>: «</w:t>
      </w:r>
      <w:r w:rsidR="00370E16" w:rsidRPr="00561F65">
        <w:rPr>
          <w:rFonts w:ascii="Arial" w:hAnsi="Arial" w:cs="Arial"/>
        </w:rPr>
        <w:t> </w:t>
      </w:r>
      <w:r w:rsidR="00390853" w:rsidRPr="00561F65">
        <w:t>C’est épeurant</w:t>
      </w:r>
      <w:r w:rsidR="00370E16" w:rsidRPr="00561F65">
        <w:rPr>
          <w:rFonts w:ascii="Arial" w:hAnsi="Arial" w:cs="Arial"/>
        </w:rPr>
        <w:t> </w:t>
      </w:r>
      <w:r w:rsidR="00390853" w:rsidRPr="00561F65">
        <w:t xml:space="preserve">», </w:t>
      </w:r>
      <w:r w:rsidR="00390853" w:rsidRPr="00561F65">
        <w:rPr>
          <w:i/>
        </w:rPr>
        <w:t>24</w:t>
      </w:r>
      <w:r w:rsidR="005516C0" w:rsidRPr="00561F65">
        <w:rPr>
          <w:i/>
        </w:rPr>
        <w:t> </w:t>
      </w:r>
      <w:r w:rsidR="00390853" w:rsidRPr="00561F65">
        <w:rPr>
          <w:i/>
        </w:rPr>
        <w:t>heures</w:t>
      </w:r>
      <w:r w:rsidR="00390853" w:rsidRPr="00561F65">
        <w:t>, 26</w:t>
      </w:r>
      <w:r w:rsidR="00937C69" w:rsidRPr="00561F65">
        <w:t> </w:t>
      </w:r>
      <w:r w:rsidR="00390853" w:rsidRPr="00561F65">
        <w:t>février 2024, [En ligne].</w:t>
      </w:r>
      <w:r w:rsidR="001012F7" w:rsidRPr="00860131">
        <w:rPr>
          <w:rFonts w:cs="Arial"/>
        </w:rPr>
        <w:t xml:space="preserve"> </w:t>
      </w:r>
      <w:hyperlink r:id="rId16" w:history="1">
        <w:r w:rsidR="00860131" w:rsidRPr="00860131">
          <w:rPr>
            <w:rStyle w:val="Lienhypertexte"/>
            <w:rFonts w:cs="Arial"/>
          </w:rPr>
          <w:t>https://www.24heures.ca/2024/02/26/de-plus-en-plus-dincidents-homophobes-et-transphobes-dans-les-ecoles-cest-surprenant-et-epeurant</w:t>
        </w:r>
      </w:hyperlink>
      <w:r w:rsidR="00F01F5E" w:rsidRPr="00561F65">
        <w:rPr>
          <w:rFonts w:ascii="Arial" w:hAnsi="Arial" w:cs="Arial"/>
        </w:rPr>
        <w:t> </w:t>
      </w:r>
      <w:r w:rsidR="00390853" w:rsidRPr="00561F65">
        <w:t xml:space="preserve">; Camille </w:t>
      </w:r>
      <w:r w:rsidR="00390853" w:rsidRPr="00561F65">
        <w:rPr>
          <w:smallCaps/>
        </w:rPr>
        <w:t>Kasisi-Monet</w:t>
      </w:r>
      <w:r w:rsidR="00390853" w:rsidRPr="00561F65">
        <w:t>, «</w:t>
      </w:r>
      <w:r w:rsidR="002D3AE6" w:rsidRPr="00561F65">
        <w:rPr>
          <w:rFonts w:ascii="Arial" w:hAnsi="Arial" w:cs="Arial"/>
        </w:rPr>
        <w:t> </w:t>
      </w:r>
      <w:r w:rsidR="00390853" w:rsidRPr="00561F65">
        <w:t>Des organismes déplorent la montée de la transphobie et de l’homophobie en Outaouais</w:t>
      </w:r>
      <w:r w:rsidR="002D3AE6" w:rsidRPr="00561F65">
        <w:rPr>
          <w:rFonts w:ascii="Arial" w:hAnsi="Arial" w:cs="Arial"/>
        </w:rPr>
        <w:t> </w:t>
      </w:r>
      <w:r w:rsidR="00390853" w:rsidRPr="00561F65">
        <w:t xml:space="preserve">», </w:t>
      </w:r>
      <w:r w:rsidR="00390853" w:rsidRPr="00561F65">
        <w:rPr>
          <w:i/>
        </w:rPr>
        <w:t>Radio-Canada</w:t>
      </w:r>
      <w:r w:rsidR="00390853" w:rsidRPr="00561F65">
        <w:t>, 2</w:t>
      </w:r>
      <w:r w:rsidR="00937C69" w:rsidRPr="00561F65">
        <w:t> </w:t>
      </w:r>
      <w:r w:rsidR="00390853" w:rsidRPr="00561F65">
        <w:t xml:space="preserve">août 2024, [En ligne]. </w:t>
      </w:r>
      <w:hyperlink r:id="rId17" w:history="1">
        <w:r w:rsidR="00860131" w:rsidRPr="00860131">
          <w:rPr>
            <w:rStyle w:val="Lienhypertexte"/>
            <w:rFonts w:cs="Arial"/>
          </w:rPr>
          <w:t>https://www.24heures.ca/2024/02/26/de-plus-en-plus-dincidents-homophobes-et-transphobes-dans-les-ecoles-cest-surprenant-et-epeurant</w:t>
        </w:r>
      </w:hyperlink>
      <w:r w:rsidR="006857A2">
        <w:rPr>
          <w:rFonts w:cs="Arial"/>
        </w:rPr>
        <w:t xml:space="preserve">; </w:t>
      </w:r>
      <w:r w:rsidR="00F01F5E" w:rsidRPr="00561F65">
        <w:rPr>
          <w:rFonts w:ascii="Arial" w:hAnsi="Arial" w:cs="Arial"/>
        </w:rPr>
        <w:t> </w:t>
      </w:r>
      <w:r w:rsidR="00390853" w:rsidRPr="00561F65">
        <w:t xml:space="preserve">; Camille </w:t>
      </w:r>
      <w:r w:rsidR="00390853" w:rsidRPr="00561F65">
        <w:rPr>
          <w:smallCaps/>
        </w:rPr>
        <w:t>Kasisi-Monet</w:t>
      </w:r>
      <w:r w:rsidR="00390853" w:rsidRPr="00561F65">
        <w:t>, «</w:t>
      </w:r>
      <w:r w:rsidR="002D3AE6" w:rsidRPr="00561F65">
        <w:rPr>
          <w:rFonts w:ascii="Arial" w:hAnsi="Arial" w:cs="Arial"/>
        </w:rPr>
        <w:t> </w:t>
      </w:r>
      <w:r w:rsidR="00390853" w:rsidRPr="00561F65">
        <w:t>Des organismes déplorent la montée de la transphobie et de l’homophobie en Outaouais</w:t>
      </w:r>
      <w:r w:rsidR="002D3AE6" w:rsidRPr="00561F65">
        <w:rPr>
          <w:rFonts w:ascii="Arial" w:hAnsi="Arial" w:cs="Arial"/>
        </w:rPr>
        <w:t> </w:t>
      </w:r>
      <w:r w:rsidR="00390853" w:rsidRPr="00561F65">
        <w:t xml:space="preserve">», </w:t>
      </w:r>
      <w:r w:rsidR="00390853" w:rsidRPr="00561F65">
        <w:rPr>
          <w:i/>
        </w:rPr>
        <w:t>Radio-Canada</w:t>
      </w:r>
      <w:r w:rsidR="00390853" w:rsidRPr="00561F65">
        <w:t>, 2</w:t>
      </w:r>
      <w:r w:rsidR="00937C69" w:rsidRPr="00561F65">
        <w:t> </w:t>
      </w:r>
      <w:r w:rsidR="00390853" w:rsidRPr="00561F65">
        <w:t xml:space="preserve">août 2024, [En ligne]. </w:t>
      </w:r>
      <w:hyperlink r:id="rId18" w:history="1">
        <w:r w:rsidR="00F3543F" w:rsidRPr="00860131">
          <w:rPr>
            <w:rStyle w:val="Lienhypertexte"/>
          </w:rPr>
          <w:t>https://ici.radio-canada.ca/nouvelle/2093742/transphobie-homophobie-fierte-diversite-ottawa-gatineau</w:t>
        </w:r>
      </w:hyperlink>
    </w:p>
  </w:footnote>
  <w:footnote w:id="29">
    <w:p w14:paraId="65DB390F" w14:textId="63ADDFA3" w:rsidR="00DB5185" w:rsidRPr="00561F65" w:rsidRDefault="00390853" w:rsidP="004E4354">
      <w:pPr>
        <w:pStyle w:val="NotesBasPage"/>
      </w:pPr>
      <w:r w:rsidRPr="00561F65">
        <w:rPr>
          <w:rStyle w:val="Appelnotedebasdep"/>
        </w:rPr>
        <w:footnoteRef/>
      </w:r>
      <w:r w:rsidRPr="00561F65">
        <w:t xml:space="preserve"> </w:t>
      </w:r>
      <w:r w:rsidRPr="00561F65">
        <w:tab/>
      </w:r>
      <w:r w:rsidRPr="000C5766">
        <w:rPr>
          <w:i/>
          <w:iCs/>
        </w:rPr>
        <w:t>Id</w:t>
      </w:r>
      <w:r w:rsidRPr="00561F65">
        <w:t>.</w:t>
      </w:r>
      <w:r w:rsidR="00F01F5E" w:rsidRPr="00561F65">
        <w:rPr>
          <w:rFonts w:ascii="Arial" w:hAnsi="Arial" w:cs="Arial"/>
        </w:rPr>
        <w:t> </w:t>
      </w:r>
      <w:r w:rsidRPr="00561F65">
        <w:t xml:space="preserve">; </w:t>
      </w:r>
      <w:r w:rsidRPr="00561F65">
        <w:rPr>
          <w:smallCaps/>
        </w:rPr>
        <w:t>Gouvernement du Québec</w:t>
      </w:r>
      <w:r w:rsidRPr="00561F65">
        <w:t xml:space="preserve">, </w:t>
      </w:r>
      <w:r w:rsidR="00B7573B" w:rsidRPr="00913E55">
        <w:rPr>
          <w:i/>
          <w:iCs/>
        </w:rPr>
        <w:t xml:space="preserve">Un Québec engagé pour l’inclusion, le respect des droits et le bien-être des personnes de la diversité sexuelle et de genre, </w:t>
      </w:r>
      <w:r w:rsidRPr="00913E55">
        <w:rPr>
          <w:i/>
          <w:iCs/>
        </w:rPr>
        <w:t>Plan d’action gouvernementale de lutte contre l’homophobie et la transphobie 2023-2028</w:t>
      </w:r>
      <w:r w:rsidRPr="00561F65">
        <w:t>, 2023, p.</w:t>
      </w:r>
      <w:r w:rsidR="00F9183B" w:rsidRPr="00561F65">
        <w:t> </w:t>
      </w:r>
      <w:r w:rsidRPr="00561F65">
        <w:t xml:space="preserve">9, [En ligne]. </w:t>
      </w:r>
      <w:hyperlink r:id="rId19" w:history="1">
        <w:r w:rsidR="00DB5185" w:rsidRPr="00843B2F">
          <w:rPr>
            <w:rStyle w:val="Lienhypertexte"/>
          </w:rPr>
          <w:t>https://cdn-contenu.quebec.ca/cdn-contenu/adm/gouv/homophobie-transphobie/PL-plan-action-homophobie-transphobie-2023-2028-BLCHT.pdf</w:t>
        </w:r>
      </w:hyperlink>
      <w:r w:rsidR="00BD40FA" w:rsidRPr="00561F65">
        <w:t xml:space="preserve"> </w:t>
      </w:r>
    </w:p>
  </w:footnote>
  <w:footnote w:id="30">
    <w:p w14:paraId="377DF8B6" w14:textId="4F5AFCD1" w:rsidR="00390853" w:rsidRPr="00561F65" w:rsidRDefault="00390853" w:rsidP="004E4354">
      <w:pPr>
        <w:pStyle w:val="NotesBasPage"/>
      </w:pPr>
      <w:r w:rsidRPr="00561F65">
        <w:rPr>
          <w:rStyle w:val="Appelnotedebasdep"/>
        </w:rPr>
        <w:footnoteRef/>
      </w:r>
      <w:r w:rsidRPr="00561F65">
        <w:t xml:space="preserve"> </w:t>
      </w:r>
      <w:r w:rsidRPr="00561F65">
        <w:tab/>
      </w:r>
      <w:r w:rsidRPr="00561F65">
        <w:rPr>
          <w:smallCaps/>
        </w:rPr>
        <w:t>Radio-Canada</w:t>
      </w:r>
      <w:r w:rsidRPr="00561F65">
        <w:t>, «</w:t>
      </w:r>
      <w:r w:rsidR="002D3AE6" w:rsidRPr="00561F65">
        <w:rPr>
          <w:rFonts w:ascii="Arial" w:hAnsi="Arial" w:cs="Arial"/>
        </w:rPr>
        <w:t> </w:t>
      </w:r>
      <w:r w:rsidRPr="00561F65">
        <w:t>La sécurité est renforcée au Festival Fierté Montréal</w:t>
      </w:r>
      <w:r w:rsidR="002D3AE6" w:rsidRPr="00561F65">
        <w:rPr>
          <w:rFonts w:ascii="Arial" w:hAnsi="Arial" w:cs="Arial"/>
        </w:rPr>
        <w:t> </w:t>
      </w:r>
      <w:r w:rsidRPr="00561F65">
        <w:t>», 2</w:t>
      </w:r>
      <w:r w:rsidR="00937C69" w:rsidRPr="00561F65">
        <w:t> </w:t>
      </w:r>
      <w:r w:rsidRPr="00561F65">
        <w:t>août 2024, [En ligne].</w:t>
      </w:r>
      <w:r w:rsidR="00E67B1D" w:rsidRPr="00E67B1D">
        <w:t xml:space="preserve"> </w:t>
      </w:r>
      <w:hyperlink r:id="rId20" w:history="1">
        <w:r w:rsidR="00E67B1D" w:rsidRPr="00843B2F">
          <w:rPr>
            <w:rStyle w:val="Lienhypertexte"/>
          </w:rPr>
          <w:t>https://ici.radio-canada.ca/nouvelle/2093741/securite-renforcee-festival-fierte-montreal</w:t>
        </w:r>
      </w:hyperlink>
      <w:r w:rsidRPr="00561F65">
        <w:t xml:space="preserve"> </w:t>
      </w:r>
    </w:p>
  </w:footnote>
  <w:footnote w:id="31">
    <w:p w14:paraId="5F01B672" w14:textId="578AD946" w:rsidR="00D9014E" w:rsidRPr="00561F65" w:rsidRDefault="00390853" w:rsidP="004E4354">
      <w:pPr>
        <w:pStyle w:val="NotesBasPage"/>
      </w:pPr>
      <w:r w:rsidRPr="00561F65">
        <w:rPr>
          <w:rStyle w:val="Appelnotedebasdep"/>
        </w:rPr>
        <w:footnoteRef/>
      </w:r>
      <w:r w:rsidR="00092286">
        <w:rPr>
          <w:smallCaps/>
        </w:rPr>
        <w:t xml:space="preserve"> </w:t>
      </w:r>
      <w:r w:rsidR="00092286">
        <w:rPr>
          <w:smallCaps/>
        </w:rPr>
        <w:tab/>
      </w:r>
      <w:r w:rsidRPr="00561F65">
        <w:rPr>
          <w:smallCaps/>
        </w:rPr>
        <w:t>SEGMA Recherche</w:t>
      </w:r>
      <w:r w:rsidRPr="00561F65">
        <w:t xml:space="preserve">, </w:t>
      </w:r>
      <w:r w:rsidRPr="00561F65">
        <w:rPr>
          <w:i/>
        </w:rPr>
        <w:t>Sondage populationnel à l’égard de la diversité sexuelle et de genre : Attitude et perception des Québécois.es</w:t>
      </w:r>
      <w:r w:rsidRPr="00561F65">
        <w:t>, Secrétariat à la condition féminine, 2024, p.</w:t>
      </w:r>
      <w:r w:rsidR="00F9183B" w:rsidRPr="00561F65">
        <w:t> </w:t>
      </w:r>
      <w:r w:rsidRPr="00561F65">
        <w:t xml:space="preserve">19, </w:t>
      </w:r>
      <w:r w:rsidR="003C225D" w:rsidRPr="00561F65">
        <w:t>[E</w:t>
      </w:r>
      <w:r w:rsidRPr="00561F65">
        <w:t>n ligne</w:t>
      </w:r>
      <w:r w:rsidR="003C225D" w:rsidRPr="00561F65">
        <w:t>].</w:t>
      </w:r>
      <w:r w:rsidRPr="00561F65">
        <w:t xml:space="preserve"> </w:t>
      </w:r>
      <w:hyperlink r:id="rId21" w:history="1">
        <w:r w:rsidR="00D9014E" w:rsidRPr="00843B2F">
          <w:rPr>
            <w:rStyle w:val="Lienhypertexte"/>
          </w:rPr>
          <w:t>https://cdn-contenu.quebec.ca/cdn-contenu/adm/gouv/homophobie-transphobie/RA-sondage-populationnel-diversite-sexuelle-genre-BLCHT.pdf</w:t>
        </w:r>
      </w:hyperlink>
    </w:p>
  </w:footnote>
  <w:footnote w:id="32">
    <w:p w14:paraId="2D7A9A32" w14:textId="425CE63C" w:rsidR="003255A5" w:rsidRPr="00561F65" w:rsidRDefault="00390853" w:rsidP="004E4354">
      <w:pPr>
        <w:pStyle w:val="NotesBasPage"/>
      </w:pPr>
      <w:r w:rsidRPr="00561F65">
        <w:rPr>
          <w:rStyle w:val="Appelnotedebasdep"/>
        </w:rPr>
        <w:footnoteRef/>
      </w:r>
      <w:r w:rsidRPr="00561F65">
        <w:t xml:space="preserve"> </w:t>
      </w:r>
      <w:r w:rsidRPr="00561F65">
        <w:tab/>
        <w:t xml:space="preserve">Charles-Éric </w:t>
      </w:r>
      <w:r w:rsidRPr="00561F65">
        <w:rPr>
          <w:smallCaps/>
        </w:rPr>
        <w:t>Blais-Poulin</w:t>
      </w:r>
      <w:r w:rsidRPr="00561F65">
        <w:t>, «</w:t>
      </w:r>
      <w:r w:rsidR="002D3AE6" w:rsidRPr="00561F65">
        <w:rPr>
          <w:rFonts w:ascii="Arial" w:hAnsi="Arial" w:cs="Arial"/>
        </w:rPr>
        <w:t> </w:t>
      </w:r>
      <w:r w:rsidRPr="00561F65">
        <w:t>Une vague « Nous sommes Fred » à Postes Canada</w:t>
      </w:r>
      <w:r w:rsidR="002D3AE6" w:rsidRPr="00561F65">
        <w:rPr>
          <w:rFonts w:ascii="Arial" w:hAnsi="Arial" w:cs="Arial"/>
        </w:rPr>
        <w:t> </w:t>
      </w:r>
      <w:r w:rsidRPr="00561F65">
        <w:t xml:space="preserve">», </w:t>
      </w:r>
      <w:r w:rsidRPr="00561F65">
        <w:rPr>
          <w:i/>
        </w:rPr>
        <w:t>La Presse</w:t>
      </w:r>
      <w:r w:rsidRPr="00561F65">
        <w:t>, 13</w:t>
      </w:r>
      <w:r w:rsidR="00937C69" w:rsidRPr="00561F65">
        <w:t> </w:t>
      </w:r>
      <w:r w:rsidRPr="00561F65">
        <w:t xml:space="preserve">juillet 2024, [En ligne]. </w:t>
      </w:r>
      <w:hyperlink r:id="rId22" w:history="1">
        <w:r w:rsidR="003255A5" w:rsidRPr="007912CF">
          <w:rPr>
            <w:rStyle w:val="Lienhypertexte"/>
          </w:rPr>
          <w:t>https://www.lapresse.ca/actualites/2024-07-13/graffitis-homophobes/une-vague-nous-sommes-fred-a-postes-canada.php</w:t>
        </w:r>
      </w:hyperlink>
    </w:p>
  </w:footnote>
  <w:footnote w:id="33">
    <w:p w14:paraId="54EC9AAC" w14:textId="062A0F13" w:rsidR="009F6908" w:rsidRPr="00561F65" w:rsidRDefault="00390853" w:rsidP="004E4354">
      <w:pPr>
        <w:pStyle w:val="NotesBasPage"/>
      </w:pPr>
      <w:r w:rsidRPr="00561F65">
        <w:rPr>
          <w:rStyle w:val="Appelnotedebasdep"/>
        </w:rPr>
        <w:footnoteRef/>
      </w:r>
      <w:r w:rsidRPr="00561F65">
        <w:t xml:space="preserve"> </w:t>
      </w:r>
      <w:r w:rsidRPr="00561F65">
        <w:tab/>
        <w:t xml:space="preserve">Isabelle </w:t>
      </w:r>
      <w:r w:rsidRPr="00561F65">
        <w:rPr>
          <w:smallCaps/>
        </w:rPr>
        <w:t>Hachey</w:t>
      </w:r>
      <w:r w:rsidRPr="00561F65">
        <w:t>, «</w:t>
      </w:r>
      <w:r w:rsidR="002D3AE6" w:rsidRPr="00561F65">
        <w:rPr>
          <w:rFonts w:ascii="Arial" w:hAnsi="Arial" w:cs="Arial"/>
        </w:rPr>
        <w:t> </w:t>
      </w:r>
      <w:r w:rsidRPr="00561F65">
        <w:t xml:space="preserve">L’homme qui fait trembler </w:t>
      </w:r>
      <w:proofErr w:type="spellStart"/>
      <w:r w:rsidRPr="00561F65">
        <w:t>Corporate</w:t>
      </w:r>
      <w:proofErr w:type="spellEnd"/>
      <w:r w:rsidRPr="00561F65">
        <w:t xml:space="preserve"> America</w:t>
      </w:r>
      <w:r w:rsidR="002D3AE6" w:rsidRPr="00561F65">
        <w:rPr>
          <w:rFonts w:ascii="Arial" w:hAnsi="Arial" w:cs="Arial"/>
        </w:rPr>
        <w:t> </w:t>
      </w:r>
      <w:r w:rsidRPr="00561F65">
        <w:t xml:space="preserve">», </w:t>
      </w:r>
      <w:r w:rsidRPr="00561F65">
        <w:rPr>
          <w:i/>
        </w:rPr>
        <w:t>La Presse</w:t>
      </w:r>
      <w:r w:rsidRPr="00561F65">
        <w:t>, 29</w:t>
      </w:r>
      <w:r w:rsidR="00937C69" w:rsidRPr="00561F65">
        <w:t> </w:t>
      </w:r>
      <w:r w:rsidRPr="00561F65">
        <w:t>août 2024, [En ligne].</w:t>
      </w:r>
      <w:r w:rsidR="00216FE3" w:rsidRPr="00561F65">
        <w:t xml:space="preserve"> </w:t>
      </w:r>
      <w:hyperlink r:id="rId23" w:history="1">
        <w:r w:rsidR="00643741" w:rsidRPr="007912CF">
          <w:rPr>
            <w:rStyle w:val="Lienhypertexte"/>
          </w:rPr>
          <w:t>https://www.lapresse.ca/international/chroniques/2024-08-29/l-homme-qui-fait-trembler-corporate-america.php</w:t>
        </w:r>
      </w:hyperlink>
      <w:hyperlink r:id="rId24" w:history="1">
        <w:r w:rsidR="00643741" w:rsidRPr="007912CF">
          <w:rPr>
            <w:rStyle w:val="Lienhypertexte"/>
          </w:rPr>
          <w:t>https://www.lapresse.ca/international/chroniques/2024-08-29/l-homme-qui-fait-trembler-corporate-america.php</w:t>
        </w:r>
      </w:hyperlink>
      <w:r w:rsidR="00216FE3" w:rsidRPr="00561F65">
        <w:t xml:space="preserve">; </w:t>
      </w:r>
      <w:proofErr w:type="spellStart"/>
      <w:r w:rsidRPr="00561F65">
        <w:t>Nathaëlle</w:t>
      </w:r>
      <w:proofErr w:type="spellEnd"/>
      <w:r w:rsidRPr="00561F65">
        <w:t xml:space="preserve"> </w:t>
      </w:r>
      <w:r w:rsidRPr="00561F65">
        <w:rPr>
          <w:smallCaps/>
        </w:rPr>
        <w:t>Morissette</w:t>
      </w:r>
      <w:r w:rsidRPr="00561F65">
        <w:t>, «</w:t>
      </w:r>
      <w:r w:rsidR="002D3AE6" w:rsidRPr="00561F65">
        <w:rPr>
          <w:rFonts w:ascii="Arial" w:hAnsi="Arial" w:cs="Arial"/>
        </w:rPr>
        <w:t> </w:t>
      </w:r>
      <w:r w:rsidRPr="00561F65">
        <w:t>Politiques de diversité : Molson Coors prend ses distances</w:t>
      </w:r>
      <w:r w:rsidR="002D3AE6" w:rsidRPr="00561F65">
        <w:rPr>
          <w:rFonts w:ascii="Arial" w:hAnsi="Arial" w:cs="Arial"/>
        </w:rPr>
        <w:t> </w:t>
      </w:r>
      <w:r w:rsidRPr="00561F65">
        <w:t xml:space="preserve">», </w:t>
      </w:r>
      <w:r w:rsidRPr="00561F65">
        <w:rPr>
          <w:i/>
        </w:rPr>
        <w:t>La Presse</w:t>
      </w:r>
      <w:r w:rsidRPr="00561F65">
        <w:t>, 6</w:t>
      </w:r>
      <w:r w:rsidR="00937C69" w:rsidRPr="00561F65">
        <w:t> </w:t>
      </w:r>
      <w:r w:rsidRPr="00561F65">
        <w:t>septembre 2024, [En ligne].</w:t>
      </w:r>
      <w:r w:rsidR="005C293F" w:rsidRPr="00561F65">
        <w:rPr>
          <w:rFonts w:ascii="Arial" w:hAnsi="Arial" w:cs="Arial"/>
        </w:rPr>
        <w:t> </w:t>
      </w:r>
      <w:r w:rsidR="00216FE3" w:rsidRPr="00561F65">
        <w:t xml:space="preserve">; </w:t>
      </w:r>
      <w:proofErr w:type="spellStart"/>
      <w:r w:rsidRPr="00561F65">
        <w:t>Nathaëlle</w:t>
      </w:r>
      <w:proofErr w:type="spellEnd"/>
      <w:r w:rsidRPr="00561F65">
        <w:t xml:space="preserve"> </w:t>
      </w:r>
      <w:r w:rsidRPr="00561F65">
        <w:rPr>
          <w:smallCaps/>
        </w:rPr>
        <w:t>Morissette</w:t>
      </w:r>
      <w:r w:rsidRPr="00561F65">
        <w:t>, «</w:t>
      </w:r>
      <w:r w:rsidR="002D3AE6" w:rsidRPr="00561F65">
        <w:rPr>
          <w:rFonts w:ascii="Arial" w:hAnsi="Arial" w:cs="Arial"/>
        </w:rPr>
        <w:t> </w:t>
      </w:r>
      <w:r w:rsidRPr="00561F65">
        <w:t>Politiques de diversité : Molson Coors prend ses distances</w:t>
      </w:r>
      <w:r w:rsidR="002D3AE6" w:rsidRPr="00561F65">
        <w:rPr>
          <w:rFonts w:ascii="Arial" w:hAnsi="Arial" w:cs="Arial"/>
        </w:rPr>
        <w:t> </w:t>
      </w:r>
      <w:r w:rsidRPr="00561F65">
        <w:t xml:space="preserve">», </w:t>
      </w:r>
      <w:r w:rsidRPr="00561F65">
        <w:rPr>
          <w:i/>
        </w:rPr>
        <w:t>La Presse</w:t>
      </w:r>
      <w:r w:rsidRPr="00561F65">
        <w:t>, 6</w:t>
      </w:r>
      <w:r w:rsidR="00937C69" w:rsidRPr="00561F65">
        <w:t> </w:t>
      </w:r>
      <w:r w:rsidRPr="00561F65">
        <w:t>septembre 2024, [En ligne].</w:t>
      </w:r>
      <w:r w:rsidR="00D65512">
        <w:t xml:space="preserve"> </w:t>
      </w:r>
      <w:hyperlink r:id="rId25" w:history="1">
        <w:r w:rsidR="009F6908" w:rsidRPr="007912CF">
          <w:rPr>
            <w:rStyle w:val="Lienhypertexte"/>
          </w:rPr>
          <w:t>https://www.lapresse.ca/affaires/entreprises/2024-09-06/politiques-de-diversite/molson-coors-prend-ses-distances.php</w:t>
        </w:r>
      </w:hyperlink>
    </w:p>
  </w:footnote>
  <w:footnote w:id="34">
    <w:p w14:paraId="5119601A" w14:textId="482D4D3F" w:rsidR="00390853" w:rsidRPr="00561F65" w:rsidRDefault="00390853" w:rsidP="004E4354">
      <w:pPr>
        <w:pStyle w:val="NotesBasPage"/>
      </w:pPr>
      <w:r w:rsidRPr="00561F65">
        <w:rPr>
          <w:rStyle w:val="Appelnotedebasdep"/>
        </w:rPr>
        <w:footnoteRef/>
      </w:r>
      <w:r w:rsidRPr="00561F65">
        <w:t xml:space="preserve"> </w:t>
      </w:r>
      <w:r w:rsidR="00D815E5" w:rsidRPr="00561F65">
        <w:tab/>
      </w:r>
      <w:r w:rsidRPr="00561F65">
        <w:t xml:space="preserve">Katrine </w:t>
      </w:r>
      <w:r w:rsidRPr="00561F65">
        <w:rPr>
          <w:smallCaps/>
          <w:sz w:val="16"/>
          <w:szCs w:val="16"/>
        </w:rPr>
        <w:t>D</w:t>
      </w:r>
      <w:r w:rsidR="008F35F2" w:rsidRPr="00561F65">
        <w:rPr>
          <w:smallCaps/>
          <w:sz w:val="16"/>
          <w:szCs w:val="16"/>
        </w:rPr>
        <w:t>esautels</w:t>
      </w:r>
      <w:r w:rsidR="00C928EF" w:rsidRPr="00561F65">
        <w:t>,</w:t>
      </w:r>
      <w:r w:rsidRPr="00561F65">
        <w:t xml:space="preserve"> «</w:t>
      </w:r>
      <w:r w:rsidR="002D3AE6" w:rsidRPr="00561F65">
        <w:rPr>
          <w:rFonts w:ascii="Arial" w:hAnsi="Arial" w:cs="Arial"/>
        </w:rPr>
        <w:t> </w:t>
      </w:r>
      <w:r w:rsidRPr="00561F65">
        <w:t>Les trans subissent les contrecoups de la désinformation sur l’identité de genre</w:t>
      </w:r>
      <w:r w:rsidR="002D3AE6" w:rsidRPr="00561F65">
        <w:rPr>
          <w:rFonts w:ascii="Arial" w:hAnsi="Arial" w:cs="Arial"/>
        </w:rPr>
        <w:t> </w:t>
      </w:r>
      <w:r w:rsidRPr="00561F65">
        <w:t xml:space="preserve">», </w:t>
      </w:r>
      <w:r w:rsidRPr="00561F65">
        <w:rPr>
          <w:i/>
        </w:rPr>
        <w:t>Le Devoir</w:t>
      </w:r>
      <w:r w:rsidRPr="00561F65">
        <w:t>, 18</w:t>
      </w:r>
      <w:r w:rsidR="00937C69" w:rsidRPr="00561F65">
        <w:t> </w:t>
      </w:r>
      <w:r w:rsidRPr="00561F65">
        <w:t xml:space="preserve">mars 2024, [En ligne]. </w:t>
      </w:r>
      <w:hyperlink r:id="rId26" w:history="1">
        <w:r w:rsidRPr="009F6908">
          <w:rPr>
            <w:rStyle w:val="Lienhypertexte"/>
          </w:rPr>
          <w:t>https://www.ledevoir.com/societe/sante/809214/societe-trans-subissent-contrecoups-desinformation-identite-genre</w:t>
        </w:r>
      </w:hyperlink>
      <w:r w:rsidRPr="00561F65">
        <w:t xml:space="preserve"> </w:t>
      </w:r>
    </w:p>
  </w:footnote>
  <w:footnote w:id="35">
    <w:p w14:paraId="32973B11" w14:textId="2024C853" w:rsidR="00F3432C" w:rsidRPr="00561F65" w:rsidRDefault="00390853" w:rsidP="004E4354">
      <w:pPr>
        <w:pStyle w:val="NotesBasPage"/>
      </w:pPr>
      <w:r w:rsidRPr="00561F65">
        <w:rPr>
          <w:rStyle w:val="Appelnotedebasdep"/>
        </w:rPr>
        <w:footnoteRef/>
      </w:r>
      <w:r w:rsidR="0093377D">
        <w:t xml:space="preserve"> </w:t>
      </w:r>
      <w:r w:rsidR="0093377D">
        <w:tab/>
      </w:r>
      <w:r w:rsidRPr="00561F65">
        <w:t>C</w:t>
      </w:r>
      <w:r w:rsidRPr="00561F65">
        <w:rPr>
          <w:smallCaps/>
        </w:rPr>
        <w:t>ommission des droits de la personne et des droits de la jeunesse</w:t>
      </w:r>
      <w:r w:rsidRPr="00561F65">
        <w:t xml:space="preserve">, </w:t>
      </w:r>
      <w:r w:rsidRPr="00561F65">
        <w:rPr>
          <w:i/>
        </w:rPr>
        <w:t>Mémoire au Comité de sages sur l’identité de genre</w:t>
      </w:r>
      <w:r w:rsidRPr="00561F65">
        <w:t>, 2024, p.</w:t>
      </w:r>
      <w:r w:rsidR="00F9183B" w:rsidRPr="00561F65">
        <w:t> </w:t>
      </w:r>
      <w:r w:rsidRPr="00561F65">
        <w:t xml:space="preserve">9, [En ligne]. </w:t>
      </w:r>
      <w:hyperlink r:id="rId27" w:history="1">
        <w:r w:rsidR="00F3432C" w:rsidRPr="007912CF">
          <w:rPr>
            <w:rStyle w:val="Lienhypertexte"/>
          </w:rPr>
          <w:t>https://www.cdpdj.qc.ca/storage/app/media/publications/memoire-identite-genre.pdf</w:t>
        </w:r>
      </w:hyperlink>
    </w:p>
  </w:footnote>
  <w:footnote w:id="36">
    <w:p w14:paraId="7C39623C" w14:textId="384903B5" w:rsidR="003D55E7" w:rsidRPr="00561F65" w:rsidRDefault="00390853" w:rsidP="004E4354">
      <w:pPr>
        <w:pStyle w:val="NotesBasPage"/>
        <w:rPr>
          <w:smallCaps/>
        </w:rPr>
      </w:pPr>
      <w:r w:rsidRPr="00561F65">
        <w:rPr>
          <w:rStyle w:val="Appelnotedebasdep"/>
        </w:rPr>
        <w:footnoteRef/>
      </w:r>
      <w:r w:rsidR="00C422B5">
        <w:rPr>
          <w:smallCaps/>
        </w:rPr>
        <w:tab/>
      </w:r>
      <w:r w:rsidR="00D815E5" w:rsidRPr="00561F65">
        <w:tab/>
      </w:r>
      <w:r w:rsidRPr="00561F65">
        <w:rPr>
          <w:smallCaps/>
        </w:rPr>
        <w:t>Comité de sages sur l’identité de genre</w:t>
      </w:r>
      <w:r w:rsidRPr="00561F65">
        <w:rPr>
          <w:i/>
          <w:smallCaps/>
        </w:rPr>
        <w:t xml:space="preserve">, </w:t>
      </w:r>
      <w:r w:rsidRPr="00561F65">
        <w:rPr>
          <w:i/>
        </w:rPr>
        <w:t>Rapport du Comité de sages sur l’identité de genre - Volume</w:t>
      </w:r>
      <w:r w:rsidR="00F9183B" w:rsidRPr="00561F65">
        <w:rPr>
          <w:i/>
        </w:rPr>
        <w:t> </w:t>
      </w:r>
      <w:r w:rsidRPr="00561F65">
        <w:rPr>
          <w:i/>
        </w:rPr>
        <w:t>1</w:t>
      </w:r>
      <w:r w:rsidRPr="00561F65">
        <w:rPr>
          <w:smallCaps/>
        </w:rPr>
        <w:t xml:space="preserve">, 2025, </w:t>
      </w:r>
      <w:r w:rsidRPr="00561F65">
        <w:t>p.</w:t>
      </w:r>
      <w:r w:rsidR="00F9183B" w:rsidRPr="00561F65">
        <w:t> </w:t>
      </w:r>
      <w:r w:rsidRPr="00561F65">
        <w:t xml:space="preserve">62-64, </w:t>
      </w:r>
      <w:r w:rsidR="00A81BCF" w:rsidRPr="00561F65">
        <w:t>[E</w:t>
      </w:r>
      <w:r w:rsidRPr="00561F65">
        <w:t>n ligne</w:t>
      </w:r>
      <w:r w:rsidR="00845204" w:rsidRPr="00561F65">
        <w:t>].</w:t>
      </w:r>
      <w:r w:rsidRPr="00561F65">
        <w:t xml:space="preserve"> </w:t>
      </w:r>
      <w:hyperlink r:id="rId28" w:history="1">
        <w:r w:rsidR="003D55E7" w:rsidRPr="007912CF">
          <w:rPr>
            <w:rStyle w:val="Lienhypertexte"/>
          </w:rPr>
          <w:t>https://cdn-contenu.quebec.ca/cdn-contenu/adm/min/famille/publications-adm/publications-complementaires/Rapport-Csages-Volume1.pdf</w:t>
        </w:r>
      </w:hyperlink>
    </w:p>
  </w:footnote>
  <w:footnote w:id="37">
    <w:p w14:paraId="1E7504BC" w14:textId="3EE90B15" w:rsidR="00C81675" w:rsidRPr="006D7CBF" w:rsidRDefault="00C81675" w:rsidP="004E4354">
      <w:pPr>
        <w:pStyle w:val="NotesBasPage"/>
      </w:pPr>
      <w:r w:rsidRPr="00561F65">
        <w:rPr>
          <w:rStyle w:val="Appelnotedebasdep"/>
        </w:rPr>
        <w:footnoteRef/>
      </w:r>
      <w:r w:rsidRPr="006D7CBF">
        <w:t xml:space="preserve"> </w:t>
      </w:r>
      <w:r w:rsidR="00D815E5" w:rsidRPr="006D7CBF">
        <w:tab/>
      </w:r>
      <w:r w:rsidRPr="006D7CBF">
        <w:t>Charte, art. 1, 3, 4</w:t>
      </w:r>
      <w:r w:rsidR="003D55E7" w:rsidRPr="006D7CBF">
        <w:t xml:space="preserve"> et </w:t>
      </w:r>
      <w:r w:rsidRPr="006D7CBF">
        <w:t>5.</w:t>
      </w:r>
    </w:p>
  </w:footnote>
  <w:footnote w:id="38">
    <w:p w14:paraId="0A435A38" w14:textId="69AC2B85" w:rsidR="00C81675" w:rsidRPr="006D7CBF" w:rsidRDefault="00C81675" w:rsidP="004E4354">
      <w:pPr>
        <w:pStyle w:val="NotesBasPage"/>
      </w:pPr>
      <w:r w:rsidRPr="00561F65">
        <w:rPr>
          <w:rStyle w:val="Appelnotedebasdep"/>
        </w:rPr>
        <w:footnoteRef/>
      </w:r>
      <w:r w:rsidRPr="006D7CBF">
        <w:t xml:space="preserve"> </w:t>
      </w:r>
      <w:r w:rsidR="00D815E5" w:rsidRPr="006D7CBF">
        <w:tab/>
      </w:r>
      <w:r w:rsidRPr="006D7CBF">
        <w:t>Charte, c.</w:t>
      </w:r>
      <w:r w:rsidR="00BB0290" w:rsidRPr="006D7CBF">
        <w:t> </w:t>
      </w:r>
      <w:r w:rsidRPr="006D7CBF">
        <w:t>I.1.</w:t>
      </w:r>
    </w:p>
  </w:footnote>
  <w:footnote w:id="39">
    <w:p w14:paraId="0891AB0F" w14:textId="043F13C0" w:rsidR="006338AC" w:rsidRPr="00561F65" w:rsidRDefault="006338AC" w:rsidP="004E4354">
      <w:pPr>
        <w:pStyle w:val="NotesBasPage"/>
      </w:pPr>
      <w:r w:rsidRPr="00561F65">
        <w:rPr>
          <w:rStyle w:val="Appelnotedebasdep"/>
        </w:rPr>
        <w:footnoteRef/>
      </w:r>
      <w:r w:rsidRPr="00561F65">
        <w:t xml:space="preserve"> </w:t>
      </w:r>
      <w:r w:rsidRPr="00561F65">
        <w:tab/>
        <w:t>Charte, art. 46.</w:t>
      </w:r>
    </w:p>
  </w:footnote>
  <w:footnote w:id="40">
    <w:p w14:paraId="54E8D97B" w14:textId="30E835DE" w:rsidR="00C81675" w:rsidRPr="00561F65" w:rsidRDefault="00C81675" w:rsidP="004E4354">
      <w:pPr>
        <w:pStyle w:val="NotesBasPage"/>
      </w:pPr>
      <w:r w:rsidRPr="00561F65">
        <w:rPr>
          <w:rStyle w:val="Appelnotedebasdep"/>
        </w:rPr>
        <w:footnoteRef/>
      </w:r>
      <w:r w:rsidRPr="00561F65">
        <w:t xml:space="preserve"> </w:t>
      </w:r>
      <w:r w:rsidRPr="00561F65">
        <w:tab/>
        <w:t>Par exemple, un article d’un sociologue décrit la discrimination comme étant un concept plus restrictif que celui de harcèlement, ce qui n’est pas nécessairement le cas en droit</w:t>
      </w:r>
      <w:r w:rsidR="00FC1B75" w:rsidRPr="00561F65">
        <w:t xml:space="preserve"> : </w:t>
      </w:r>
      <w:r w:rsidRPr="00561F65">
        <w:t xml:space="preserve">Sean </w:t>
      </w:r>
      <w:r w:rsidRPr="00561F65">
        <w:rPr>
          <w:smallCaps/>
        </w:rPr>
        <w:t>Waite</w:t>
      </w:r>
      <w:r w:rsidRPr="00561F65">
        <w:t>, «</w:t>
      </w:r>
      <w:r w:rsidRPr="00561F65">
        <w:rPr>
          <w:rFonts w:ascii="Arial" w:hAnsi="Arial" w:cs="Arial"/>
        </w:rPr>
        <w:t> </w:t>
      </w:r>
      <w:proofErr w:type="spellStart"/>
      <w:r w:rsidRPr="00561F65">
        <w:t>Should</w:t>
      </w:r>
      <w:proofErr w:type="spellEnd"/>
      <w:r w:rsidRPr="00561F65">
        <w:t xml:space="preserve"> I Stay or </w:t>
      </w:r>
      <w:proofErr w:type="spellStart"/>
      <w:r w:rsidRPr="00561F65">
        <w:t>Should</w:t>
      </w:r>
      <w:proofErr w:type="spellEnd"/>
      <w:r w:rsidRPr="00561F65">
        <w:t xml:space="preserve"> I Go? </w:t>
      </w:r>
      <w:r w:rsidRPr="00561F65">
        <w:rPr>
          <w:lang w:val="en-CA"/>
        </w:rPr>
        <w:t xml:space="preserve">Employment Discrimination and Workplace Harassment against Transgender and Other Minority Employees in Canada’s Federal Public Service », (2021) 68 </w:t>
      </w:r>
      <w:r w:rsidRPr="00561F65">
        <w:rPr>
          <w:i/>
          <w:lang w:val="en-CA"/>
        </w:rPr>
        <w:t>Journal of Homosexuality</w:t>
      </w:r>
      <w:r w:rsidRPr="00561F65">
        <w:rPr>
          <w:lang w:val="en-CA"/>
        </w:rPr>
        <w:t xml:space="preserve"> 1833, 1842). </w:t>
      </w:r>
      <w:r w:rsidRPr="00561F65">
        <w:t>Ces façons de présenter la discrimination se comprennent cependant dans les champs d’études qui sont les leurs.</w:t>
      </w:r>
    </w:p>
  </w:footnote>
  <w:footnote w:id="41">
    <w:p w14:paraId="55215EBC" w14:textId="7C898034" w:rsidR="006D6D4D" w:rsidRPr="00561F65" w:rsidRDefault="006D6D4D" w:rsidP="004E4354">
      <w:pPr>
        <w:pStyle w:val="NotesBasPage"/>
      </w:pPr>
      <w:r w:rsidRPr="00561F65">
        <w:rPr>
          <w:rStyle w:val="Appelnotedebasdep"/>
        </w:rPr>
        <w:footnoteRef/>
      </w:r>
      <w:r w:rsidRPr="00561F65">
        <w:t xml:space="preserve"> </w:t>
      </w:r>
      <w:r w:rsidRPr="00561F65">
        <w:tab/>
        <w:t xml:space="preserve">Avant 1994, les données </w:t>
      </w:r>
      <w:r w:rsidR="007F3F3A" w:rsidRPr="00561F65">
        <w:t xml:space="preserve">internes de la Commission </w:t>
      </w:r>
      <w:r w:rsidRPr="00561F65">
        <w:t>relatives au travail n’étaient pas codées de la même façon, ce qui les rend plus difficiles à isoler.</w:t>
      </w:r>
    </w:p>
  </w:footnote>
  <w:footnote w:id="42">
    <w:p w14:paraId="7C3C2AB5" w14:textId="08D4A7E5" w:rsidR="006D6D4D" w:rsidRPr="00561F65" w:rsidRDefault="006D6D4D" w:rsidP="004E4354">
      <w:pPr>
        <w:pStyle w:val="NotesBasPage"/>
      </w:pPr>
      <w:r w:rsidRPr="00561F65">
        <w:rPr>
          <w:rStyle w:val="Appelnotedebasdep"/>
        </w:rPr>
        <w:footnoteRef/>
      </w:r>
      <w:r w:rsidRPr="00561F65">
        <w:t xml:space="preserve"> </w:t>
      </w:r>
      <w:r w:rsidRPr="00561F65">
        <w:tab/>
        <w:t xml:space="preserve">Tout au long du document, le nombre de plaintes pour discrimination fondée sur </w:t>
      </w:r>
      <w:r w:rsidR="00726CCB" w:rsidRPr="00561F65">
        <w:t>l</w:t>
      </w:r>
      <w:proofErr w:type="gramStart"/>
      <w:r w:rsidR="00726CCB" w:rsidRPr="00561F65">
        <w:t>’«</w:t>
      </w:r>
      <w:proofErr w:type="gramEnd"/>
      <w:r w:rsidR="002D3AE6" w:rsidRPr="00561F65">
        <w:rPr>
          <w:rFonts w:ascii="Arial" w:hAnsi="Arial" w:cs="Arial"/>
        </w:rPr>
        <w:t> </w:t>
      </w:r>
      <w:r w:rsidRPr="00561F65">
        <w:t xml:space="preserve">identité ou </w:t>
      </w:r>
      <w:r w:rsidR="001770AC" w:rsidRPr="00561F65">
        <w:t>l’</w:t>
      </w:r>
      <w:r w:rsidRPr="00561F65">
        <w:t>expression de genre</w:t>
      </w:r>
      <w:r w:rsidR="002D3AE6" w:rsidRPr="00561F65">
        <w:rPr>
          <w:rFonts w:ascii="Arial" w:hAnsi="Arial" w:cs="Arial"/>
        </w:rPr>
        <w:t> </w:t>
      </w:r>
      <w:r w:rsidRPr="00561F65">
        <w:t>» inclut les plaintes pour discrimination sur la base de la transidentité qui ont été traitées sous le motif «</w:t>
      </w:r>
      <w:r w:rsidR="002D3AE6" w:rsidRPr="00561F65">
        <w:rPr>
          <w:rFonts w:ascii="Arial" w:hAnsi="Arial" w:cs="Arial"/>
        </w:rPr>
        <w:t> </w:t>
      </w:r>
      <w:r w:rsidRPr="00561F65">
        <w:t>sexe</w:t>
      </w:r>
      <w:r w:rsidR="002D3AE6" w:rsidRPr="00561F65">
        <w:rPr>
          <w:rFonts w:ascii="Arial" w:hAnsi="Arial" w:cs="Arial"/>
        </w:rPr>
        <w:t> </w:t>
      </w:r>
      <w:r w:rsidRPr="00561F65">
        <w:t>». Depuis l’ajout de l</w:t>
      </w:r>
      <w:proofErr w:type="gramStart"/>
      <w:r w:rsidRPr="00561F65">
        <w:t>’«</w:t>
      </w:r>
      <w:proofErr w:type="gramEnd"/>
      <w:r w:rsidR="002D3AE6" w:rsidRPr="00561F65">
        <w:rPr>
          <w:rFonts w:ascii="Arial" w:hAnsi="Arial" w:cs="Arial"/>
        </w:rPr>
        <w:t> </w:t>
      </w:r>
      <w:r w:rsidRPr="00561F65">
        <w:t xml:space="preserve">identité ou </w:t>
      </w:r>
      <w:r w:rsidR="00980E33" w:rsidRPr="00561F65">
        <w:t>l’</w:t>
      </w:r>
      <w:r w:rsidRPr="00561F65">
        <w:t>expression de genre</w:t>
      </w:r>
      <w:r w:rsidR="002D3AE6" w:rsidRPr="00561F65">
        <w:rPr>
          <w:rFonts w:ascii="Arial" w:hAnsi="Arial" w:cs="Arial"/>
        </w:rPr>
        <w:t> </w:t>
      </w:r>
      <w:r w:rsidRPr="00561F65">
        <w:t>» à la liste des motifs interdits de discrimination dans la Charte en 2016, les plaintes pour discrimination sur la base de la transidentité sont de moins en moins traitées sous le motif «</w:t>
      </w:r>
      <w:r w:rsidR="002D3AE6" w:rsidRPr="00561F65">
        <w:rPr>
          <w:rFonts w:ascii="Arial" w:hAnsi="Arial" w:cs="Arial"/>
        </w:rPr>
        <w:t> </w:t>
      </w:r>
      <w:r w:rsidRPr="00561F65">
        <w:t>sexe</w:t>
      </w:r>
      <w:r w:rsidR="002D3AE6" w:rsidRPr="00561F65">
        <w:rPr>
          <w:rFonts w:ascii="Arial" w:hAnsi="Arial" w:cs="Arial"/>
        </w:rPr>
        <w:t> </w:t>
      </w:r>
      <w:r w:rsidRPr="00561F65">
        <w:t>».</w:t>
      </w:r>
    </w:p>
  </w:footnote>
  <w:footnote w:id="43">
    <w:p w14:paraId="2B3F6ED8" w14:textId="74400FDD" w:rsidR="006D6D4D" w:rsidRPr="00561F65" w:rsidRDefault="006D6D4D" w:rsidP="004E4354">
      <w:pPr>
        <w:pStyle w:val="NotesBasPage"/>
      </w:pPr>
      <w:r w:rsidRPr="00561F65">
        <w:rPr>
          <w:rStyle w:val="Appelnotedebasdep"/>
        </w:rPr>
        <w:footnoteRef/>
      </w:r>
      <w:r w:rsidRPr="00561F65">
        <w:t xml:space="preserve"> </w:t>
      </w:r>
      <w:r w:rsidRPr="00561F65">
        <w:tab/>
        <w:t>Ces données couvrent les plaintes reçues depuis la création de la Commission jusqu’au 31</w:t>
      </w:r>
      <w:r w:rsidR="00937C69" w:rsidRPr="00561F65">
        <w:t> </w:t>
      </w:r>
      <w:r w:rsidRPr="00561F65">
        <w:t>décembre 2023.</w:t>
      </w:r>
    </w:p>
  </w:footnote>
  <w:footnote w:id="44">
    <w:p w14:paraId="52D7CF95" w14:textId="3A9ADCD6" w:rsidR="00D22107" w:rsidRPr="00561F65" w:rsidRDefault="00D22107" w:rsidP="004E4354">
      <w:pPr>
        <w:pStyle w:val="NotesBasPage"/>
      </w:pPr>
      <w:r w:rsidRPr="00561F65">
        <w:rPr>
          <w:rStyle w:val="Appelnotedebasdep"/>
        </w:rPr>
        <w:footnoteRef/>
      </w:r>
      <w:r w:rsidRPr="00561F65">
        <w:t xml:space="preserve"> </w:t>
      </w:r>
      <w:r w:rsidRPr="00561F65">
        <w:tab/>
      </w:r>
      <w:r w:rsidRPr="00FD204E">
        <w:rPr>
          <w:i/>
          <w:iCs/>
        </w:rPr>
        <w:t xml:space="preserve">Commission des droits de la personne et des droits de la jeunesse (V.L.) </w:t>
      </w:r>
      <w:r w:rsidRPr="00D702F1">
        <w:t>c</w:t>
      </w:r>
      <w:r w:rsidRPr="00FD204E">
        <w:rPr>
          <w:i/>
          <w:iCs/>
        </w:rPr>
        <w:t>. Desormeaux</w:t>
      </w:r>
      <w:r w:rsidRPr="00561F65">
        <w:t>, 2019</w:t>
      </w:r>
      <w:r w:rsidR="005516C0" w:rsidRPr="00561F65">
        <w:t> </w:t>
      </w:r>
      <w:r w:rsidRPr="00561F65">
        <w:t>QCTDP</w:t>
      </w:r>
      <w:r w:rsidR="00F9183B" w:rsidRPr="00561F65">
        <w:t> </w:t>
      </w:r>
      <w:r w:rsidRPr="00561F65">
        <w:t>13</w:t>
      </w:r>
      <w:r w:rsidR="00C55F73" w:rsidRPr="00561F65">
        <w:t xml:space="preserve">, </w:t>
      </w:r>
      <w:r w:rsidRPr="00561F65">
        <w:t>par. 59</w:t>
      </w:r>
      <w:r w:rsidR="001E2460" w:rsidRPr="00561F65">
        <w:t>.</w:t>
      </w:r>
      <w:r w:rsidRPr="00561F65">
        <w:rPr>
          <w:rStyle w:val="Lienhypertexte"/>
          <w:color w:val="202C4B"/>
        </w:rPr>
        <w:t xml:space="preserve"> </w:t>
      </w:r>
      <w:r w:rsidRPr="00561F65">
        <w:t>[renvoi omis]</w:t>
      </w:r>
    </w:p>
  </w:footnote>
  <w:footnote w:id="45">
    <w:p w14:paraId="1E10CC4B" w14:textId="164365EE" w:rsidR="000C696A" w:rsidRPr="00561F65" w:rsidRDefault="000C696A"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xml:space="preserve"> </w:t>
      </w:r>
      <w:proofErr w:type="spellStart"/>
      <w:r w:rsidRPr="00561F65">
        <w:t>préc</w:t>
      </w:r>
      <w:proofErr w:type="spellEnd"/>
      <w:r w:rsidRPr="00561F65">
        <w:t>., note</w:t>
      </w:r>
      <w:r w:rsidR="005C5B01" w:rsidRPr="00561F65">
        <w:t> </w:t>
      </w:r>
      <w:r w:rsidR="00E813A1" w:rsidRPr="00561F65">
        <w:fldChar w:fldCharType="begin"/>
      </w:r>
      <w:r w:rsidR="00E813A1" w:rsidRPr="00561F65">
        <w:instrText xml:space="preserve"> NOTEREF _Ref216861450 \h  \* MERGEFORMAT </w:instrText>
      </w:r>
      <w:r w:rsidR="00E813A1" w:rsidRPr="00561F65">
        <w:fldChar w:fldCharType="separate"/>
      </w:r>
      <w:r w:rsidR="000374E3" w:rsidRPr="00561F65">
        <w:t>8</w:t>
      </w:r>
      <w:r w:rsidR="00E813A1" w:rsidRPr="00561F65">
        <w:fldChar w:fldCharType="end"/>
      </w:r>
      <w:r w:rsidR="00B73236" w:rsidRPr="00561F65">
        <w:t xml:space="preserve">, </w:t>
      </w:r>
      <w:r w:rsidRPr="00561F65">
        <w:t>p.</w:t>
      </w:r>
      <w:r w:rsidR="00F951BD" w:rsidRPr="00561F65">
        <w:t xml:space="preserve"> </w:t>
      </w:r>
      <w:r w:rsidRPr="00561F65">
        <w:t>52.</w:t>
      </w:r>
    </w:p>
  </w:footnote>
  <w:footnote w:id="46">
    <w:p w14:paraId="615FABD5" w14:textId="7FF78FCE" w:rsidR="008F7246" w:rsidRPr="00561F65" w:rsidRDefault="008F7246" w:rsidP="004E4354">
      <w:pPr>
        <w:pStyle w:val="NotesBasPage"/>
      </w:pPr>
      <w:r w:rsidRPr="00561F65">
        <w:rPr>
          <w:rStyle w:val="Appelnotedebasdep"/>
        </w:rPr>
        <w:footnoteRef/>
      </w:r>
      <w:r w:rsidRPr="004F080D">
        <w:rPr>
          <w:lang w:val="en-CA"/>
        </w:rPr>
        <w:t xml:space="preserve"> </w:t>
      </w:r>
      <w:r w:rsidRPr="004F080D">
        <w:rPr>
          <w:lang w:val="en-CA"/>
        </w:rPr>
        <w:tab/>
        <w:t xml:space="preserve">Karen </w:t>
      </w:r>
      <w:r w:rsidRPr="004F080D">
        <w:rPr>
          <w:smallCaps/>
          <w:lang w:val="en-CA"/>
        </w:rPr>
        <w:t>Leppel</w:t>
      </w:r>
      <w:r w:rsidRPr="004F080D">
        <w:rPr>
          <w:lang w:val="en-CA"/>
        </w:rPr>
        <w:t xml:space="preserve">, « Transgender Men and Women in 2015: Employed, Unemployed, or Not in the Labor Force », (2021) 68-2 </w:t>
      </w:r>
      <w:r w:rsidRPr="004F080D">
        <w:rPr>
          <w:i/>
          <w:lang w:val="en-CA"/>
        </w:rPr>
        <w:t>Journal of Homosexuality </w:t>
      </w:r>
      <w:r w:rsidRPr="004F080D">
        <w:rPr>
          <w:lang w:val="en-CA"/>
        </w:rPr>
        <w:t xml:space="preserve">203 (données </w:t>
      </w:r>
      <w:proofErr w:type="spellStart"/>
      <w:r w:rsidRPr="004F080D">
        <w:rPr>
          <w:lang w:val="en-CA"/>
        </w:rPr>
        <w:t>américaines</w:t>
      </w:r>
      <w:proofErr w:type="spellEnd"/>
      <w:r w:rsidRPr="004F080D">
        <w:rPr>
          <w:lang w:val="en-CA"/>
        </w:rPr>
        <w:t>); S</w:t>
      </w:r>
      <w:r w:rsidR="00FC1B75" w:rsidRPr="004F080D">
        <w:rPr>
          <w:lang w:val="en-CA"/>
        </w:rPr>
        <w:t>.</w:t>
      </w:r>
      <w:r w:rsidR="00BC48F0" w:rsidRPr="004F080D">
        <w:rPr>
          <w:lang w:val="en-CA"/>
        </w:rPr>
        <w:t> </w:t>
      </w:r>
      <w:r w:rsidRPr="004F080D">
        <w:rPr>
          <w:smallCaps/>
          <w:lang w:val="en-CA"/>
        </w:rPr>
        <w:t>Waite</w:t>
      </w:r>
      <w:r w:rsidRPr="004F080D">
        <w:rPr>
          <w:lang w:val="en-CA"/>
        </w:rPr>
        <w:t xml:space="preserve">, </w:t>
      </w:r>
      <w:proofErr w:type="spellStart"/>
      <w:r w:rsidR="00FC1B75" w:rsidRPr="004F080D">
        <w:rPr>
          <w:lang w:val="en-CA"/>
        </w:rPr>
        <w:t>préc</w:t>
      </w:r>
      <w:proofErr w:type="spellEnd"/>
      <w:r w:rsidR="00FC1B75" w:rsidRPr="004F080D">
        <w:rPr>
          <w:lang w:val="en-CA"/>
        </w:rPr>
        <w:t xml:space="preserve">., note </w:t>
      </w:r>
      <w:r w:rsidR="00FC1B75" w:rsidRPr="00561F65">
        <w:fldChar w:fldCharType="begin"/>
      </w:r>
      <w:r w:rsidR="00FC1B75" w:rsidRPr="004F080D">
        <w:rPr>
          <w:lang w:val="en-CA"/>
        </w:rPr>
        <w:instrText xml:space="preserve"> NOTEREF _Ref216864504 \h </w:instrText>
      </w:r>
      <w:r w:rsidR="007017CF" w:rsidRPr="004F080D">
        <w:rPr>
          <w:lang w:val="en-CA"/>
        </w:rPr>
        <w:instrText xml:space="preserve"> \* MERGEFORMAT </w:instrText>
      </w:r>
      <w:r w:rsidR="00FC1B75" w:rsidRPr="00561F65">
        <w:fldChar w:fldCharType="separate"/>
      </w:r>
      <w:r w:rsidR="000374E3" w:rsidRPr="004F080D">
        <w:rPr>
          <w:lang w:val="en-CA"/>
        </w:rPr>
        <w:t>39</w:t>
      </w:r>
      <w:r w:rsidR="00FC1B75" w:rsidRPr="00561F65">
        <w:fldChar w:fldCharType="end"/>
      </w:r>
      <w:r w:rsidR="005C293F" w:rsidRPr="004F080D">
        <w:rPr>
          <w:rFonts w:ascii="Arial" w:hAnsi="Arial" w:cs="Arial"/>
          <w:lang w:val="en-CA"/>
        </w:rPr>
        <w:t> </w:t>
      </w:r>
      <w:r w:rsidRPr="004F080D">
        <w:rPr>
          <w:lang w:val="en-CA"/>
        </w:rPr>
        <w:t xml:space="preserve">; Sean </w:t>
      </w:r>
      <w:r w:rsidRPr="004F080D">
        <w:rPr>
          <w:smallCaps/>
          <w:lang w:val="en-CA"/>
        </w:rPr>
        <w:t>Waite</w:t>
      </w:r>
      <w:r w:rsidRPr="004F080D">
        <w:rPr>
          <w:lang w:val="en-CA"/>
        </w:rPr>
        <w:t xml:space="preserve">, John </w:t>
      </w:r>
      <w:r w:rsidRPr="004F080D">
        <w:rPr>
          <w:smallCaps/>
          <w:lang w:val="en-CA"/>
        </w:rPr>
        <w:t>Ecker</w:t>
      </w:r>
      <w:r w:rsidRPr="004F080D">
        <w:rPr>
          <w:lang w:val="en-CA"/>
        </w:rPr>
        <w:t xml:space="preserve"> et Lori E. </w:t>
      </w:r>
      <w:r w:rsidRPr="004F080D">
        <w:rPr>
          <w:smallCaps/>
          <w:lang w:val="en-CA"/>
        </w:rPr>
        <w:t>Ross</w:t>
      </w:r>
      <w:r w:rsidRPr="004F080D">
        <w:rPr>
          <w:lang w:val="en-CA"/>
        </w:rPr>
        <w:t xml:space="preserve">, « A systematic review and thematic synthesis of Canada’s LGBTQ2S+ employment, labour market and earnings literature », (2019) 14-10 </w:t>
      </w:r>
      <w:r w:rsidRPr="004F080D">
        <w:rPr>
          <w:i/>
          <w:lang w:val="en-CA"/>
        </w:rPr>
        <w:t>PLOS ONE</w:t>
      </w:r>
      <w:r w:rsidRPr="004F080D">
        <w:rPr>
          <w:lang w:val="en-CA"/>
        </w:rPr>
        <w:t xml:space="preserve"> e0223372</w:t>
      </w:r>
      <w:r w:rsidR="00431A78" w:rsidRPr="004F080D">
        <w:rPr>
          <w:lang w:val="en-CA"/>
        </w:rPr>
        <w:t xml:space="preserve">, [En </w:t>
      </w:r>
      <w:proofErr w:type="spellStart"/>
      <w:r w:rsidR="00431A78" w:rsidRPr="004F080D">
        <w:rPr>
          <w:lang w:val="en-CA"/>
        </w:rPr>
        <w:t>ligne</w:t>
      </w:r>
      <w:proofErr w:type="spellEnd"/>
      <w:r w:rsidR="00431A78" w:rsidRPr="004F080D">
        <w:rPr>
          <w:lang w:val="en-CA"/>
        </w:rPr>
        <w:t>].</w:t>
      </w:r>
      <w:r w:rsidR="0050329F" w:rsidRPr="004F080D">
        <w:rPr>
          <w:lang w:val="en-CA"/>
        </w:rPr>
        <w:t xml:space="preserve"> </w:t>
      </w:r>
      <w:hyperlink r:id="rId29" w:history="1">
        <w:r w:rsidR="005B4CD0" w:rsidRPr="007912CF">
          <w:rPr>
            <w:rStyle w:val="Lienhypertexte"/>
          </w:rPr>
          <w:t>https://journals.plos.org/plosone/article?id=10.1371/journal.pone.0223372</w:t>
        </w:r>
      </w:hyperlink>
      <w:r w:rsidR="00F21382">
        <w:rPr>
          <w:rFonts w:ascii="Arial" w:hAnsi="Arial" w:cs="Arial"/>
        </w:rPr>
        <w:t> </w:t>
      </w:r>
      <w:r w:rsidR="00BB6B94" w:rsidRPr="00561F65">
        <w:t xml:space="preserve">; </w:t>
      </w:r>
      <w:r w:rsidRPr="00561F65">
        <w:t xml:space="preserve">Marie </w:t>
      </w:r>
      <w:r w:rsidRPr="00561F65">
        <w:rPr>
          <w:smallCaps/>
        </w:rPr>
        <w:t>Geoffroy</w:t>
      </w:r>
      <w:r w:rsidRPr="00561F65">
        <w:t xml:space="preserve"> et Line </w:t>
      </w:r>
      <w:r w:rsidRPr="00561F65">
        <w:rPr>
          <w:smallCaps/>
        </w:rPr>
        <w:t>Chamberland</w:t>
      </w:r>
      <w:r w:rsidRPr="00561F65">
        <w:t>, «</w:t>
      </w:r>
      <w:r w:rsidRPr="00561F65">
        <w:rPr>
          <w:rFonts w:ascii="Arial" w:hAnsi="Arial" w:cs="Arial"/>
        </w:rPr>
        <w:t> </w:t>
      </w:r>
      <w:r w:rsidRPr="00561F65">
        <w:t>Discrimination des minorit</w:t>
      </w:r>
      <w:r w:rsidRPr="00561F65">
        <w:rPr>
          <w:rFonts w:cs="Aptos"/>
        </w:rPr>
        <w:t>é</w:t>
      </w:r>
      <w:r w:rsidRPr="00561F65">
        <w:t>s sexuelles et de genre au travail</w:t>
      </w:r>
      <w:r w:rsidRPr="00561F65">
        <w:rPr>
          <w:rFonts w:cs="Aptos"/>
        </w:rPr>
        <w:t> </w:t>
      </w:r>
      <w:r w:rsidRPr="00561F65">
        <w:t>: quelles implications pour la sant</w:t>
      </w:r>
      <w:r w:rsidRPr="00561F65">
        <w:rPr>
          <w:rFonts w:cs="Aptos"/>
        </w:rPr>
        <w:t>é</w:t>
      </w:r>
      <w:r w:rsidRPr="00561F65">
        <w:t xml:space="preserve"> mentale</w:t>
      </w:r>
      <w:r w:rsidRPr="00561F65">
        <w:rPr>
          <w:rFonts w:ascii="Arial" w:hAnsi="Arial" w:cs="Arial"/>
        </w:rPr>
        <w:t> </w:t>
      </w:r>
      <w:r w:rsidRPr="00561F65">
        <w:t>?</w:t>
      </w:r>
      <w:r w:rsidRPr="00561F65">
        <w:rPr>
          <w:rFonts w:ascii="Arial" w:hAnsi="Arial" w:cs="Arial"/>
        </w:rPr>
        <w:t> </w:t>
      </w:r>
      <w:r w:rsidRPr="00561F65">
        <w:rPr>
          <w:rFonts w:cs="Aptos"/>
        </w:rPr>
        <w:t>»</w:t>
      </w:r>
      <w:r w:rsidRPr="00561F65">
        <w:t xml:space="preserve">, (2015) 40-3 </w:t>
      </w:r>
      <w:r w:rsidRPr="00561F65">
        <w:rPr>
          <w:i/>
        </w:rPr>
        <w:t>Santé mentale au Québec</w:t>
      </w:r>
      <w:r w:rsidRPr="00561F65">
        <w:t> 145</w:t>
      </w:r>
      <w:r w:rsidR="00F01F5E" w:rsidRPr="00561F65">
        <w:rPr>
          <w:rFonts w:ascii="Arial" w:hAnsi="Arial" w:cs="Arial"/>
        </w:rPr>
        <w:t> </w:t>
      </w:r>
      <w:r w:rsidRPr="00561F65">
        <w:t xml:space="preserve">; Sean </w:t>
      </w:r>
      <w:r w:rsidRPr="00561F65">
        <w:rPr>
          <w:smallCaps/>
        </w:rPr>
        <w:t>Waite</w:t>
      </w:r>
      <w:r w:rsidRPr="00561F65">
        <w:t xml:space="preserve"> &amp; Nicole </w:t>
      </w:r>
      <w:r w:rsidRPr="00561F65">
        <w:rPr>
          <w:smallCaps/>
        </w:rPr>
        <w:t>Denier,</w:t>
      </w:r>
      <w:r w:rsidRPr="00561F65">
        <w:t xml:space="preserve"> « A </w:t>
      </w:r>
      <w:proofErr w:type="spellStart"/>
      <w:r w:rsidRPr="00561F65">
        <w:t>Research</w:t>
      </w:r>
      <w:proofErr w:type="spellEnd"/>
      <w:r w:rsidRPr="00561F65">
        <w:t xml:space="preserve"> Note on </w:t>
      </w:r>
      <w:proofErr w:type="spellStart"/>
      <w:r w:rsidRPr="00561F65">
        <w:t>Canada’s</w:t>
      </w:r>
      <w:proofErr w:type="spellEnd"/>
      <w:r w:rsidRPr="00561F65">
        <w:t xml:space="preserve"> LGBT Data </w:t>
      </w:r>
      <w:proofErr w:type="spellStart"/>
      <w:r w:rsidRPr="00561F65">
        <w:t>Landscape</w:t>
      </w:r>
      <w:proofErr w:type="spellEnd"/>
      <w:r w:rsidRPr="00561F65">
        <w:t xml:space="preserve">: </w:t>
      </w:r>
      <w:proofErr w:type="spellStart"/>
      <w:r w:rsidRPr="00561F65">
        <w:t>Where</w:t>
      </w:r>
      <w:proofErr w:type="spellEnd"/>
      <w:r w:rsidRPr="00561F65">
        <w:t xml:space="preserve"> </w:t>
      </w:r>
      <w:proofErr w:type="spellStart"/>
      <w:r w:rsidRPr="00561F65">
        <w:t>We</w:t>
      </w:r>
      <w:proofErr w:type="spellEnd"/>
      <w:r w:rsidRPr="00561F65">
        <w:t xml:space="preserve"> Are and </w:t>
      </w:r>
      <w:proofErr w:type="spellStart"/>
      <w:r w:rsidRPr="00561F65">
        <w:t>What</w:t>
      </w:r>
      <w:proofErr w:type="spellEnd"/>
      <w:r w:rsidRPr="00561F65">
        <w:t xml:space="preserve"> the Future </w:t>
      </w:r>
      <w:proofErr w:type="spellStart"/>
      <w:r w:rsidRPr="00561F65">
        <w:t>Holds</w:t>
      </w:r>
      <w:proofErr w:type="spellEnd"/>
      <w:r w:rsidRPr="00561F65">
        <w:t xml:space="preserve"> », (2019) 56-1 </w:t>
      </w:r>
      <w:r w:rsidRPr="00561F65">
        <w:rPr>
          <w:i/>
        </w:rPr>
        <w:t xml:space="preserve">Canadian </w:t>
      </w:r>
      <w:proofErr w:type="spellStart"/>
      <w:r w:rsidRPr="00561F65">
        <w:rPr>
          <w:i/>
        </w:rPr>
        <w:t>Review</w:t>
      </w:r>
      <w:proofErr w:type="spellEnd"/>
      <w:r w:rsidRPr="00561F65">
        <w:rPr>
          <w:i/>
        </w:rPr>
        <w:t xml:space="preserve"> of </w:t>
      </w:r>
      <w:proofErr w:type="spellStart"/>
      <w:r w:rsidRPr="00561F65">
        <w:rPr>
          <w:i/>
        </w:rPr>
        <w:t>Sociology</w:t>
      </w:r>
      <w:proofErr w:type="spellEnd"/>
      <w:r w:rsidR="00AB1B44">
        <w:t> </w:t>
      </w:r>
      <w:r w:rsidRPr="00561F65">
        <w:t xml:space="preserve">93; Adelle </w:t>
      </w:r>
      <w:r w:rsidRPr="00561F65">
        <w:rPr>
          <w:smallCaps/>
        </w:rPr>
        <w:t>Blackett</w:t>
      </w:r>
      <w:r w:rsidRPr="00561F65">
        <w:t xml:space="preserve">, </w:t>
      </w:r>
      <w:r w:rsidRPr="00561F65">
        <w:rPr>
          <w:i/>
        </w:rPr>
        <w:t>Réaliser et soutenir l’équité en matière d’emploi</w:t>
      </w:r>
      <w:r w:rsidR="00577C83" w:rsidRPr="00561F65">
        <w:rPr>
          <w:i/>
        </w:rPr>
        <w:t> </w:t>
      </w:r>
      <w:r w:rsidRPr="00561F65">
        <w:rPr>
          <w:i/>
        </w:rPr>
        <w:t>: un cadre transformatif – Rapport du Groupe de travail sur l’examen de la Loi sur l’équité en matière d’emploi</w:t>
      </w:r>
      <w:r w:rsidRPr="00561F65">
        <w:t>, Emploi et Développement social Canada, 2023, p.</w:t>
      </w:r>
      <w:r w:rsidR="005C5B01" w:rsidRPr="00561F65">
        <w:t> </w:t>
      </w:r>
      <w:r w:rsidRPr="00561F65">
        <w:t>176-179, [En ligne].</w:t>
      </w:r>
      <w:r w:rsidR="00144360" w:rsidRPr="00561F65">
        <w:t xml:space="preserve"> </w:t>
      </w:r>
      <w:hyperlink r:id="rId30" w:history="1">
        <w:r w:rsidR="00144360" w:rsidRPr="005B4CD0">
          <w:rPr>
            <w:rStyle w:val="Lienhypertexte"/>
          </w:rPr>
          <w:t>https://www.canada.ca/fr/emploi-developpement-social/ministere/portefeuille/travail/programmes/equite-emploi/rapports/groupe-examen-loi.html</w:t>
        </w:r>
      </w:hyperlink>
      <w:r w:rsidRPr="00561F65">
        <w:t xml:space="preserve"> </w:t>
      </w:r>
    </w:p>
  </w:footnote>
  <w:footnote w:id="47">
    <w:p w14:paraId="2E8AC1E3" w14:textId="7F299FCA" w:rsidR="00687DE0" w:rsidRPr="00561F65" w:rsidRDefault="00BA797E" w:rsidP="004E4354">
      <w:pPr>
        <w:pStyle w:val="NotesBasPage"/>
      </w:pPr>
      <w:r w:rsidRPr="00561F65">
        <w:rPr>
          <w:rStyle w:val="Appelnotedebasdep"/>
          <w:sz w:val="20"/>
          <w:szCs w:val="20"/>
        </w:rPr>
        <w:footnoteRef/>
      </w:r>
      <w:r w:rsidR="005958D6" w:rsidRPr="00561F65">
        <w:t xml:space="preserve"> </w:t>
      </w:r>
      <w:r w:rsidR="005958D6" w:rsidRPr="00561F65">
        <w:tab/>
      </w:r>
      <w:r w:rsidR="008B1B3C" w:rsidRPr="00561F65">
        <w:t>L</w:t>
      </w:r>
      <w:r w:rsidR="00C032F3" w:rsidRPr="00561F65">
        <w:t>in</w:t>
      </w:r>
      <w:r w:rsidR="007D3B73" w:rsidRPr="00561F65">
        <w:t>e</w:t>
      </w:r>
      <w:r w:rsidR="008B1B3C" w:rsidRPr="00561F65">
        <w:t xml:space="preserve"> </w:t>
      </w:r>
      <w:r w:rsidR="008F7246" w:rsidRPr="00561F65">
        <w:rPr>
          <w:smallCaps/>
        </w:rPr>
        <w:t>Chamberland</w:t>
      </w:r>
      <w:r w:rsidR="007D3B73" w:rsidRPr="00561F65">
        <w:t xml:space="preserve"> avec la collab.</w:t>
      </w:r>
      <w:r w:rsidR="008F7246" w:rsidRPr="00561F65">
        <w:t xml:space="preserve"> </w:t>
      </w:r>
      <w:r w:rsidR="00B456AE" w:rsidRPr="00561F65">
        <w:t xml:space="preserve">Michaël </w:t>
      </w:r>
      <w:r w:rsidR="00B456AE" w:rsidRPr="00561F65">
        <w:rPr>
          <w:smallCaps/>
        </w:rPr>
        <w:t>Bernier,</w:t>
      </w:r>
      <w:r w:rsidR="00B456AE" w:rsidRPr="00561F65">
        <w:t xml:space="preserve"> Christelle </w:t>
      </w:r>
      <w:r w:rsidR="00B456AE" w:rsidRPr="00561F65">
        <w:rPr>
          <w:smallCaps/>
        </w:rPr>
        <w:t>Lebreton,</w:t>
      </w:r>
      <w:r w:rsidR="00B456AE" w:rsidRPr="00561F65">
        <w:t xml:space="preserve"> Gabrielle </w:t>
      </w:r>
      <w:r w:rsidR="00B456AE" w:rsidRPr="00561F65">
        <w:rPr>
          <w:smallCaps/>
        </w:rPr>
        <w:t>Richard</w:t>
      </w:r>
      <w:r w:rsidR="00B456AE" w:rsidRPr="00561F65">
        <w:t xml:space="preserve"> et Julie </w:t>
      </w:r>
      <w:r w:rsidR="00B456AE" w:rsidRPr="00561F65">
        <w:rPr>
          <w:smallCaps/>
        </w:rPr>
        <w:t>Théroux-Séguin</w:t>
      </w:r>
      <w:r w:rsidR="008F7246" w:rsidRPr="00561F65">
        <w:t>, «</w:t>
      </w:r>
      <w:r w:rsidR="00AB4C13" w:rsidRPr="00561F65">
        <w:rPr>
          <w:rFonts w:ascii="Arial" w:hAnsi="Arial" w:cs="Arial"/>
        </w:rPr>
        <w:t> </w:t>
      </w:r>
      <w:r w:rsidR="008F7246" w:rsidRPr="00561F65">
        <w:t>Gais et lesbiennes en milieu de travail - Rapport synthèse de recherche</w:t>
      </w:r>
      <w:r w:rsidR="00AB4C13" w:rsidRPr="00561F65">
        <w:rPr>
          <w:rFonts w:ascii="Arial" w:hAnsi="Arial" w:cs="Arial"/>
        </w:rPr>
        <w:t> </w:t>
      </w:r>
      <w:r w:rsidR="008F7246" w:rsidRPr="00561F65">
        <w:t xml:space="preserve">», </w:t>
      </w:r>
      <w:r w:rsidR="00E21511" w:rsidRPr="00561F65">
        <w:t>Collège</w:t>
      </w:r>
      <w:r w:rsidR="003A51E3" w:rsidRPr="00561F65">
        <w:t xml:space="preserve"> de </w:t>
      </w:r>
      <w:r w:rsidR="00E21511" w:rsidRPr="00561F65">
        <w:t xml:space="preserve">Maisonneuve </w:t>
      </w:r>
      <w:r w:rsidR="003A51E3" w:rsidRPr="00561F65">
        <w:t>et Institut de recherches et d’études féministes Université du Québec à Montréal</w:t>
      </w:r>
      <w:r w:rsidR="003F1CB0" w:rsidRPr="00561F65">
        <w:t xml:space="preserve">, </w:t>
      </w:r>
      <w:r w:rsidR="008F7246" w:rsidRPr="00561F65">
        <w:t>2007</w:t>
      </w:r>
      <w:r w:rsidR="00BD6329" w:rsidRPr="00561F65">
        <w:rPr>
          <w:rFonts w:ascii="Arial" w:hAnsi="Arial" w:cs="Arial"/>
        </w:rPr>
        <w:t> </w:t>
      </w:r>
      <w:r w:rsidR="008F7246" w:rsidRPr="00561F65">
        <w:t xml:space="preserve">; </w:t>
      </w:r>
      <w:r w:rsidR="00F27C0D" w:rsidRPr="00561F65">
        <w:t xml:space="preserve">Asher </w:t>
      </w:r>
      <w:proofErr w:type="spellStart"/>
      <w:r w:rsidR="008F7246" w:rsidRPr="00561F65">
        <w:rPr>
          <w:smallCaps/>
        </w:rPr>
        <w:t>Alkoby</w:t>
      </w:r>
      <w:proofErr w:type="spellEnd"/>
      <w:r w:rsidR="00EF745A" w:rsidRPr="00561F65">
        <w:t xml:space="preserve"> </w:t>
      </w:r>
      <w:r w:rsidR="008F7246" w:rsidRPr="00561F65">
        <w:t xml:space="preserve">et </w:t>
      </w:r>
      <w:r w:rsidR="00EF745A" w:rsidRPr="00561F65">
        <w:t xml:space="preserve">Pnina </w:t>
      </w:r>
      <w:r w:rsidR="008F7246" w:rsidRPr="00561F65">
        <w:rPr>
          <w:smallCaps/>
        </w:rPr>
        <w:t>Alon-Shenker</w:t>
      </w:r>
      <w:r w:rsidR="008F7246" w:rsidRPr="00561F65">
        <w:t>, «</w:t>
      </w:r>
      <w:r w:rsidR="00AB4C13" w:rsidRPr="00561F65">
        <w:rPr>
          <w:rFonts w:ascii="Arial" w:hAnsi="Arial" w:cs="Arial"/>
        </w:rPr>
        <w:t> </w:t>
      </w:r>
      <w:r w:rsidR="008F7246" w:rsidRPr="00561F65">
        <w:t xml:space="preserve">Out of the </w:t>
      </w:r>
      <w:proofErr w:type="spellStart"/>
      <w:r w:rsidR="008F7246" w:rsidRPr="00561F65">
        <w:t>closet</w:t>
      </w:r>
      <w:proofErr w:type="spellEnd"/>
      <w:r w:rsidR="008F7246" w:rsidRPr="00561F65">
        <w:t xml:space="preserve"> and up the ladder? Diversity in </w:t>
      </w:r>
      <w:proofErr w:type="spellStart"/>
      <w:r w:rsidR="008F7246" w:rsidRPr="00561F65">
        <w:t>Ontario’s</w:t>
      </w:r>
      <w:proofErr w:type="spellEnd"/>
      <w:r w:rsidR="008F7246" w:rsidRPr="00561F65">
        <w:t xml:space="preserve"> big </w:t>
      </w:r>
      <w:proofErr w:type="spellStart"/>
      <w:r w:rsidR="008F7246" w:rsidRPr="00561F65">
        <w:t>law</w:t>
      </w:r>
      <w:proofErr w:type="spellEnd"/>
      <w:r w:rsidR="008F7246" w:rsidRPr="00561F65">
        <w:t xml:space="preserve"> </w:t>
      </w:r>
      <w:proofErr w:type="spellStart"/>
      <w:r w:rsidR="008F7246" w:rsidRPr="00561F65">
        <w:t>firms</w:t>
      </w:r>
      <w:proofErr w:type="spellEnd"/>
      <w:r w:rsidR="00AB4C13" w:rsidRPr="00561F65">
        <w:rPr>
          <w:rFonts w:ascii="Arial" w:hAnsi="Arial" w:cs="Arial"/>
        </w:rPr>
        <w:t> </w:t>
      </w:r>
      <w:r w:rsidR="008F7246" w:rsidRPr="00561F65">
        <w:t xml:space="preserve">», (2017) 34-2 </w:t>
      </w:r>
      <w:r w:rsidR="008F7246" w:rsidRPr="00561F65">
        <w:rPr>
          <w:i/>
        </w:rPr>
        <w:t>WYAIJ</w:t>
      </w:r>
      <w:r w:rsidR="005C5B01" w:rsidRPr="00561F65">
        <w:rPr>
          <w:i/>
        </w:rPr>
        <w:t> </w:t>
      </w:r>
      <w:r w:rsidR="008F7246" w:rsidRPr="00561F65">
        <w:t>40</w:t>
      </w:r>
      <w:r w:rsidR="008F7246" w:rsidRPr="00561F65">
        <w:noBreakHyphen/>
        <w:t xml:space="preserve">72, </w:t>
      </w:r>
      <w:r w:rsidR="005E030A" w:rsidRPr="00561F65">
        <w:t xml:space="preserve">[En ligne]. </w:t>
      </w:r>
      <w:hyperlink r:id="rId31" w:history="1">
        <w:r w:rsidR="00D06049" w:rsidRPr="007912CF">
          <w:rPr>
            <w:rStyle w:val="Lienhypertexte"/>
          </w:rPr>
          <w:t>https://wyaj.uwindsor.ca/index.php/wyaj/article/view/5021</w:t>
        </w:r>
      </w:hyperlink>
      <w:r w:rsidR="008F7246" w:rsidRPr="00561F65">
        <w:t xml:space="preserve">; </w:t>
      </w:r>
      <w:r w:rsidR="008F7246" w:rsidRPr="00561F65">
        <w:rPr>
          <w:smallCaps/>
        </w:rPr>
        <w:t xml:space="preserve">Léger </w:t>
      </w:r>
      <w:r w:rsidR="008F7246" w:rsidRPr="00561F65">
        <w:t xml:space="preserve">pour la </w:t>
      </w:r>
      <w:r w:rsidR="008F7246" w:rsidRPr="00561F65">
        <w:rPr>
          <w:smallCaps/>
        </w:rPr>
        <w:t>Fondation Émergence</w:t>
      </w:r>
      <w:r w:rsidR="008F7246" w:rsidRPr="00561F65">
        <w:t xml:space="preserve">, </w:t>
      </w:r>
      <w:r w:rsidR="008F7246" w:rsidRPr="00561F65">
        <w:rPr>
          <w:i/>
        </w:rPr>
        <w:t>Étude annuelle –Édition 2017, Rapport de recherche</w:t>
      </w:r>
      <w:r w:rsidR="008F7246" w:rsidRPr="00561F65">
        <w:t xml:space="preserve">, 2017, [En ligne]. </w:t>
      </w:r>
      <w:hyperlink r:id="rId32" w:history="1">
        <w:r w:rsidR="00BE7703" w:rsidRPr="007912CF">
          <w:rPr>
            <w:rStyle w:val="Lienhypertexte"/>
          </w:rPr>
          <w:t>https://e06ef624-6c85-4f0d-961f-a0bffcd58705.filesusr.com/ugd/cdd9d7_b137f00a55dc4154b1433b013083c1eb.pdf</w:t>
        </w:r>
      </w:hyperlink>
      <w:r w:rsidR="005C293F" w:rsidRPr="00561F65">
        <w:rPr>
          <w:rFonts w:ascii="Arial" w:hAnsi="Arial" w:cs="Arial"/>
        </w:rPr>
        <w:t> </w:t>
      </w:r>
      <w:r w:rsidR="008F7246" w:rsidRPr="00561F65">
        <w:t xml:space="preserve">; </w:t>
      </w:r>
      <w:r w:rsidR="007C1C2E" w:rsidRPr="00561F65">
        <w:t xml:space="preserve">Dan </w:t>
      </w:r>
      <w:r w:rsidR="008F7246" w:rsidRPr="00561F65">
        <w:rPr>
          <w:smallCaps/>
        </w:rPr>
        <w:t>Irving</w:t>
      </w:r>
      <w:r w:rsidR="00AC451A" w:rsidRPr="00561F65">
        <w:t xml:space="preserve"> et </w:t>
      </w:r>
      <w:r w:rsidR="008F7246" w:rsidRPr="00561F65">
        <w:t>N</w:t>
      </w:r>
      <w:r w:rsidR="00AC451A" w:rsidRPr="00561F65">
        <w:t>athan</w:t>
      </w:r>
      <w:r w:rsidR="008F7246" w:rsidRPr="00561F65">
        <w:t xml:space="preserve"> </w:t>
      </w:r>
      <w:r w:rsidR="008F7246" w:rsidRPr="00561F65">
        <w:rPr>
          <w:smallCaps/>
        </w:rPr>
        <w:t>Hoo</w:t>
      </w:r>
      <w:r w:rsidR="008F7246" w:rsidRPr="00561F65">
        <w:t>, « Doing Trans-</w:t>
      </w:r>
      <w:proofErr w:type="spellStart"/>
      <w:r w:rsidR="008F7246" w:rsidRPr="00561F65">
        <w:t>Economic</w:t>
      </w:r>
      <w:proofErr w:type="spellEnd"/>
      <w:r w:rsidR="008F7246" w:rsidRPr="00561F65">
        <w:t xml:space="preserve"> Justice: A Critique of Anti-Discrimination Laws and Inclusive </w:t>
      </w:r>
      <w:proofErr w:type="spellStart"/>
      <w:r w:rsidR="008F7246" w:rsidRPr="00561F65">
        <w:t>Employment</w:t>
      </w:r>
      <w:proofErr w:type="spellEnd"/>
      <w:r w:rsidR="008F7246" w:rsidRPr="00561F65">
        <w:t xml:space="preserve"> </w:t>
      </w:r>
      <w:proofErr w:type="spellStart"/>
      <w:r w:rsidR="008F7246" w:rsidRPr="00561F65">
        <w:t>Policies</w:t>
      </w:r>
      <w:proofErr w:type="spellEnd"/>
      <w:r w:rsidR="008F7246" w:rsidRPr="00561F65">
        <w:t xml:space="preserve"> », (2020) 35-2 </w:t>
      </w:r>
      <w:r w:rsidR="008F7246" w:rsidRPr="00561F65">
        <w:rPr>
          <w:i/>
        </w:rPr>
        <w:t>Canadian Journal of Law &amp; Society/Revue Canadienne Droit et Société</w:t>
      </w:r>
      <w:r w:rsidR="005C5B01" w:rsidRPr="00561F65">
        <w:t> </w:t>
      </w:r>
      <w:r w:rsidR="008F7246" w:rsidRPr="00561F65">
        <w:t>197</w:t>
      </w:r>
      <w:r w:rsidR="008F7246" w:rsidRPr="00561F65">
        <w:noBreakHyphen/>
        <w:t>220,</w:t>
      </w:r>
      <w:r w:rsidR="0080086C" w:rsidRPr="00561F65">
        <w:t xml:space="preserve"> [En ligne].</w:t>
      </w:r>
      <w:r w:rsidR="007B5E4D" w:rsidRPr="00561F65">
        <w:t xml:space="preserve"> </w:t>
      </w:r>
      <w:hyperlink r:id="rId33" w:history="1">
        <w:r w:rsidR="000278AD" w:rsidRPr="007912CF">
          <w:rPr>
            <w:rStyle w:val="Lienhypertexte"/>
          </w:rPr>
          <w:t>https://www.cambridge.org/core/journals/canadian-journal-of-law-and-society-la-revue-canadienne-droit-et-societe/article/doing-transeconomic-justice-a-critique-of-antidiscrimination-laws-and-inclusive-employment-policies/FEEA47C6C38956D5A7731E4F1184CC28</w:t>
        </w:r>
      </w:hyperlink>
      <w:r w:rsidR="000278AD">
        <w:t xml:space="preserve"> </w:t>
      </w:r>
      <w:r w:rsidR="00BD6329" w:rsidRPr="00561F65">
        <w:rPr>
          <w:rFonts w:ascii="Arial" w:hAnsi="Arial" w:cs="Arial"/>
        </w:rPr>
        <w:t> </w:t>
      </w:r>
      <w:r w:rsidR="008F7246" w:rsidRPr="00561F65">
        <w:t>;</w:t>
      </w:r>
      <w:r w:rsidR="006432D2" w:rsidRPr="00561F65">
        <w:t xml:space="preserve"> S</w:t>
      </w:r>
      <w:r w:rsidRPr="00561F65">
        <w:t>.</w:t>
      </w:r>
      <w:r w:rsidR="00BC48F0">
        <w:t> </w:t>
      </w:r>
      <w:r w:rsidR="008F7246" w:rsidRPr="00561F65">
        <w:rPr>
          <w:smallCaps/>
        </w:rPr>
        <w:t>Waite</w:t>
      </w:r>
      <w:r w:rsidR="008F7246" w:rsidRPr="00561F65">
        <w:t xml:space="preserve">, </w:t>
      </w:r>
      <w:proofErr w:type="spellStart"/>
      <w:r w:rsidRPr="00561F65">
        <w:t>préc</w:t>
      </w:r>
      <w:proofErr w:type="spellEnd"/>
      <w:r w:rsidRPr="00561F65">
        <w:t xml:space="preserve">., note </w:t>
      </w:r>
      <w:r w:rsidRPr="00561F65">
        <w:fldChar w:fldCharType="begin"/>
      </w:r>
      <w:r w:rsidRPr="00561F65">
        <w:instrText xml:space="preserve"> NOTEREF _Ref216864504 \h </w:instrText>
      </w:r>
      <w:r w:rsidR="004E4354">
        <w:instrText xml:space="preserve"> \* MERGEFORMAT </w:instrText>
      </w:r>
      <w:r w:rsidRPr="00561F65">
        <w:fldChar w:fldCharType="separate"/>
      </w:r>
      <w:r w:rsidR="000374E3" w:rsidRPr="00561F65">
        <w:t>39</w:t>
      </w:r>
      <w:r w:rsidRPr="00561F65">
        <w:fldChar w:fldCharType="end"/>
      </w:r>
      <w:r w:rsidRPr="00561F65">
        <w:t>.</w:t>
      </w:r>
    </w:p>
  </w:footnote>
  <w:footnote w:id="48">
    <w:p w14:paraId="49970E27" w14:textId="2DE0CCE6" w:rsidR="008F7246" w:rsidRPr="00561F65" w:rsidRDefault="008F7246" w:rsidP="004E4354">
      <w:pPr>
        <w:pStyle w:val="NotesBasPage"/>
      </w:pPr>
      <w:r w:rsidRPr="00561F65">
        <w:rPr>
          <w:rStyle w:val="Appelnotedebasdep"/>
        </w:rPr>
        <w:footnoteRef/>
      </w:r>
      <w:r w:rsidRPr="00561F65">
        <w:t xml:space="preserve"> </w:t>
      </w:r>
      <w:r w:rsidRPr="00561F65">
        <w:tab/>
      </w:r>
      <w:r w:rsidR="00604013" w:rsidRPr="00561F65">
        <w:t xml:space="preserve">L. </w:t>
      </w:r>
      <w:r w:rsidRPr="00561F65">
        <w:rPr>
          <w:smallCaps/>
        </w:rPr>
        <w:t>Chamberland</w:t>
      </w:r>
      <w:r w:rsidR="00604013" w:rsidRPr="00561F65">
        <w:t xml:space="preserve">, </w:t>
      </w:r>
      <w:r w:rsidRPr="00561F65">
        <w:t>M.</w:t>
      </w:r>
      <w:r w:rsidR="00BC48F0">
        <w:t> </w:t>
      </w:r>
      <w:r w:rsidRPr="00561F65">
        <w:rPr>
          <w:smallCaps/>
        </w:rPr>
        <w:t>Bernier</w:t>
      </w:r>
      <w:r w:rsidRPr="00561F65">
        <w:t>, C.</w:t>
      </w:r>
      <w:r w:rsidR="00BC48F0">
        <w:t> </w:t>
      </w:r>
      <w:r w:rsidRPr="00561F65">
        <w:rPr>
          <w:smallCaps/>
        </w:rPr>
        <w:t>Lebreton</w:t>
      </w:r>
      <w:r w:rsidRPr="00561F65">
        <w:t>, G.</w:t>
      </w:r>
      <w:r w:rsidR="00BC48F0">
        <w:t> </w:t>
      </w:r>
      <w:r w:rsidRPr="00561F65">
        <w:rPr>
          <w:smallCaps/>
        </w:rPr>
        <w:t>Richard</w:t>
      </w:r>
      <w:r w:rsidRPr="00561F65">
        <w:t xml:space="preserve"> et J.</w:t>
      </w:r>
      <w:r w:rsidR="00BC48F0">
        <w:t> </w:t>
      </w:r>
      <w:r w:rsidRPr="00561F65">
        <w:rPr>
          <w:smallCaps/>
        </w:rPr>
        <w:t>Théroux-Séguin</w:t>
      </w:r>
      <w:r w:rsidR="00B456AE"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27040E" w:rsidRPr="00561F65">
        <w:t>.</w:t>
      </w:r>
    </w:p>
  </w:footnote>
  <w:footnote w:id="49">
    <w:p w14:paraId="4A4BC918" w14:textId="340657E6" w:rsidR="007A2A80" w:rsidRPr="00561F65" w:rsidRDefault="008F7246" w:rsidP="004E4354">
      <w:pPr>
        <w:pStyle w:val="NotesBasPage"/>
      </w:pPr>
      <w:r w:rsidRPr="00561F65">
        <w:rPr>
          <w:rStyle w:val="Appelnotedebasdep"/>
        </w:rPr>
        <w:footnoteRef/>
      </w:r>
      <w:r w:rsidRPr="00561F65">
        <w:t xml:space="preserve"> </w:t>
      </w:r>
      <w:r w:rsidRPr="00561F65">
        <w:tab/>
      </w:r>
      <w:r w:rsidR="00F5399D" w:rsidRPr="00561F65">
        <w:rPr>
          <w:smallCaps/>
        </w:rPr>
        <w:t>Chaire de recherche sur la diversité sexuelle et la pluralité des genres</w:t>
      </w:r>
      <w:r w:rsidR="00E37070" w:rsidRPr="00561F65">
        <w:t>,</w:t>
      </w:r>
      <w:r w:rsidR="00F5399D" w:rsidRPr="00561F65">
        <w:t xml:space="preserve"> </w:t>
      </w:r>
      <w:r w:rsidRPr="00641450">
        <w:rPr>
          <w:i/>
          <w:iCs/>
        </w:rPr>
        <w:t>Favoriser le bien-être et l’inclusion des personnes LGBTQ2+ en milieu de travail</w:t>
      </w:r>
      <w:r w:rsidR="00180B60" w:rsidRPr="00641450">
        <w:rPr>
          <w:i/>
          <w:iCs/>
        </w:rPr>
        <w:t xml:space="preserve">, </w:t>
      </w:r>
      <w:r w:rsidR="00FF370A" w:rsidRPr="00641450">
        <w:rPr>
          <w:i/>
          <w:iCs/>
        </w:rPr>
        <w:t>R</w:t>
      </w:r>
      <w:r w:rsidRPr="00641450">
        <w:rPr>
          <w:i/>
          <w:iCs/>
        </w:rPr>
        <w:t>apport de recension des interventions contribuant à prévenir la discrimination et la violence fondées sur l’orientation sexuelle, l’identité de genre ou l’expression de genre</w:t>
      </w:r>
      <w:r w:rsidRPr="00561F65">
        <w:t xml:space="preserve">, </w:t>
      </w:r>
      <w:r w:rsidR="00F5399D" w:rsidRPr="00561F65">
        <w:t xml:space="preserve">Martin </w:t>
      </w:r>
      <w:r w:rsidR="00F5399D" w:rsidRPr="00561F65">
        <w:rPr>
          <w:smallCaps/>
        </w:rPr>
        <w:t>Blais</w:t>
      </w:r>
      <w:r w:rsidR="00F5399D" w:rsidRPr="00561F65">
        <w:t xml:space="preserve">, Claudelle </w:t>
      </w:r>
      <w:r w:rsidR="00F5399D" w:rsidRPr="00561F65">
        <w:rPr>
          <w:smallCaps/>
        </w:rPr>
        <w:t>Brazeau</w:t>
      </w:r>
      <w:r w:rsidR="00F5399D" w:rsidRPr="00561F65">
        <w:t xml:space="preserve">, Angelo </w:t>
      </w:r>
      <w:r w:rsidR="00F5399D" w:rsidRPr="00561F65">
        <w:rPr>
          <w:smallCaps/>
        </w:rPr>
        <w:t>Soares</w:t>
      </w:r>
      <w:r w:rsidR="00F5399D" w:rsidRPr="00561F65">
        <w:t xml:space="preserve">, David </w:t>
      </w:r>
      <w:r w:rsidR="00F5399D" w:rsidRPr="00561F65">
        <w:rPr>
          <w:smallCaps/>
        </w:rPr>
        <w:t>Myles</w:t>
      </w:r>
      <w:r w:rsidR="00F5399D" w:rsidRPr="00561F65">
        <w:t xml:space="preserve"> et Émilie </w:t>
      </w:r>
      <w:r w:rsidR="00F5399D" w:rsidRPr="00561F65">
        <w:rPr>
          <w:smallCaps/>
        </w:rPr>
        <w:t>Morand</w:t>
      </w:r>
      <w:r w:rsidR="00F5399D" w:rsidRPr="00561F65">
        <w:t>,</w:t>
      </w:r>
      <w:r w:rsidRPr="00561F65">
        <w:t xml:space="preserve"> 2022, [En ligne]. </w:t>
      </w:r>
      <w:hyperlink r:id="rId34" w:history="1">
        <w:r w:rsidR="007A2A80" w:rsidRPr="007912CF">
          <w:rPr>
            <w:rStyle w:val="Lienhypertexte"/>
          </w:rPr>
          <w:t>https://chairedspg.uqam.ca/bien-etre-inclusion-lgbtq2-milieu-travail/</w:t>
        </w:r>
      </w:hyperlink>
    </w:p>
  </w:footnote>
  <w:footnote w:id="50">
    <w:p w14:paraId="6CBC2EAF" w14:textId="591763F3" w:rsidR="00FA3488" w:rsidRPr="00561F65" w:rsidRDefault="008F7246" w:rsidP="004E4354">
      <w:pPr>
        <w:pStyle w:val="NotesBasPage"/>
      </w:pPr>
      <w:r w:rsidRPr="00561F65">
        <w:rPr>
          <w:rStyle w:val="Appelnotedebasdep"/>
        </w:rPr>
        <w:footnoteRef/>
      </w:r>
      <w:r w:rsidRPr="00561F65">
        <w:t xml:space="preserve"> </w:t>
      </w:r>
      <w:r w:rsidRPr="00561F65">
        <w:tab/>
        <w:t xml:space="preserve">Martin </w:t>
      </w:r>
      <w:r w:rsidRPr="00561F65">
        <w:rPr>
          <w:smallCaps/>
        </w:rPr>
        <w:t>Blais</w:t>
      </w:r>
      <w:r w:rsidRPr="00561F65">
        <w:t xml:space="preserve">, Mathieu </w:t>
      </w:r>
      <w:r w:rsidRPr="00561F65">
        <w:rPr>
          <w:smallCaps/>
        </w:rPr>
        <w:t>Philibert</w:t>
      </w:r>
      <w:r w:rsidRPr="00561F65">
        <w:t xml:space="preserve"> et Michele </w:t>
      </w:r>
      <w:r w:rsidRPr="00561F65">
        <w:rPr>
          <w:smallCaps/>
        </w:rPr>
        <w:t>Baiocco</w:t>
      </w:r>
      <w:r w:rsidRPr="00561F65">
        <w:t>, «</w:t>
      </w:r>
      <w:r w:rsidR="00AB4C13" w:rsidRPr="00561F65">
        <w:rPr>
          <w:rFonts w:ascii="Arial" w:hAnsi="Arial" w:cs="Arial"/>
        </w:rPr>
        <w:t> </w:t>
      </w:r>
      <w:r w:rsidRPr="00561F65">
        <w:t>Portrait des communautés LGBTQ+ au Québec</w:t>
      </w:r>
      <w:r w:rsidR="00577C83" w:rsidRPr="00561F65">
        <w:t> </w:t>
      </w:r>
      <w:r w:rsidRPr="00561F65">
        <w:t>: bilan d’une enquête historique sur leurs expériences d’inclusion et d’exclusion sociales</w:t>
      </w:r>
      <w:r w:rsidR="00AB4C13" w:rsidRPr="00561F65">
        <w:rPr>
          <w:rFonts w:ascii="Arial" w:hAnsi="Arial" w:cs="Arial"/>
        </w:rPr>
        <w:t> </w:t>
      </w:r>
      <w:r w:rsidRPr="00561F65">
        <w:t>», conférence, Journées annuelles SAVIE-LGBTQ, 12</w:t>
      </w:r>
      <w:r w:rsidR="00937C69" w:rsidRPr="00561F65">
        <w:t> </w:t>
      </w:r>
      <w:r w:rsidRPr="00561F65">
        <w:t>novembre 2020, [En ligne].</w:t>
      </w:r>
      <w:r w:rsidR="006A5C80">
        <w:t xml:space="preserve"> </w:t>
      </w:r>
      <w:hyperlink r:id="rId35" w:history="1">
        <w:r w:rsidR="006A5C80" w:rsidRPr="007912CF">
          <w:rPr>
            <w:rStyle w:val="Lienhypertexte"/>
          </w:rPr>
          <w:t>https://savie-lgbtq.uqam.ca/portrait-des-communautes-lgbtq-au-quebec-bilan-dune-enquete-historique-sur-leurs-experiences-dinclusion-et-dexclusion-sociales/</w:t>
        </w:r>
      </w:hyperlink>
      <w:r w:rsidR="006A5C80" w:rsidRPr="006A5C80">
        <w:t xml:space="preserve"> </w:t>
      </w:r>
      <w:r w:rsidR="005C293F" w:rsidRPr="00561F65">
        <w:rPr>
          <w:rFonts w:ascii="Arial" w:hAnsi="Arial" w:cs="Arial"/>
        </w:rPr>
        <w:t> </w:t>
      </w:r>
      <w:r w:rsidRPr="00561F65">
        <w:t xml:space="preserve">; Émilie </w:t>
      </w:r>
      <w:r w:rsidRPr="00561F65">
        <w:rPr>
          <w:smallCaps/>
        </w:rPr>
        <w:t>Morand</w:t>
      </w:r>
      <w:r w:rsidRPr="00561F65">
        <w:t xml:space="preserve">, Line </w:t>
      </w:r>
      <w:r w:rsidRPr="00561F65">
        <w:rPr>
          <w:smallCaps/>
        </w:rPr>
        <w:t>Chamberland</w:t>
      </w:r>
      <w:r w:rsidRPr="00561F65">
        <w:t xml:space="preserve">, Isabel </w:t>
      </w:r>
      <w:r w:rsidRPr="00561F65">
        <w:rPr>
          <w:smallCaps/>
        </w:rPr>
        <w:t>Côté</w:t>
      </w:r>
      <w:r w:rsidRPr="00561F65">
        <w:t xml:space="preserve"> et Martin </w:t>
      </w:r>
      <w:r w:rsidRPr="00561F65">
        <w:rPr>
          <w:smallCaps/>
        </w:rPr>
        <w:t>Blais</w:t>
      </w:r>
      <w:r w:rsidRPr="00561F65">
        <w:t>, «</w:t>
      </w:r>
      <w:r w:rsidR="00AB4C13" w:rsidRPr="00561F65">
        <w:rPr>
          <w:rFonts w:ascii="Arial" w:hAnsi="Arial" w:cs="Arial"/>
        </w:rPr>
        <w:t> </w:t>
      </w:r>
      <w:r w:rsidRPr="00561F65">
        <w:t>Les «</w:t>
      </w:r>
      <w:r w:rsidRPr="00561F65">
        <w:rPr>
          <w:rFonts w:ascii="Arial" w:hAnsi="Arial" w:cs="Arial"/>
        </w:rPr>
        <w:t> </w:t>
      </w:r>
      <w:r w:rsidRPr="00561F65">
        <w:t>plaisanteries</w:t>
      </w:r>
      <w:r w:rsidRPr="00561F65">
        <w:rPr>
          <w:rFonts w:ascii="Arial" w:hAnsi="Arial" w:cs="Arial"/>
        </w:rPr>
        <w:t> </w:t>
      </w:r>
      <w:r w:rsidRPr="00561F65">
        <w:rPr>
          <w:rFonts w:cs="Aptos"/>
        </w:rPr>
        <w:t>»</w:t>
      </w:r>
      <w:r w:rsidRPr="00561F65">
        <w:t xml:space="preserve"> des coll</w:t>
      </w:r>
      <w:r w:rsidRPr="00561F65">
        <w:rPr>
          <w:rFonts w:cs="Aptos"/>
        </w:rPr>
        <w:t>è</w:t>
      </w:r>
      <w:r w:rsidRPr="00561F65">
        <w:t>gues de travail</w:t>
      </w:r>
      <w:r w:rsidR="00577C83" w:rsidRPr="00561F65">
        <w:rPr>
          <w:rFonts w:ascii="Arial" w:hAnsi="Arial" w:cs="Arial"/>
        </w:rPr>
        <w:t> </w:t>
      </w:r>
      <w:r w:rsidRPr="00561F65">
        <w:t>: terrain d</w:t>
      </w:r>
      <w:r w:rsidRPr="00561F65">
        <w:rPr>
          <w:rFonts w:cs="Aptos"/>
        </w:rPr>
        <w:t>’</w:t>
      </w:r>
      <w:r w:rsidRPr="00561F65">
        <w:t>oppression et de r</w:t>
      </w:r>
      <w:r w:rsidRPr="00561F65">
        <w:rPr>
          <w:rFonts w:cs="Aptos"/>
        </w:rPr>
        <w:t>é</w:t>
      </w:r>
      <w:r w:rsidRPr="00561F65">
        <w:t xml:space="preserve">sistance </w:t>
      </w:r>
      <w:r w:rsidRPr="00561F65">
        <w:rPr>
          <w:rFonts w:cs="Aptos"/>
        </w:rPr>
        <w:t>à</w:t>
      </w:r>
      <w:r w:rsidRPr="00561F65">
        <w:t xml:space="preserve"> la violence pour les personnes LGBTQ+</w:t>
      </w:r>
      <w:r w:rsidR="00AB4C13" w:rsidRPr="00561F65">
        <w:rPr>
          <w:rFonts w:ascii="Arial" w:hAnsi="Arial" w:cs="Arial"/>
        </w:rPr>
        <w:t> </w:t>
      </w:r>
      <w:r w:rsidRPr="00561F65">
        <w:rPr>
          <w:rFonts w:cs="Aptos"/>
        </w:rPr>
        <w:t>»</w:t>
      </w:r>
      <w:r w:rsidRPr="00561F65">
        <w:t xml:space="preserve">, </w:t>
      </w:r>
      <w:r w:rsidRPr="00561F65">
        <w:rPr>
          <w:i/>
        </w:rPr>
        <w:t>Genre, sexualité &amp; société</w:t>
      </w:r>
      <w:r w:rsidR="005C5B01" w:rsidRPr="00561F65">
        <w:t> </w:t>
      </w:r>
      <w:r w:rsidRPr="00561F65">
        <w:t xml:space="preserve">2023.30, </w:t>
      </w:r>
      <w:r w:rsidR="00445FE7" w:rsidRPr="00561F65">
        <w:t>[En ligne]</w:t>
      </w:r>
      <w:r w:rsidRPr="00561F65">
        <w:t xml:space="preserve"> </w:t>
      </w:r>
      <w:hyperlink r:id="rId36" w:history="1">
        <w:r w:rsidR="003F1A7C" w:rsidRPr="007912CF">
          <w:rPr>
            <w:rStyle w:val="Lienhypertexte"/>
          </w:rPr>
          <w:t>https://journals.openedition.org/gss/8428</w:t>
        </w:r>
      </w:hyperlink>
      <w:r w:rsidR="003F1A7C">
        <w:t>;</w:t>
      </w:r>
      <w:r w:rsidR="00650F0D">
        <w:rPr>
          <w:rFonts w:ascii="Arial" w:hAnsi="Arial" w:cs="Arial"/>
        </w:rPr>
        <w:t xml:space="preserve"> </w:t>
      </w:r>
      <w:r w:rsidRPr="00561F65">
        <w:t xml:space="preserve">Émilie </w:t>
      </w:r>
      <w:r w:rsidRPr="00561F65">
        <w:rPr>
          <w:smallCaps/>
        </w:rPr>
        <w:t>Morand</w:t>
      </w:r>
      <w:r w:rsidRPr="00561F65">
        <w:t xml:space="preserve">, Martin </w:t>
      </w:r>
      <w:r w:rsidRPr="00561F65">
        <w:rPr>
          <w:smallCaps/>
        </w:rPr>
        <w:t>Blais</w:t>
      </w:r>
      <w:r w:rsidRPr="00561F65">
        <w:t xml:space="preserve">, Isabel </w:t>
      </w:r>
      <w:r w:rsidRPr="00561F65">
        <w:rPr>
          <w:smallCaps/>
        </w:rPr>
        <w:t>Côté</w:t>
      </w:r>
      <w:r w:rsidRPr="00561F65">
        <w:t xml:space="preserve">, Line </w:t>
      </w:r>
      <w:r w:rsidRPr="00561F65">
        <w:rPr>
          <w:smallCaps/>
        </w:rPr>
        <w:t>Chamberland</w:t>
      </w:r>
      <w:r w:rsidRPr="00561F65">
        <w:t xml:space="preserve">, Michele </w:t>
      </w:r>
      <w:r w:rsidRPr="00561F65">
        <w:rPr>
          <w:smallCaps/>
        </w:rPr>
        <w:t>Baiocco</w:t>
      </w:r>
      <w:r w:rsidRPr="00561F65">
        <w:t xml:space="preserve"> et Mariia </w:t>
      </w:r>
      <w:r w:rsidRPr="00561F65">
        <w:rPr>
          <w:smallCaps/>
        </w:rPr>
        <w:t>Samoilenko</w:t>
      </w:r>
      <w:r w:rsidRPr="00561F65">
        <w:t>, «</w:t>
      </w:r>
      <w:r w:rsidR="00AB4C13" w:rsidRPr="00561F65">
        <w:rPr>
          <w:rFonts w:ascii="Arial" w:hAnsi="Arial" w:cs="Arial"/>
        </w:rPr>
        <w:t> </w:t>
      </w:r>
      <w:proofErr w:type="spellStart"/>
      <w:r w:rsidRPr="00561F65">
        <w:t>Disclosing</w:t>
      </w:r>
      <w:proofErr w:type="spellEnd"/>
      <w:r w:rsidRPr="00561F65">
        <w:t xml:space="preserve"> </w:t>
      </w:r>
      <w:proofErr w:type="spellStart"/>
      <w:r w:rsidRPr="00561F65">
        <w:t>One’s</w:t>
      </w:r>
      <w:proofErr w:type="spellEnd"/>
      <w:r w:rsidRPr="00561F65">
        <w:t xml:space="preserve"> Non-</w:t>
      </w:r>
      <w:proofErr w:type="spellStart"/>
      <w:r w:rsidRPr="00561F65">
        <w:t>Heterosexual</w:t>
      </w:r>
      <w:proofErr w:type="spellEnd"/>
      <w:r w:rsidRPr="00561F65">
        <w:t xml:space="preserve"> </w:t>
      </w:r>
      <w:proofErr w:type="spellStart"/>
      <w:r w:rsidRPr="00561F65">
        <w:t>Sexual</w:t>
      </w:r>
      <w:proofErr w:type="spellEnd"/>
      <w:r w:rsidRPr="00561F65">
        <w:t xml:space="preserve"> Orientation at Work </w:t>
      </w:r>
      <w:proofErr w:type="spellStart"/>
      <w:r w:rsidRPr="00561F65">
        <w:t>in</w:t>
      </w:r>
      <w:proofErr w:type="spellEnd"/>
      <w:r w:rsidRPr="00561F65">
        <w:t xml:space="preserve"> 2020: A Survey of Quebec LGBQ </w:t>
      </w:r>
      <w:proofErr w:type="spellStart"/>
      <w:r w:rsidRPr="00561F65">
        <w:t>Workers</w:t>
      </w:r>
      <w:proofErr w:type="spellEnd"/>
      <w:r w:rsidR="00AB4C13" w:rsidRPr="00561F65">
        <w:rPr>
          <w:rFonts w:ascii="Arial" w:hAnsi="Arial" w:cs="Arial"/>
        </w:rPr>
        <w:t> </w:t>
      </w:r>
      <w:r w:rsidRPr="00561F65">
        <w:t xml:space="preserve">», (2024) 71-4 </w:t>
      </w:r>
      <w:r w:rsidRPr="00561F65">
        <w:rPr>
          <w:i/>
        </w:rPr>
        <w:t xml:space="preserve">Journal of </w:t>
      </w:r>
      <w:proofErr w:type="spellStart"/>
      <w:r w:rsidRPr="00561F65">
        <w:rPr>
          <w:i/>
        </w:rPr>
        <w:t>Homosexuality</w:t>
      </w:r>
      <w:proofErr w:type="spellEnd"/>
      <w:r w:rsidR="005C5B01" w:rsidRPr="00561F65">
        <w:t> </w:t>
      </w:r>
      <w:r w:rsidRPr="00561F65">
        <w:t>1030</w:t>
      </w:r>
      <w:r w:rsidRPr="00561F65">
        <w:noBreakHyphen/>
        <w:t xml:space="preserve">1056, </w:t>
      </w:r>
      <w:r w:rsidR="00D13D7A" w:rsidRPr="00561F65">
        <w:t xml:space="preserve">[En ligne] </w:t>
      </w:r>
      <w:hyperlink r:id="rId37" w:history="1">
        <w:r w:rsidR="00156CBC" w:rsidRPr="007912CF">
          <w:rPr>
            <w:rStyle w:val="Lienhypertexte"/>
          </w:rPr>
          <w:t>https://www.tandfonline.com/doi/full/10.1080/00918369.2022.2160941</w:t>
        </w:r>
      </w:hyperlink>
      <w:r w:rsidR="00BD6329" w:rsidRPr="00561F65">
        <w:rPr>
          <w:rFonts w:ascii="Arial" w:hAnsi="Arial" w:cs="Arial"/>
        </w:rPr>
        <w:t> </w:t>
      </w:r>
      <w:r w:rsidRPr="00561F65">
        <w:t xml:space="preserve">; Michele </w:t>
      </w:r>
      <w:r w:rsidRPr="00561F65">
        <w:rPr>
          <w:smallCaps/>
        </w:rPr>
        <w:t>Baiocco</w:t>
      </w:r>
      <w:r w:rsidRPr="00561F65">
        <w:t xml:space="preserve">, Martin </w:t>
      </w:r>
      <w:r w:rsidRPr="00561F65">
        <w:rPr>
          <w:smallCaps/>
        </w:rPr>
        <w:t>Blais</w:t>
      </w:r>
      <w:r w:rsidRPr="00561F65">
        <w:t xml:space="preserve">, Mariia </w:t>
      </w:r>
      <w:r w:rsidRPr="00561F65">
        <w:rPr>
          <w:smallCaps/>
        </w:rPr>
        <w:t>Samoilenko</w:t>
      </w:r>
      <w:r w:rsidRPr="00561F65">
        <w:t xml:space="preserve">, Line </w:t>
      </w:r>
      <w:r w:rsidRPr="00561F65">
        <w:rPr>
          <w:smallCaps/>
        </w:rPr>
        <w:t>Chamberland</w:t>
      </w:r>
      <w:r w:rsidRPr="00561F65">
        <w:t xml:space="preserve"> et Isabel </w:t>
      </w:r>
      <w:r w:rsidRPr="00561F65">
        <w:rPr>
          <w:smallCaps/>
        </w:rPr>
        <w:t>Côté</w:t>
      </w:r>
      <w:r w:rsidRPr="00561F65">
        <w:t>, «</w:t>
      </w:r>
      <w:r w:rsidR="00AB4C13" w:rsidRPr="00561F65">
        <w:rPr>
          <w:rFonts w:ascii="Arial" w:hAnsi="Arial" w:cs="Arial"/>
        </w:rPr>
        <w:t> </w:t>
      </w:r>
      <w:r w:rsidRPr="00561F65">
        <w:t>Élaboration d’un indice composite de qualité de l’emploi des travailleurs et travailleuses LGBTQ+ du Québec (Canada)</w:t>
      </w:r>
      <w:r w:rsidR="00AB4C13" w:rsidRPr="00561F65">
        <w:rPr>
          <w:rFonts w:ascii="Arial" w:hAnsi="Arial" w:cs="Arial"/>
        </w:rPr>
        <w:t> </w:t>
      </w:r>
      <w:r w:rsidRPr="00561F65">
        <w:t xml:space="preserve">», (2023) 162-2 </w:t>
      </w:r>
      <w:r w:rsidRPr="00561F65">
        <w:rPr>
          <w:i/>
        </w:rPr>
        <w:t>Revue internationale du Travail</w:t>
      </w:r>
      <w:r w:rsidR="005C5B01" w:rsidRPr="00561F65">
        <w:t> </w:t>
      </w:r>
      <w:r w:rsidRPr="00561F65">
        <w:t>361</w:t>
      </w:r>
      <w:r w:rsidRPr="00561F65">
        <w:noBreakHyphen/>
        <w:t xml:space="preserve">388, </w:t>
      </w:r>
      <w:r w:rsidR="00000B20" w:rsidRPr="00561F65">
        <w:t>[En ligne]</w:t>
      </w:r>
      <w:r w:rsidRPr="00561F65">
        <w:t>.</w:t>
      </w:r>
      <w:r w:rsidR="00200E82" w:rsidRPr="00561F65">
        <w:t xml:space="preserve"> </w:t>
      </w:r>
    </w:p>
  </w:footnote>
  <w:footnote w:id="51">
    <w:p w14:paraId="23453C9C" w14:textId="15CDC530" w:rsidR="008F7246" w:rsidRPr="00561F65" w:rsidRDefault="008F7246" w:rsidP="004E4354">
      <w:pPr>
        <w:pStyle w:val="NotesBasPage"/>
      </w:pPr>
      <w:r w:rsidRPr="00561F65">
        <w:rPr>
          <w:rStyle w:val="Appelnotedebasdep"/>
        </w:rPr>
        <w:footnoteRef/>
      </w:r>
      <w:r w:rsidRPr="00561F65">
        <w:t xml:space="preserve"> </w:t>
      </w:r>
      <w:r w:rsidRPr="00561F65">
        <w:tab/>
        <w:t xml:space="preserve">La Fondation Émergence (et avant 2007, Gai Écoute) commande chaque année depuis 2003 un sondage à la firme Léger qui inclut, pour plusieurs d’entre eux, au moins une question traitant de l’homophobie et, depuis plus récemment, de la transphobie en milieu de travail. Les résultats de ces sondages peuvent être retrouvés à cette adresse : </w:t>
      </w:r>
      <w:r w:rsidRPr="00561F65">
        <w:rPr>
          <w:smallCaps/>
        </w:rPr>
        <w:t>Fondation Émergence</w:t>
      </w:r>
      <w:r w:rsidRPr="00561F65">
        <w:t>, «</w:t>
      </w:r>
      <w:r w:rsidR="00AB4C13" w:rsidRPr="00561F65">
        <w:rPr>
          <w:rFonts w:ascii="Arial" w:hAnsi="Arial" w:cs="Arial"/>
        </w:rPr>
        <w:t> </w:t>
      </w:r>
      <w:r w:rsidR="00F45D92" w:rsidRPr="00561F65">
        <w:t>Ressources</w:t>
      </w:r>
      <w:r w:rsidR="00AB4C13" w:rsidRPr="00561F65">
        <w:rPr>
          <w:rFonts w:ascii="Arial" w:hAnsi="Arial" w:cs="Arial"/>
        </w:rPr>
        <w:t> </w:t>
      </w:r>
      <w:r w:rsidRPr="00561F65">
        <w:t>», [En ligne].</w:t>
      </w:r>
      <w:r w:rsidR="002C66E1" w:rsidRPr="002C66E1">
        <w:t xml:space="preserve"> </w:t>
      </w:r>
      <w:hyperlink r:id="rId38" w:history="1">
        <w:r w:rsidR="002C66E1" w:rsidRPr="00E058E4">
          <w:rPr>
            <w:rStyle w:val="Lienhypertexte"/>
          </w:rPr>
          <w:t>https://www.fondationemergence.org/ressources</w:t>
        </w:r>
      </w:hyperlink>
      <w:r w:rsidRPr="00561F65">
        <w:t xml:space="preserve"> </w:t>
      </w:r>
    </w:p>
  </w:footnote>
  <w:footnote w:id="52">
    <w:p w14:paraId="33CED579" w14:textId="295776EB" w:rsidR="000366C2" w:rsidRPr="00561F65" w:rsidRDefault="008F7246" w:rsidP="004E4354">
      <w:pPr>
        <w:pStyle w:val="NotesBasPage"/>
      </w:pPr>
      <w:r w:rsidRPr="00561F65">
        <w:rPr>
          <w:rStyle w:val="Appelnotedebasdep"/>
        </w:rPr>
        <w:footnoteRef/>
      </w:r>
      <w:r w:rsidRPr="00561F65">
        <w:t xml:space="preserve"> </w:t>
      </w:r>
      <w:r w:rsidRPr="00561F65">
        <w:tab/>
      </w:r>
      <w:r w:rsidRPr="00561F65">
        <w:rPr>
          <w:smallCaps/>
        </w:rPr>
        <w:t>Fondation Émergence</w:t>
      </w:r>
      <w:r w:rsidRPr="00561F65">
        <w:t>, «</w:t>
      </w:r>
      <w:r w:rsidRPr="00561F65">
        <w:rPr>
          <w:rFonts w:ascii="Arial" w:hAnsi="Arial" w:cs="Arial"/>
        </w:rPr>
        <w:t> </w:t>
      </w:r>
      <w:r w:rsidR="00123010" w:rsidRPr="00561F65">
        <w:t>Le Réseau Allié</w:t>
      </w:r>
      <w:r w:rsidR="00AB4C13" w:rsidRPr="00561F65">
        <w:rPr>
          <w:rFonts w:ascii="Arial" w:hAnsi="Arial" w:cs="Arial"/>
        </w:rPr>
        <w:t> </w:t>
      </w:r>
      <w:r w:rsidRPr="00561F65">
        <w:rPr>
          <w:rFonts w:cs="Aptos"/>
        </w:rPr>
        <w:t>»</w:t>
      </w:r>
      <w:r w:rsidRPr="00561F65">
        <w:t xml:space="preserve">, </w:t>
      </w:r>
      <w:r w:rsidR="00123010" w:rsidRPr="00561F65">
        <w:t xml:space="preserve">2025, </w:t>
      </w:r>
      <w:r w:rsidRPr="00561F65">
        <w:t xml:space="preserve">[En ligne]. </w:t>
      </w:r>
      <w:hyperlink r:id="rId39" w:history="1">
        <w:r w:rsidR="000366C2" w:rsidRPr="00E058E4">
          <w:rPr>
            <w:rStyle w:val="Lienhypertexte"/>
          </w:rPr>
          <w:t>https://www.fondationemergence.org/reseau-allie</w:t>
        </w:r>
      </w:hyperlink>
    </w:p>
  </w:footnote>
  <w:footnote w:id="53">
    <w:p w14:paraId="41F2114B" w14:textId="32CDD570" w:rsidR="0034728F" w:rsidRPr="00561F65" w:rsidRDefault="008F7246" w:rsidP="004E4354">
      <w:pPr>
        <w:pStyle w:val="NotesBasPage"/>
      </w:pPr>
      <w:r w:rsidRPr="00561F65">
        <w:rPr>
          <w:rStyle w:val="Appelnotedebasdep"/>
        </w:rPr>
        <w:footnoteRef/>
      </w:r>
      <w:r w:rsidRPr="00561F65">
        <w:t xml:space="preserve"> </w:t>
      </w:r>
      <w:r w:rsidRPr="00561F65">
        <w:tab/>
      </w:r>
      <w:r w:rsidRPr="00561F65">
        <w:rPr>
          <w:smallCaps/>
        </w:rPr>
        <w:t>Fondation Émergence et Aide aux trans du Québec</w:t>
      </w:r>
      <w:r w:rsidRPr="00561F65">
        <w:t xml:space="preserve">, </w:t>
      </w:r>
      <w:r w:rsidRPr="00561F65">
        <w:rPr>
          <w:i/>
        </w:rPr>
        <w:t>Intégrer les personnes trans en milieu de travail : guide d’information</w:t>
      </w:r>
      <w:r w:rsidRPr="00561F65">
        <w:t xml:space="preserve">, 2018, [En ligne]. </w:t>
      </w:r>
      <w:hyperlink r:id="rId40" w:history="1">
        <w:r w:rsidR="0034728F" w:rsidRPr="007912CF">
          <w:rPr>
            <w:rStyle w:val="Lienhypertexte"/>
          </w:rPr>
          <w:t>https://www.tgfm.org/files/Diversit%C3%A9%20sexuelle%20et%20de%20genre/5960-FE-TROUSSE-TRANS-WEB.pdf</w:t>
        </w:r>
      </w:hyperlink>
    </w:p>
  </w:footnote>
  <w:footnote w:id="54">
    <w:p w14:paraId="48AB2A8C" w14:textId="3A8B3AC6" w:rsidR="00D84F7A" w:rsidRPr="00561F65" w:rsidRDefault="008F7246" w:rsidP="004E4354">
      <w:pPr>
        <w:pStyle w:val="NotesBasPage"/>
      </w:pPr>
      <w:r w:rsidRPr="00561F65">
        <w:rPr>
          <w:rStyle w:val="Appelnotedebasdep"/>
        </w:rPr>
        <w:footnoteRef/>
      </w:r>
      <w:r w:rsidR="00E40B61">
        <w:t xml:space="preserve"> </w:t>
      </w:r>
      <w:r w:rsidR="00E40B61">
        <w:tab/>
      </w:r>
      <w:r w:rsidRPr="00561F65">
        <w:rPr>
          <w:smallCaps/>
        </w:rPr>
        <w:t>GRIS-Montréal, Centrale des syndicats du Québec</w:t>
      </w:r>
      <w:r w:rsidRPr="00561F65">
        <w:t xml:space="preserve">, </w:t>
      </w:r>
      <w:r w:rsidRPr="00561F65">
        <w:rPr>
          <w:smallCaps/>
        </w:rPr>
        <w:t xml:space="preserve">Fédération autonome de l’enseignement </w:t>
      </w:r>
      <w:r w:rsidRPr="00561F65">
        <w:t xml:space="preserve">et </w:t>
      </w:r>
      <w:r w:rsidRPr="00561F65">
        <w:rPr>
          <w:smallCaps/>
        </w:rPr>
        <w:t xml:space="preserve">Coalition des familles LGBT, </w:t>
      </w:r>
      <w:r w:rsidRPr="00561F65">
        <w:rPr>
          <w:i/>
        </w:rPr>
        <w:t>De l'autre côté du placard</w:t>
      </w:r>
      <w:r w:rsidR="00577C83" w:rsidRPr="00561F65">
        <w:rPr>
          <w:i/>
        </w:rPr>
        <w:t> </w:t>
      </w:r>
      <w:r w:rsidRPr="00561F65">
        <w:rPr>
          <w:i/>
        </w:rPr>
        <w:t xml:space="preserve">: petit guide du </w:t>
      </w:r>
      <w:proofErr w:type="spellStart"/>
      <w:r w:rsidRPr="00561F65">
        <w:rPr>
          <w:i/>
        </w:rPr>
        <w:t>coming</w:t>
      </w:r>
      <w:proofErr w:type="spellEnd"/>
      <w:r w:rsidRPr="00561F65">
        <w:rPr>
          <w:i/>
        </w:rPr>
        <w:t xml:space="preserve"> out à l'intention du personnel scolaire</w:t>
      </w:r>
      <w:r w:rsidRPr="00561F65">
        <w:t xml:space="preserve">, 2017, [En ligne]. </w:t>
      </w:r>
      <w:hyperlink r:id="rId41" w:history="1">
        <w:r w:rsidR="00D84F7A" w:rsidRPr="007912CF">
          <w:rPr>
            <w:rStyle w:val="Lienhypertexte"/>
          </w:rPr>
          <w:t>https://www.gris.ca/de-lautre-cote-du-placard-petit-guide-du-coming-lintention-du-personnel-scolaire/</w:t>
        </w:r>
      </w:hyperlink>
    </w:p>
  </w:footnote>
  <w:footnote w:id="55">
    <w:p w14:paraId="0DF75310" w14:textId="5B58C5B1" w:rsidR="00CD432C" w:rsidRPr="00561F65" w:rsidRDefault="008F7246" w:rsidP="004E4354">
      <w:pPr>
        <w:pStyle w:val="NotesBasPage"/>
      </w:pPr>
      <w:r w:rsidRPr="00561F65">
        <w:rPr>
          <w:rStyle w:val="Appelnotedebasdep"/>
        </w:rPr>
        <w:footnoteRef/>
      </w:r>
      <w:r w:rsidR="001D4E5D" w:rsidRPr="00561F65">
        <w:tab/>
      </w:r>
      <w:r w:rsidRPr="00561F65">
        <w:tab/>
        <w:t xml:space="preserve">Eugénie </w:t>
      </w:r>
      <w:r w:rsidRPr="00561F65">
        <w:rPr>
          <w:smallCaps/>
        </w:rPr>
        <w:t>Fontaine</w:t>
      </w:r>
      <w:r w:rsidRPr="00561F65">
        <w:t xml:space="preserve">, Julie </w:t>
      </w:r>
      <w:r w:rsidRPr="00561F65">
        <w:rPr>
          <w:smallCaps/>
        </w:rPr>
        <w:t>Antoine</w:t>
      </w:r>
      <w:r w:rsidRPr="00561F65">
        <w:t xml:space="preserve"> et Julie </w:t>
      </w:r>
      <w:r w:rsidRPr="00561F65">
        <w:rPr>
          <w:smallCaps/>
        </w:rPr>
        <w:t>Vaillancourt</w:t>
      </w:r>
      <w:r w:rsidRPr="00561F65">
        <w:t xml:space="preserve">. </w:t>
      </w:r>
      <w:r w:rsidRPr="00561F65">
        <w:rPr>
          <w:i/>
        </w:rPr>
        <w:t>Résultats de l'enquête «</w:t>
      </w:r>
      <w:r w:rsidR="00AB4C13" w:rsidRPr="00561F65">
        <w:rPr>
          <w:rFonts w:ascii="Arial" w:hAnsi="Arial" w:cs="Arial"/>
        </w:rPr>
        <w:t> </w:t>
      </w:r>
      <w:r w:rsidRPr="00561F65">
        <w:rPr>
          <w:i/>
        </w:rPr>
        <w:t>Portrait des femmes de la diversité sexuelle au Québec</w:t>
      </w:r>
      <w:r w:rsidR="00AB4C13" w:rsidRPr="00561F65">
        <w:rPr>
          <w:rFonts w:ascii="Arial" w:hAnsi="Arial" w:cs="Arial"/>
        </w:rPr>
        <w:t> </w:t>
      </w:r>
      <w:r w:rsidRPr="00561F65">
        <w:rPr>
          <w:i/>
        </w:rPr>
        <w:t>»</w:t>
      </w:r>
      <w:r w:rsidRPr="00561F65">
        <w:t>,</w:t>
      </w:r>
      <w:r w:rsidRPr="00561F65">
        <w:rPr>
          <w:i/>
        </w:rPr>
        <w:t xml:space="preserve"> </w:t>
      </w:r>
      <w:r w:rsidRPr="00561F65">
        <w:t xml:space="preserve">Réseau des lesbiennes du Québec, 2021, [En ligne]. </w:t>
      </w:r>
      <w:hyperlink r:id="rId42" w:history="1">
        <w:r w:rsidR="00CD432C" w:rsidRPr="006323E8">
          <w:rPr>
            <w:rStyle w:val="Lienhypertexte"/>
          </w:rPr>
          <w:t>https://numerique.banq.qc.ca/patrimoine/details/52327/4352460</w:t>
        </w:r>
      </w:hyperlink>
    </w:p>
  </w:footnote>
  <w:footnote w:id="56">
    <w:p w14:paraId="65ABC8A6" w14:textId="43AC2A87" w:rsidR="00540ED2" w:rsidRPr="00561F65" w:rsidRDefault="008F7246" w:rsidP="004E4354">
      <w:pPr>
        <w:pStyle w:val="NotesBasPage"/>
      </w:pPr>
      <w:r w:rsidRPr="00561F65">
        <w:rPr>
          <w:rStyle w:val="Appelnotedebasdep"/>
        </w:rPr>
        <w:footnoteRef/>
      </w:r>
      <w:r w:rsidRPr="00561F65">
        <w:t xml:space="preserve"> </w:t>
      </w:r>
      <w:r w:rsidRPr="00561F65">
        <w:tab/>
      </w:r>
      <w:r w:rsidRPr="00561F65">
        <w:rPr>
          <w:smallCaps/>
        </w:rPr>
        <w:t>Gouvernement du Québec</w:t>
      </w:r>
      <w:r w:rsidRPr="00561F65">
        <w:t xml:space="preserve">, </w:t>
      </w:r>
      <w:r w:rsidR="00936B86" w:rsidRPr="00561F65">
        <w:rPr>
          <w:i/>
        </w:rPr>
        <w:t>Bilan des réalisations</w:t>
      </w:r>
      <w:r w:rsidR="00936B86" w:rsidRPr="00561F65">
        <w:t xml:space="preserve"> </w:t>
      </w:r>
      <w:r w:rsidR="00875777" w:rsidRPr="00561F65">
        <w:t xml:space="preserve">– </w:t>
      </w:r>
      <w:r w:rsidRPr="00561F65">
        <w:rPr>
          <w:i/>
        </w:rPr>
        <w:t>Plan d’action gouvernemental de lutte contre l’homophobie 2011-2016</w:t>
      </w:r>
      <w:r w:rsidRPr="00561F65">
        <w:t>, 2011, [En ligne].</w:t>
      </w:r>
      <w:r w:rsidR="008474EC" w:rsidRPr="00561F65">
        <w:t xml:space="preserve"> </w:t>
      </w:r>
      <w:hyperlink r:id="rId43" w:history="1">
        <w:r w:rsidR="006323E8" w:rsidRPr="007912CF">
          <w:rPr>
            <w:rStyle w:val="Lienhypertexte"/>
          </w:rPr>
          <w:t>https://cdn-contenu.quebec.ca/cdn-contenu/adm/gouv/homophobie-transphobie/Bilan_plan_action_LCHT_2011-2016_FR.pdf</w:t>
        </w:r>
      </w:hyperlink>
      <w:r w:rsidRPr="00561F65">
        <w:t xml:space="preserve">; </w:t>
      </w:r>
      <w:r w:rsidRPr="00561F65">
        <w:rPr>
          <w:smallCaps/>
        </w:rPr>
        <w:t>Gouvernement du Québec</w:t>
      </w:r>
      <w:r w:rsidRPr="00561F65">
        <w:t xml:space="preserve">, </w:t>
      </w:r>
      <w:r w:rsidRPr="00561F65">
        <w:rPr>
          <w:i/>
        </w:rPr>
        <w:t>Plan d’action gouvernemental de lutte contre l’homophobie et la transphobie 2017-2022</w:t>
      </w:r>
      <w:r w:rsidRPr="00561F65">
        <w:t>, 2017, [En ligne].</w:t>
      </w:r>
      <w:r w:rsidR="00B05D47" w:rsidRPr="00B05D47">
        <w:t xml:space="preserve"> </w:t>
      </w:r>
      <w:hyperlink r:id="rId44" w:history="1">
        <w:r w:rsidR="00B05D47" w:rsidRPr="007912CF">
          <w:rPr>
            <w:rStyle w:val="Lienhypertexte"/>
          </w:rPr>
          <w:t>https://cdn-contenu.quebec.ca/cdn-contenu/adm/gouv/homophobie-transphobie/PL_action_PLCHT_2017-2022_MJQ.pdf</w:t>
        </w:r>
      </w:hyperlink>
      <w:r w:rsidR="001466DA" w:rsidRPr="00561F65">
        <w:rPr>
          <w:smallCaps/>
        </w:rPr>
        <w:t xml:space="preserve"> </w:t>
      </w:r>
    </w:p>
  </w:footnote>
  <w:footnote w:id="57">
    <w:p w14:paraId="1C443085" w14:textId="47CE693B" w:rsidR="008F7246" w:rsidRPr="00561F65" w:rsidRDefault="008F7246" w:rsidP="004E4354">
      <w:pPr>
        <w:pStyle w:val="NotesBasPage"/>
      </w:pPr>
      <w:r w:rsidRPr="00561F65">
        <w:rPr>
          <w:rStyle w:val="Appelnotedebasdep"/>
        </w:rPr>
        <w:footnoteRef/>
      </w:r>
      <w:r w:rsidRPr="00561F65">
        <w:t xml:space="preserve"> </w:t>
      </w:r>
      <w:r w:rsidRPr="00561F65">
        <w:tab/>
      </w:r>
      <w:r w:rsidRPr="00561F65">
        <w:rPr>
          <w:smallCaps/>
        </w:rPr>
        <w:t>Gouvernement du Québec</w:t>
      </w:r>
      <w:r w:rsidRPr="00561F65">
        <w:t xml:space="preserve">, </w:t>
      </w:r>
      <w:proofErr w:type="spellStart"/>
      <w:r w:rsidR="00A95B36" w:rsidRPr="00A95B36">
        <w:rPr>
          <w:iCs/>
        </w:rPr>
        <w:t>préc</w:t>
      </w:r>
      <w:proofErr w:type="spellEnd"/>
      <w:r w:rsidR="00A95B36" w:rsidRPr="00A95B36">
        <w:rPr>
          <w:iCs/>
        </w:rPr>
        <w:t>., note</w:t>
      </w:r>
      <w:r w:rsidR="00A95B36">
        <w:rPr>
          <w:i/>
        </w:rPr>
        <w:t xml:space="preserve"> </w:t>
      </w:r>
      <w:r w:rsidR="00A95B36">
        <w:fldChar w:fldCharType="begin"/>
      </w:r>
      <w:r w:rsidR="00A95B36">
        <w:rPr>
          <w:i/>
        </w:rPr>
        <w:instrText xml:space="preserve"> NOTEREF _Ref229387976 \h </w:instrText>
      </w:r>
      <w:r w:rsidR="00A95B36">
        <w:instrText xml:space="preserve"> \* MERGEFORMAT </w:instrText>
      </w:r>
      <w:r w:rsidR="00A95B36">
        <w:fldChar w:fldCharType="separate"/>
      </w:r>
      <w:r w:rsidR="00A95B36" w:rsidRPr="00A95B36">
        <w:rPr>
          <w:iCs/>
        </w:rPr>
        <w:t>28</w:t>
      </w:r>
      <w:r w:rsidR="00A95B36">
        <w:fldChar w:fldCharType="end"/>
      </w:r>
      <w:r w:rsidR="00A95B36">
        <w:t xml:space="preserve"> </w:t>
      </w:r>
      <w:r w:rsidRPr="00561F65">
        <w:t>(mesures 10 et 11)</w:t>
      </w:r>
      <w:r w:rsidR="007461CD" w:rsidRPr="00561F65">
        <w:t>.</w:t>
      </w:r>
    </w:p>
  </w:footnote>
  <w:footnote w:id="58">
    <w:p w14:paraId="4287963C" w14:textId="1280A541" w:rsidR="00A63197" w:rsidRPr="00561F65" w:rsidRDefault="00A63197" w:rsidP="004E4354">
      <w:pPr>
        <w:pStyle w:val="NotesBasPage"/>
      </w:pPr>
      <w:r w:rsidRPr="00561F65">
        <w:rPr>
          <w:rStyle w:val="Appelnotedebasdep"/>
        </w:rPr>
        <w:footnoteRef/>
      </w:r>
      <w:r w:rsidRPr="00561F65">
        <w:t xml:space="preserve"> </w:t>
      </w:r>
      <w:r w:rsidR="00000A07" w:rsidRPr="00561F65">
        <w:tab/>
      </w:r>
      <w:r w:rsidR="00000A07" w:rsidRPr="00561F65">
        <w:rPr>
          <w:smallCaps/>
        </w:rPr>
        <w:t>Conseil québécois LGBT</w:t>
      </w:r>
      <w:r w:rsidR="00000A07" w:rsidRPr="00561F65">
        <w:t>, «</w:t>
      </w:r>
      <w:r w:rsidR="00FC464D">
        <w:rPr>
          <w:rFonts w:ascii="Arial" w:hAnsi="Arial" w:cs="Arial"/>
        </w:rPr>
        <w:t> </w:t>
      </w:r>
      <w:r w:rsidR="00A4654C" w:rsidRPr="00561F65">
        <w:t>Mode d’emploi. Pour des services d’employabilité plus inclusifs de la diversité sexuelle et de genre</w:t>
      </w:r>
      <w:r w:rsidR="00FC464D">
        <w:rPr>
          <w:rFonts w:ascii="Arial" w:hAnsi="Arial" w:cs="Arial"/>
        </w:rPr>
        <w:t> </w:t>
      </w:r>
      <w:r w:rsidR="00A4654C" w:rsidRPr="00561F65">
        <w:t xml:space="preserve">», </w:t>
      </w:r>
      <w:r w:rsidR="00F074B1" w:rsidRPr="00561F65">
        <w:t>[E</w:t>
      </w:r>
      <w:r w:rsidR="00A4654C" w:rsidRPr="00561F65">
        <w:t>n ligne</w:t>
      </w:r>
      <w:r w:rsidR="00F074B1" w:rsidRPr="00561F65">
        <w:t>].</w:t>
      </w:r>
      <w:r w:rsidR="002A7B0D" w:rsidRPr="002A7B0D">
        <w:t xml:space="preserve"> </w:t>
      </w:r>
      <w:hyperlink r:id="rId45" w:history="1">
        <w:r w:rsidR="002A7B0D" w:rsidRPr="007912CF">
          <w:rPr>
            <w:rStyle w:val="Lienhypertexte"/>
          </w:rPr>
          <w:t>https://conseil-lgbt.ca/modedemploi/</w:t>
        </w:r>
      </w:hyperlink>
      <w:r w:rsidR="00A4654C" w:rsidRPr="00561F65">
        <w:t xml:space="preserve"> </w:t>
      </w:r>
    </w:p>
  </w:footnote>
  <w:footnote w:id="59">
    <w:p w14:paraId="7F060D71" w14:textId="55BE9037" w:rsidR="008F7246" w:rsidRPr="00561F65" w:rsidRDefault="008F7246" w:rsidP="004E4354">
      <w:pPr>
        <w:pStyle w:val="NotesBasPage"/>
      </w:pPr>
      <w:r w:rsidRPr="00561F65">
        <w:rPr>
          <w:rStyle w:val="Appelnotedebasdep"/>
        </w:rPr>
        <w:footnoteRef/>
      </w:r>
      <w:r w:rsidRPr="00561F65">
        <w:t xml:space="preserve"> </w:t>
      </w:r>
      <w:r w:rsidRPr="00561F65">
        <w:tab/>
      </w:r>
      <w:r w:rsidRPr="00561F65">
        <w:rPr>
          <w:smallCaps/>
        </w:rPr>
        <w:t>Premier ministre du Canada</w:t>
      </w:r>
      <w:r w:rsidRPr="00561F65">
        <w:t>, «</w:t>
      </w:r>
      <w:r w:rsidRPr="00561F65">
        <w:rPr>
          <w:rFonts w:ascii="Arial" w:hAnsi="Arial"/>
        </w:rPr>
        <w:t> </w:t>
      </w:r>
      <w:r w:rsidRPr="00561F65">
        <w:t>Discours du premier ministre Justin Trudeau pour pr</w:t>
      </w:r>
      <w:r w:rsidRPr="00561F65">
        <w:rPr>
          <w:rFonts w:cs="Aptos"/>
        </w:rPr>
        <w:t>é</w:t>
      </w:r>
      <w:r w:rsidRPr="00561F65">
        <w:t>senter des excuses aux Canadiens</w:t>
      </w:r>
      <w:r w:rsidR="00BB0290" w:rsidRPr="00561F65">
        <w:t> </w:t>
      </w:r>
      <w:r w:rsidRPr="00561F65">
        <w:t>LGBTQ2</w:t>
      </w:r>
      <w:r w:rsidRPr="00561F65">
        <w:rPr>
          <w:rFonts w:ascii="Arial" w:hAnsi="Arial"/>
        </w:rPr>
        <w:t> </w:t>
      </w:r>
      <w:r w:rsidRPr="00561F65">
        <w:rPr>
          <w:rFonts w:cs="Aptos"/>
        </w:rPr>
        <w:t>»</w:t>
      </w:r>
      <w:r w:rsidRPr="00561F65">
        <w:t>, 28</w:t>
      </w:r>
      <w:r w:rsidR="00937C69" w:rsidRPr="00561F65">
        <w:t> </w:t>
      </w:r>
      <w:r w:rsidRPr="00561F65">
        <w:t xml:space="preserve">novembre 2017, [En ligne]. </w:t>
      </w:r>
      <w:hyperlink r:id="rId46" w:history="1">
        <w:r w:rsidRPr="00D56C3E">
          <w:rPr>
            <w:rStyle w:val="Lienhypertexte"/>
          </w:rPr>
          <w:t>https://www.pm.gc.ca/fr/nouvelles/discours/2017/11/28/discours-du-premier-ministre-justin-trudeau-presenter-des-excuses-aux</w:t>
        </w:r>
      </w:hyperlink>
      <w:r w:rsidRPr="00561F65">
        <w:t xml:space="preserve"> </w:t>
      </w:r>
    </w:p>
  </w:footnote>
  <w:footnote w:id="60">
    <w:p w14:paraId="263EB1EC" w14:textId="194F5F19" w:rsidR="008F7246" w:rsidRPr="00561F65" w:rsidRDefault="008F7246" w:rsidP="004E4354">
      <w:pPr>
        <w:pStyle w:val="NotesBasPage"/>
      </w:pPr>
      <w:r w:rsidRPr="00561F65">
        <w:rPr>
          <w:rStyle w:val="Appelnotedebasdep"/>
        </w:rPr>
        <w:footnoteRef/>
      </w:r>
      <w:r w:rsidRPr="00561F65">
        <w:t xml:space="preserve"> </w:t>
      </w:r>
      <w:r w:rsidRPr="00561F65">
        <w:tab/>
      </w:r>
      <w:r w:rsidRPr="00561F65">
        <w:rPr>
          <w:i/>
        </w:rPr>
        <w:t xml:space="preserve">Entente de règlement définitive entre Todd Edward Ross, Martine Roy et Alida </w:t>
      </w:r>
      <w:proofErr w:type="spellStart"/>
      <w:r w:rsidRPr="00561F65">
        <w:rPr>
          <w:i/>
        </w:rPr>
        <w:t>Satalic</w:t>
      </w:r>
      <w:proofErr w:type="spellEnd"/>
      <w:r w:rsidRPr="00561F65">
        <w:rPr>
          <w:i/>
        </w:rPr>
        <w:t xml:space="preserve"> et Sa Majesté la Reine</w:t>
      </w:r>
      <w:r w:rsidRPr="00561F65">
        <w:t xml:space="preserve">, Cour fédérale, No du dossier : T-370-17, [En ligne]. </w:t>
      </w:r>
      <w:hyperlink r:id="rId47" w:history="1">
        <w:r w:rsidRPr="0071219F">
          <w:rPr>
            <w:rStyle w:val="Lienhypertexte"/>
          </w:rPr>
          <w:t>https://lgbtpurgefund.com/wp-content/uploads/2019/08/Entente-de-R%C3%A8glement-D%C3%A9finitive.pdf</w:t>
        </w:r>
      </w:hyperlink>
      <w:r w:rsidRPr="00561F65">
        <w:t xml:space="preserve"> </w:t>
      </w:r>
    </w:p>
  </w:footnote>
  <w:footnote w:id="61">
    <w:p w14:paraId="6CA31843" w14:textId="2CAF75E4" w:rsidR="008A4AF8" w:rsidRPr="00561F65" w:rsidRDefault="008F7246" w:rsidP="004E4354">
      <w:pPr>
        <w:pStyle w:val="NotesBasPage"/>
      </w:pPr>
      <w:r w:rsidRPr="00561F65">
        <w:rPr>
          <w:rStyle w:val="Appelnotedebasdep"/>
        </w:rPr>
        <w:footnoteRef/>
      </w:r>
      <w:r w:rsidR="007461CD" w:rsidRPr="00561F65">
        <w:tab/>
      </w:r>
      <w:r w:rsidRPr="00561F65">
        <w:tab/>
      </w:r>
      <w:r w:rsidRPr="00561F65">
        <w:rPr>
          <w:smallCaps/>
        </w:rPr>
        <w:t>Égale Canada, Fondation Émergence et Optimus SBR</w:t>
      </w:r>
      <w:r w:rsidRPr="00561F65">
        <w:t xml:space="preserve">, pour le Fonds Purge LGBT, </w:t>
      </w:r>
      <w:r w:rsidRPr="00561F65">
        <w:rPr>
          <w:i/>
        </w:rPr>
        <w:t>Au lendemain de la Purge : État des lieux et recommandations en matière d’inclusion des personnes LGBTQI2S au fédéral</w:t>
      </w:r>
      <w:r w:rsidRPr="00561F65">
        <w:t xml:space="preserve">, 2021, [En ligne]. </w:t>
      </w:r>
      <w:hyperlink r:id="rId48" w:history="1">
        <w:r w:rsidR="008A4AF8" w:rsidRPr="007912CF">
          <w:rPr>
            <w:rStyle w:val="Lienhypertexte"/>
          </w:rPr>
          <w:t>https://lefondspurgelgbt.com/wp-content/uploads/2021/05/Au-lendemain-de-la-Purge-final-mai-2021.pdf</w:t>
        </w:r>
      </w:hyperlink>
    </w:p>
  </w:footnote>
  <w:footnote w:id="62">
    <w:p w14:paraId="7E3900CD" w14:textId="2B45E7EE" w:rsidR="008F7246" w:rsidRPr="00561F65" w:rsidRDefault="008F7246" w:rsidP="004E4354">
      <w:pPr>
        <w:pStyle w:val="NotesBasPage"/>
      </w:pPr>
      <w:r w:rsidRPr="00561F65">
        <w:rPr>
          <w:rStyle w:val="Appelnotedebasdep"/>
        </w:rPr>
        <w:footnoteRef/>
      </w:r>
      <w:r w:rsidRPr="00561F65">
        <w:t xml:space="preserve"> </w:t>
      </w:r>
      <w:r w:rsidRPr="00561F65">
        <w:tab/>
        <w:t>Voir G</w:t>
      </w:r>
      <w:r w:rsidR="008F7E2D" w:rsidRPr="00561F65">
        <w:t>.</w:t>
      </w:r>
      <w:r w:rsidRPr="00561F65">
        <w:t xml:space="preserve"> R. </w:t>
      </w:r>
      <w:r w:rsidRPr="00561F65">
        <w:rPr>
          <w:smallCaps/>
        </w:rPr>
        <w:t>Bauer</w:t>
      </w:r>
      <w:r w:rsidRPr="00561F65">
        <w:t xml:space="preserve"> et A</w:t>
      </w:r>
      <w:r w:rsidR="008F7E2D" w:rsidRPr="00561F65">
        <w:t>.</w:t>
      </w:r>
      <w:r w:rsidRPr="00561F65">
        <w:t xml:space="preserve"> I. </w:t>
      </w:r>
      <w:proofErr w:type="spellStart"/>
      <w:r w:rsidRPr="00561F65">
        <w:rPr>
          <w:smallCaps/>
        </w:rPr>
        <w:t>Scheim</w:t>
      </w:r>
      <w:proofErr w:type="spellEnd"/>
      <w:r w:rsidRPr="00561F65">
        <w:rPr>
          <w:smallCaps/>
        </w:rPr>
        <w:t xml:space="preserve">, </w:t>
      </w:r>
      <w:r w:rsidRPr="00561F65">
        <w:t>pour l’équipe du projet Trans PULSE</w:t>
      </w:r>
      <w:r w:rsidR="008F7E2D" w:rsidRPr="00561F65">
        <w:t xml:space="preserve">, </w:t>
      </w:r>
      <w:proofErr w:type="spellStart"/>
      <w:r w:rsidR="00094508" w:rsidRPr="00561F65">
        <w:t>préc</w:t>
      </w:r>
      <w:proofErr w:type="spellEnd"/>
      <w:r w:rsidR="00094508" w:rsidRPr="00561F65">
        <w:t xml:space="preserve">., note </w:t>
      </w:r>
      <w:r w:rsidR="00094508" w:rsidRPr="00561F65">
        <w:fldChar w:fldCharType="begin"/>
      </w:r>
      <w:r w:rsidR="00094508" w:rsidRPr="00561F65">
        <w:instrText xml:space="preserve"> NOTEREF _Ref218758037 \h </w:instrText>
      </w:r>
      <w:r w:rsidR="007017CF" w:rsidRPr="00561F65">
        <w:instrText xml:space="preserve"> \* MERGEFORMAT </w:instrText>
      </w:r>
      <w:r w:rsidR="00094508" w:rsidRPr="00561F65">
        <w:fldChar w:fldCharType="separate"/>
      </w:r>
      <w:r w:rsidR="000374E3" w:rsidRPr="00561F65">
        <w:t>11</w:t>
      </w:r>
      <w:r w:rsidR="00094508" w:rsidRPr="00561F65">
        <w:fldChar w:fldCharType="end"/>
      </w:r>
      <w:r w:rsidR="00094508" w:rsidRPr="00561F65">
        <w:t xml:space="preserve">, </w:t>
      </w:r>
      <w:r w:rsidRPr="00561F65">
        <w:t>p. 3</w:t>
      </w:r>
      <w:r w:rsidR="008F7E2D" w:rsidRPr="00561F65">
        <w:t xml:space="preserve"> et </w:t>
      </w:r>
      <w:r w:rsidRPr="00561F65">
        <w:t>6</w:t>
      </w:r>
      <w:r w:rsidR="00F21382">
        <w:rPr>
          <w:rFonts w:ascii="Arial" w:hAnsi="Arial" w:cs="Arial"/>
        </w:rPr>
        <w:t> </w:t>
      </w:r>
      <w:r w:rsidR="009B6366" w:rsidRPr="00561F65">
        <w:t>;</w:t>
      </w:r>
      <w:r w:rsidR="008F7E2D" w:rsidRPr="00561F65">
        <w:t xml:space="preserve"> G</w:t>
      </w:r>
      <w:r w:rsidRPr="00561F65">
        <w:t xml:space="preserve">reta </w:t>
      </w:r>
      <w:r w:rsidRPr="00561F65">
        <w:rPr>
          <w:smallCaps/>
        </w:rPr>
        <w:t>Bauer</w:t>
      </w:r>
      <w:r w:rsidRPr="00561F65">
        <w:t xml:space="preserve">, Nicole </w:t>
      </w:r>
      <w:r w:rsidRPr="00561F65">
        <w:rPr>
          <w:smallCaps/>
        </w:rPr>
        <w:t>Nussbaum</w:t>
      </w:r>
      <w:r w:rsidRPr="00561F65">
        <w:t xml:space="preserve">, Robb </w:t>
      </w:r>
      <w:r w:rsidRPr="00561F65">
        <w:rPr>
          <w:smallCaps/>
        </w:rPr>
        <w:t>Travers</w:t>
      </w:r>
      <w:r w:rsidRPr="00561F65">
        <w:t xml:space="preserve">, Lauren </w:t>
      </w:r>
      <w:r w:rsidRPr="00561F65">
        <w:rPr>
          <w:smallCaps/>
        </w:rPr>
        <w:t>Munro</w:t>
      </w:r>
      <w:r w:rsidRPr="00561F65">
        <w:t xml:space="preserve">, Jake </w:t>
      </w:r>
      <w:r w:rsidRPr="00561F65">
        <w:rPr>
          <w:smallCaps/>
        </w:rPr>
        <w:t>Pyne</w:t>
      </w:r>
      <w:r w:rsidRPr="00561F65">
        <w:t xml:space="preserve"> et Nik </w:t>
      </w:r>
      <w:r w:rsidRPr="00561F65">
        <w:rPr>
          <w:smallCaps/>
        </w:rPr>
        <w:t>Redman</w:t>
      </w:r>
      <w:r w:rsidRPr="00561F65">
        <w:t xml:space="preserve">, </w:t>
      </w:r>
      <w:proofErr w:type="spellStart"/>
      <w:r w:rsidRPr="00561F65">
        <w:rPr>
          <w:i/>
        </w:rPr>
        <w:t>We’ve</w:t>
      </w:r>
      <w:proofErr w:type="spellEnd"/>
      <w:r w:rsidRPr="00561F65">
        <w:rPr>
          <w:i/>
        </w:rPr>
        <w:t xml:space="preserve"> Got Work to Do: Workplace Discrimination and </w:t>
      </w:r>
      <w:proofErr w:type="spellStart"/>
      <w:r w:rsidRPr="00561F65">
        <w:rPr>
          <w:i/>
        </w:rPr>
        <w:t>Employment</w:t>
      </w:r>
      <w:proofErr w:type="spellEnd"/>
      <w:r w:rsidRPr="00561F65">
        <w:rPr>
          <w:i/>
        </w:rPr>
        <w:t xml:space="preserve"> Challenges for Trans People in Ontario</w:t>
      </w:r>
      <w:r w:rsidRPr="00561F65">
        <w:t>, Trans PULSE e-Bulletin, 30 mai 2011, 2(1), p. 1.</w:t>
      </w:r>
    </w:p>
  </w:footnote>
  <w:footnote w:id="63">
    <w:p w14:paraId="6F6EB1E3" w14:textId="100FBE7F" w:rsidR="00E25022" w:rsidRPr="00561F65" w:rsidRDefault="008F7246" w:rsidP="004E4354">
      <w:pPr>
        <w:pStyle w:val="NotesBasPage"/>
      </w:pPr>
      <w:r w:rsidRPr="00561F65">
        <w:rPr>
          <w:rStyle w:val="Appelnotedebasdep"/>
        </w:rPr>
        <w:footnoteRef/>
      </w:r>
      <w:r w:rsidRPr="00561F65">
        <w:t xml:space="preserve"> </w:t>
      </w:r>
      <w:r w:rsidRPr="00561F65">
        <w:tab/>
      </w:r>
      <w:r w:rsidRPr="00561F65">
        <w:rPr>
          <w:smallCaps/>
        </w:rPr>
        <w:t>Trans PULSE Canada</w:t>
      </w:r>
      <w:hyperlink r:id="rId49" w:history="1">
        <w:r w:rsidR="00DA097F" w:rsidRPr="004F6488">
          <w:rPr>
            <w:rStyle w:val="Lienhypertexte"/>
            <w:smallCaps/>
            <w:u w:val="none"/>
          </w:rPr>
          <w:t xml:space="preserve"> (</w:t>
        </w:r>
        <w:r w:rsidR="00DA097F" w:rsidRPr="00E058E4">
          <w:rPr>
            <w:rStyle w:val="Lienhypertexte"/>
          </w:rPr>
          <w:t>https://transpulsecanada.ca/fr/home-francais</w:t>
        </w:r>
      </w:hyperlink>
      <w:r w:rsidR="00DA097F">
        <w:t>)</w:t>
      </w:r>
      <w:r w:rsidR="007461CD" w:rsidRPr="00561F65">
        <w:t xml:space="preserve"> </w:t>
      </w:r>
      <w:r w:rsidRPr="00561F65">
        <w:t xml:space="preserve">Voir la présentation de Tatiana </w:t>
      </w:r>
      <w:r w:rsidRPr="00561F65">
        <w:rPr>
          <w:smallCaps/>
        </w:rPr>
        <w:t>Ferguson</w:t>
      </w:r>
      <w:r w:rsidRPr="00561F65">
        <w:t xml:space="preserve"> et Meghan </w:t>
      </w:r>
      <w:r w:rsidRPr="00561F65">
        <w:rPr>
          <w:smallCaps/>
        </w:rPr>
        <w:t xml:space="preserve">Smith </w:t>
      </w:r>
      <w:r w:rsidRPr="00561F65">
        <w:t>pour l’équipe de Trans PULSE Canada au LEAF Gender Justice Now Symposium 2020, p.</w:t>
      </w:r>
      <w:r w:rsidR="005C5B01" w:rsidRPr="00561F65">
        <w:t> </w:t>
      </w:r>
      <w:r w:rsidRPr="00561F65">
        <w:t xml:space="preserve">7, [En ligne]. </w:t>
      </w:r>
      <w:hyperlink r:id="rId50" w:history="1">
        <w:r w:rsidR="00E25022" w:rsidRPr="007912CF">
          <w:rPr>
            <w:rStyle w:val="Lienhypertexte"/>
          </w:rPr>
          <w:t>https://transpulsecanada.ca/results/leaf-gender-justice-now-2020-social-and-systemic-barriers-for-trans-and-non-binary-people-in-canada/</w:t>
        </w:r>
      </w:hyperlink>
    </w:p>
  </w:footnote>
  <w:footnote w:id="64">
    <w:p w14:paraId="2124609F" w14:textId="038174DB" w:rsidR="005C3CD4" w:rsidRPr="00561F65" w:rsidRDefault="008F7246" w:rsidP="004E4354">
      <w:pPr>
        <w:pStyle w:val="NotesBasPage"/>
      </w:pPr>
      <w:r w:rsidRPr="00561F65">
        <w:rPr>
          <w:rStyle w:val="Appelnotedebasdep"/>
        </w:rPr>
        <w:footnoteRef/>
      </w:r>
      <w:r w:rsidRPr="00561F65">
        <w:t xml:space="preserve"> </w:t>
      </w:r>
      <w:r w:rsidRPr="00561F65">
        <w:tab/>
        <w:t xml:space="preserve">Les rapports peuvent être consultés </w:t>
      </w:r>
      <w:r w:rsidR="00176E4A" w:rsidRPr="00561F65">
        <w:t xml:space="preserve">sur le site de la </w:t>
      </w:r>
      <w:r w:rsidRPr="00561F65">
        <w:t>Société de recherche sociale appliquée, «</w:t>
      </w:r>
      <w:r w:rsidR="00AB4C13" w:rsidRPr="00561F65">
        <w:rPr>
          <w:rFonts w:ascii="Arial" w:hAnsi="Arial" w:cs="Arial"/>
        </w:rPr>
        <w:t> </w:t>
      </w:r>
      <w:r w:rsidRPr="00561F65">
        <w:t>Création d’une base de connaissances sur les inégalités économiques, sociales et en matière de santé auxquelles sont confrontées les personnes LGBTQ2S+ au Canada</w:t>
      </w:r>
      <w:r w:rsidR="00AB4C13" w:rsidRPr="00561F65">
        <w:rPr>
          <w:rFonts w:ascii="Arial" w:hAnsi="Arial" w:cs="Arial"/>
        </w:rPr>
        <w:t> </w:t>
      </w:r>
      <w:r w:rsidRPr="00561F65">
        <w:t xml:space="preserve">», Kelsey </w:t>
      </w:r>
      <w:r w:rsidRPr="00561F65">
        <w:rPr>
          <w:smallCaps/>
        </w:rPr>
        <w:t>Brennan</w:t>
      </w:r>
      <w:r w:rsidRPr="00561F65">
        <w:t xml:space="preserve">, Christina </w:t>
      </w:r>
      <w:r w:rsidRPr="00561F65">
        <w:rPr>
          <w:smallCaps/>
        </w:rPr>
        <w:t>Hackett,</w:t>
      </w:r>
      <w:r w:rsidRPr="00561F65">
        <w:t xml:space="preserve"> Chloe </w:t>
      </w:r>
      <w:r w:rsidRPr="00561F65">
        <w:rPr>
          <w:smallCaps/>
        </w:rPr>
        <w:t>Halpenny</w:t>
      </w:r>
      <w:r w:rsidRPr="00561F65">
        <w:t xml:space="preserve">, Basia </w:t>
      </w:r>
      <w:r w:rsidRPr="00561F65">
        <w:rPr>
          <w:smallCaps/>
        </w:rPr>
        <w:t>Pakula</w:t>
      </w:r>
      <w:r w:rsidRPr="00561F65">
        <w:t xml:space="preserve">, Sean </w:t>
      </w:r>
      <w:r w:rsidRPr="00561F65">
        <w:rPr>
          <w:smallCaps/>
        </w:rPr>
        <w:t>Waite</w:t>
      </w:r>
      <w:r w:rsidRPr="00561F65">
        <w:t xml:space="preserve"> et Audrey </w:t>
      </w:r>
      <w:r w:rsidRPr="00561F65">
        <w:rPr>
          <w:smallCaps/>
        </w:rPr>
        <w:t>Appiah</w:t>
      </w:r>
      <w:r w:rsidRPr="00561F65">
        <w:t xml:space="preserve">, [En ligne]. </w:t>
      </w:r>
      <w:hyperlink r:id="rId51" w:history="1">
        <w:r w:rsidR="005C3CD4" w:rsidRPr="007912CF">
          <w:rPr>
            <w:rStyle w:val="Lienhypertexte"/>
          </w:rPr>
          <w:t>https://www.srdc.org/fr/project/creation-dune-base-de-connaissances-sur-les-inegalites-economiques-sociales-et-en-matiere-de-sante-auxquelles-sont-confrontees-les-personnes-lgbtq2s-au-canada/</w:t>
        </w:r>
      </w:hyperlink>
    </w:p>
  </w:footnote>
  <w:footnote w:id="65">
    <w:p w14:paraId="32B1466C" w14:textId="60F3634A" w:rsidR="00285546" w:rsidRPr="00561F65" w:rsidRDefault="008F7246" w:rsidP="004E4354">
      <w:pPr>
        <w:pStyle w:val="NotesBasPage"/>
      </w:pPr>
      <w:r w:rsidRPr="00561F65">
        <w:rPr>
          <w:rStyle w:val="Appelnotedebasdep"/>
        </w:rPr>
        <w:footnoteRef/>
      </w:r>
      <w:r w:rsidRPr="00561F65">
        <w:t xml:space="preserve"> </w:t>
      </w:r>
      <w:r w:rsidRPr="00561F65">
        <w:tab/>
        <w:t xml:space="preserve">EGALE, </w:t>
      </w:r>
      <w:r w:rsidRPr="00561F65">
        <w:rPr>
          <w:i/>
        </w:rPr>
        <w:t>LGBTQI2S Workplace Inclusion</w:t>
      </w:r>
      <w:r w:rsidR="00577C83" w:rsidRPr="00561F65">
        <w:rPr>
          <w:i/>
        </w:rPr>
        <w:t> </w:t>
      </w:r>
      <w:r w:rsidRPr="00561F65">
        <w:rPr>
          <w:i/>
        </w:rPr>
        <w:t xml:space="preserve">: </w:t>
      </w:r>
      <w:proofErr w:type="spellStart"/>
      <w:r w:rsidRPr="00561F65">
        <w:rPr>
          <w:i/>
        </w:rPr>
        <w:t>Literature</w:t>
      </w:r>
      <w:proofErr w:type="spellEnd"/>
      <w:r w:rsidRPr="00561F65">
        <w:rPr>
          <w:i/>
        </w:rPr>
        <w:t xml:space="preserve"> </w:t>
      </w:r>
      <w:proofErr w:type="spellStart"/>
      <w:r w:rsidRPr="00561F65">
        <w:rPr>
          <w:i/>
        </w:rPr>
        <w:t>Review</w:t>
      </w:r>
      <w:proofErr w:type="spellEnd"/>
      <w:r w:rsidRPr="00561F65">
        <w:t>, 2020, [En ligne].</w:t>
      </w:r>
      <w:r w:rsidR="00BD7EEE" w:rsidRPr="00561F65">
        <w:t xml:space="preserve"> </w:t>
      </w:r>
      <w:hyperlink r:id="rId52" w:history="1">
        <w:r w:rsidR="00BD7EEE" w:rsidRPr="00561F65">
          <w:rPr>
            <w:rStyle w:val="Lienhypertexte"/>
            <w:color w:val="202C4B"/>
          </w:rPr>
          <w:t>https://egale.ca/awareness/workplace-literature-review/</w:t>
        </w:r>
      </w:hyperlink>
      <w:r w:rsidRPr="00561F65">
        <w:t xml:space="preserve"> </w:t>
      </w:r>
      <w:r w:rsidR="00BD6329" w:rsidRPr="00561F65">
        <w:rPr>
          <w:rFonts w:ascii="Arial" w:hAnsi="Arial" w:cs="Arial"/>
        </w:rPr>
        <w:t> </w:t>
      </w:r>
      <w:r w:rsidRPr="00561F65">
        <w:t xml:space="preserve">; EGALE, </w:t>
      </w:r>
      <w:r w:rsidRPr="00561F65">
        <w:rPr>
          <w:i/>
        </w:rPr>
        <w:t>Travailler pour le changement</w:t>
      </w:r>
      <w:r w:rsidR="00577C83" w:rsidRPr="00561F65">
        <w:rPr>
          <w:i/>
        </w:rPr>
        <w:t> </w:t>
      </w:r>
      <w:r w:rsidRPr="00561F65">
        <w:rPr>
          <w:i/>
        </w:rPr>
        <w:t>: comprendre les expériences en matière d’emploi des personnes</w:t>
      </w:r>
      <w:r w:rsidR="00BB0290" w:rsidRPr="00561F65">
        <w:rPr>
          <w:i/>
        </w:rPr>
        <w:t> </w:t>
      </w:r>
      <w:r w:rsidRPr="00561F65">
        <w:rPr>
          <w:i/>
        </w:rPr>
        <w:t>2Spirit, trans et non binaires au Canada</w:t>
      </w:r>
      <w:r w:rsidRPr="00561F65">
        <w:t xml:space="preserve">, 2024, [En ligne]. </w:t>
      </w:r>
      <w:hyperlink r:id="rId53" w:history="1">
        <w:r w:rsidR="00285546" w:rsidRPr="00E058E4">
          <w:rPr>
            <w:rStyle w:val="Lienhypertexte"/>
          </w:rPr>
          <w:t>https://egale.ca/fr/awareness/tpc/</w:t>
        </w:r>
      </w:hyperlink>
    </w:p>
  </w:footnote>
  <w:footnote w:id="66">
    <w:p w14:paraId="70B16B89" w14:textId="4402DFB5" w:rsidR="005F6228" w:rsidRPr="00561F65" w:rsidRDefault="008F7246" w:rsidP="004E4354">
      <w:pPr>
        <w:pStyle w:val="NotesBasPage"/>
      </w:pPr>
      <w:r w:rsidRPr="00561F65">
        <w:rPr>
          <w:rStyle w:val="Appelnotedebasdep"/>
        </w:rPr>
        <w:footnoteRef/>
      </w:r>
      <w:r w:rsidR="001D4CAB" w:rsidRPr="00561F65">
        <w:tab/>
      </w:r>
      <w:r w:rsidRPr="00561F65">
        <w:tab/>
      </w:r>
      <w:r w:rsidRPr="00561F65">
        <w:rPr>
          <w:smallCaps/>
        </w:rPr>
        <w:t>Gouvernement du Canada</w:t>
      </w:r>
      <w:r w:rsidRPr="00561F65">
        <w:t>, I</w:t>
      </w:r>
      <w:r w:rsidRPr="00561F65">
        <w:rPr>
          <w:smallCaps/>
        </w:rPr>
        <w:t>nnovation, Sciences et Développement économique Canada</w:t>
      </w:r>
      <w:r w:rsidRPr="00561F65">
        <w:t>, «</w:t>
      </w:r>
      <w:r w:rsidR="00AB4C13" w:rsidRPr="00561F65">
        <w:rPr>
          <w:rFonts w:ascii="Arial" w:hAnsi="Arial" w:cs="Arial"/>
        </w:rPr>
        <w:t> </w:t>
      </w:r>
      <w:r w:rsidRPr="00561F65">
        <w:t>Le Défi</w:t>
      </w:r>
      <w:r w:rsidR="005C5B01" w:rsidRPr="00561F65">
        <w:t> </w:t>
      </w:r>
      <w:r w:rsidRPr="00561F65">
        <w:t>50-30</w:t>
      </w:r>
      <w:r w:rsidR="00577C83" w:rsidRPr="00561F65">
        <w:t> </w:t>
      </w:r>
      <w:r w:rsidRPr="00561F65">
        <w:t>: Votre avantage, la diversité</w:t>
      </w:r>
      <w:r w:rsidR="00577C83" w:rsidRPr="00561F65">
        <w:rPr>
          <w:rFonts w:ascii="Arial" w:hAnsi="Arial" w:cs="Arial"/>
        </w:rPr>
        <w:t> </w:t>
      </w:r>
      <w:r w:rsidRPr="00561F65">
        <w:t>!</w:t>
      </w:r>
      <w:r w:rsidR="00AB4C13" w:rsidRPr="00561F65">
        <w:rPr>
          <w:rFonts w:ascii="Arial" w:hAnsi="Arial" w:cs="Arial"/>
        </w:rPr>
        <w:t> </w:t>
      </w:r>
      <w:r w:rsidRPr="00561F65">
        <w:t xml:space="preserve">», [En ligne]. </w:t>
      </w:r>
      <w:hyperlink r:id="rId54" w:history="1">
        <w:r w:rsidR="005F6228" w:rsidRPr="007912CF">
          <w:rPr>
            <w:rStyle w:val="Lienhypertexte"/>
          </w:rPr>
          <w:t>https://ised-isde.canada.ca/site/isde/fr/defi-50-30-votre-avantage-diversite</w:t>
        </w:r>
      </w:hyperlink>
    </w:p>
  </w:footnote>
  <w:footnote w:id="67">
    <w:p w14:paraId="20F8E6EA" w14:textId="66E20DDE" w:rsidR="008F7246" w:rsidRPr="00561F65" w:rsidRDefault="008F7246" w:rsidP="004E4354">
      <w:pPr>
        <w:pStyle w:val="NotesBasPage"/>
      </w:pPr>
      <w:r w:rsidRPr="00561F65">
        <w:rPr>
          <w:rStyle w:val="Appelnotedebasdep"/>
        </w:rPr>
        <w:footnoteRef/>
      </w:r>
      <w:r w:rsidRPr="00561F65">
        <w:t xml:space="preserve"> </w:t>
      </w:r>
      <w:r w:rsidRPr="00561F65">
        <w:tab/>
        <w:t>A</w:t>
      </w:r>
      <w:r w:rsidR="007354FC" w:rsidRPr="00561F65">
        <w:t>.</w:t>
      </w:r>
      <w:r w:rsidR="00BC48F0">
        <w:t> </w:t>
      </w:r>
      <w:r w:rsidRPr="00561F65">
        <w:rPr>
          <w:smallCaps/>
        </w:rPr>
        <w:t>Blackett</w:t>
      </w:r>
      <w:r w:rsidRPr="00561F65">
        <w:t xml:space="preserve">, </w:t>
      </w:r>
      <w:proofErr w:type="spellStart"/>
      <w:r w:rsidR="00C009A5" w:rsidRPr="00561F65">
        <w:t>préc</w:t>
      </w:r>
      <w:proofErr w:type="spellEnd"/>
      <w:r w:rsidR="00C009A5" w:rsidRPr="00561F65">
        <w:t xml:space="preserve">., note </w:t>
      </w:r>
      <w:r w:rsidR="00C009A5" w:rsidRPr="00561F65">
        <w:fldChar w:fldCharType="begin"/>
      </w:r>
      <w:r w:rsidR="00C009A5" w:rsidRPr="00561F65">
        <w:instrText xml:space="preserve"> NOTEREF _Ref218500534 \h </w:instrText>
      </w:r>
      <w:r w:rsidR="007017CF" w:rsidRPr="00561F65">
        <w:instrText xml:space="preserve"> \* MERGEFORMAT </w:instrText>
      </w:r>
      <w:r w:rsidR="00C009A5" w:rsidRPr="00561F65">
        <w:fldChar w:fldCharType="separate"/>
      </w:r>
      <w:r w:rsidR="000374E3" w:rsidRPr="00561F65">
        <w:t>45</w:t>
      </w:r>
      <w:r w:rsidR="00C009A5" w:rsidRPr="00561F65">
        <w:fldChar w:fldCharType="end"/>
      </w:r>
      <w:r w:rsidR="00C009A5" w:rsidRPr="00561F65">
        <w:t>.</w:t>
      </w:r>
    </w:p>
  </w:footnote>
  <w:footnote w:id="68">
    <w:p w14:paraId="7A21B988" w14:textId="689AA8C0" w:rsidR="004D1759" w:rsidRPr="00561F65" w:rsidRDefault="008F7246" w:rsidP="004E4354">
      <w:pPr>
        <w:pStyle w:val="NotesBasPage"/>
      </w:pPr>
      <w:r w:rsidRPr="00561F65">
        <w:rPr>
          <w:rStyle w:val="Appelnotedebasdep"/>
        </w:rPr>
        <w:footnoteRef/>
      </w:r>
      <w:r w:rsidR="001D4CAB" w:rsidRPr="00561F65">
        <w:rPr>
          <w:vertAlign w:val="superscript"/>
        </w:rPr>
        <w:tab/>
      </w:r>
      <w:r w:rsidRPr="00561F65">
        <w:tab/>
      </w:r>
      <w:r w:rsidRPr="00561F65">
        <w:rPr>
          <w:smallCaps/>
        </w:rPr>
        <w:t>Statistique Canada</w:t>
      </w:r>
      <w:r w:rsidRPr="00561F65">
        <w:t xml:space="preserve">, </w:t>
      </w:r>
      <w:r w:rsidRPr="007A745E">
        <w:rPr>
          <w:i/>
          <w:iCs/>
        </w:rPr>
        <w:t xml:space="preserve">Le Canada est le premier pays </w:t>
      </w:r>
      <w:r w:rsidRPr="007A745E">
        <w:rPr>
          <w:rFonts w:cs="Aptos"/>
          <w:i/>
          <w:iCs/>
        </w:rPr>
        <w:t>à</w:t>
      </w:r>
      <w:r w:rsidRPr="007A745E">
        <w:rPr>
          <w:i/>
          <w:iCs/>
        </w:rPr>
        <w:t xml:space="preserve"> produire des donn</w:t>
      </w:r>
      <w:r w:rsidRPr="007A745E">
        <w:rPr>
          <w:rFonts w:cs="Aptos"/>
          <w:i/>
          <w:iCs/>
        </w:rPr>
        <w:t>é</w:t>
      </w:r>
      <w:r w:rsidRPr="007A745E">
        <w:rPr>
          <w:i/>
          <w:iCs/>
        </w:rPr>
        <w:t xml:space="preserve">es sur les personnes transgenres et les personnes non binaires </w:t>
      </w:r>
      <w:r w:rsidRPr="007A745E">
        <w:rPr>
          <w:rFonts w:cs="Aptos"/>
          <w:i/>
          <w:iCs/>
        </w:rPr>
        <w:t>à</w:t>
      </w:r>
      <w:r w:rsidRPr="007A745E">
        <w:rPr>
          <w:i/>
          <w:iCs/>
        </w:rPr>
        <w:t xml:space="preserve"> l</w:t>
      </w:r>
      <w:r w:rsidRPr="007A745E">
        <w:rPr>
          <w:rFonts w:cs="Aptos"/>
          <w:i/>
          <w:iCs/>
        </w:rPr>
        <w:t>’</w:t>
      </w:r>
      <w:r w:rsidRPr="007A745E">
        <w:rPr>
          <w:i/>
          <w:iCs/>
        </w:rPr>
        <w:t>aide du recensement</w:t>
      </w:r>
      <w:r w:rsidRPr="00561F65">
        <w:t>, 2022, [En ligne</w:t>
      </w:r>
      <w:r w:rsidRPr="00E548CE">
        <w:t>]</w:t>
      </w:r>
      <w:r w:rsidR="00E548CE" w:rsidRPr="00E548CE">
        <w:t xml:space="preserve"> </w:t>
      </w:r>
      <w:hyperlink r:id="rId55" w:history="1">
        <w:r w:rsidR="009839B5" w:rsidRPr="007912CF">
          <w:rPr>
            <w:rStyle w:val="Lienhypertexte"/>
          </w:rPr>
          <w:t>https://www150.statcan.gc.ca/n1/daily-quotidien/220427/dq220427b-fra.htm?HPA=1</w:t>
        </w:r>
      </w:hyperlink>
      <w:r w:rsidR="009839B5">
        <w:t xml:space="preserve"> </w:t>
      </w:r>
      <w:r w:rsidR="004D1759" w:rsidRPr="00561F65">
        <w:t>(page consultée le13</w:t>
      </w:r>
      <w:r w:rsidR="00750B1D">
        <w:t> </w:t>
      </w:r>
      <w:r w:rsidR="004D1759" w:rsidRPr="00561F65">
        <w:t>janvier 2026).</w:t>
      </w:r>
    </w:p>
  </w:footnote>
  <w:footnote w:id="69">
    <w:p w14:paraId="53F417E3" w14:textId="05D3238A" w:rsidR="008F7246" w:rsidRPr="00561F65" w:rsidRDefault="008F7246" w:rsidP="004E4354">
      <w:pPr>
        <w:pStyle w:val="NotesBasPage"/>
      </w:pPr>
      <w:r w:rsidRPr="00561F65">
        <w:rPr>
          <w:rStyle w:val="Appelnotedebasdep"/>
        </w:rPr>
        <w:footnoteRef/>
      </w:r>
      <w:r w:rsidRPr="00561F65">
        <w:t xml:space="preserve"> </w:t>
      </w:r>
      <w:r w:rsidR="00D815E5" w:rsidRPr="00561F65">
        <w:tab/>
      </w:r>
      <w:r w:rsidRPr="00561F65">
        <w:rPr>
          <w:smallCaps/>
        </w:rPr>
        <w:t>Chambre de commerce LGBT du Québec</w:t>
      </w:r>
      <w:r w:rsidRPr="00561F65">
        <w:t xml:space="preserve">, </w:t>
      </w:r>
      <w:r w:rsidR="00A229F8" w:rsidRPr="00561F65">
        <w:t xml:space="preserve">[En ligne]. </w:t>
      </w:r>
      <w:hyperlink r:id="rId56" w:history="1">
        <w:r w:rsidRPr="000D7F5D">
          <w:rPr>
            <w:rStyle w:val="Lienhypertexte"/>
          </w:rPr>
          <w:t>https://www.cclgbtq.org/fr/</w:t>
        </w:r>
      </w:hyperlink>
      <w:r w:rsidRPr="00561F65">
        <w:t xml:space="preserve"> </w:t>
      </w:r>
    </w:p>
  </w:footnote>
  <w:footnote w:id="70">
    <w:p w14:paraId="3F83E7D0" w14:textId="0E076A84" w:rsidR="00157DFA" w:rsidRPr="00561F65" w:rsidRDefault="008F7246" w:rsidP="004E4354">
      <w:pPr>
        <w:pStyle w:val="NotesBasPage"/>
      </w:pPr>
      <w:r w:rsidRPr="00561F65">
        <w:rPr>
          <w:rStyle w:val="Appelnotedebasdep"/>
        </w:rPr>
        <w:footnoteRef/>
      </w:r>
      <w:r w:rsidRPr="00561F65">
        <w:t xml:space="preserve"> </w:t>
      </w:r>
      <w:r w:rsidR="00D815E5" w:rsidRPr="00561F65">
        <w:tab/>
      </w:r>
      <w:r w:rsidRPr="00561F65">
        <w:rPr>
          <w:smallCaps/>
        </w:rPr>
        <w:t>Chambre de commerce</w:t>
      </w:r>
      <w:r w:rsidR="00BB0290" w:rsidRPr="00561F65">
        <w:rPr>
          <w:smallCaps/>
        </w:rPr>
        <w:t> </w:t>
      </w:r>
      <w:r w:rsidRPr="00561F65">
        <w:rPr>
          <w:smallCaps/>
        </w:rPr>
        <w:t>2ELGBTQI+ du Canada</w:t>
      </w:r>
      <w:r w:rsidRPr="00561F65">
        <w:t xml:space="preserve">, </w:t>
      </w:r>
      <w:r w:rsidR="00A229F8" w:rsidRPr="00561F65">
        <w:t xml:space="preserve">[En ligne]. </w:t>
      </w:r>
      <w:hyperlink r:id="rId57" w:history="1">
        <w:r w:rsidR="00157DFA" w:rsidRPr="007912CF">
          <w:rPr>
            <w:rStyle w:val="Lienhypertexte"/>
          </w:rPr>
          <w:t>https://queerchamber.ca/fr/</w:t>
        </w:r>
      </w:hyperlink>
    </w:p>
  </w:footnote>
  <w:footnote w:id="71">
    <w:p w14:paraId="4DD368F2" w14:textId="5ED776C2" w:rsidR="00231777" w:rsidRPr="00561F65" w:rsidRDefault="008C1680" w:rsidP="004E4354">
      <w:pPr>
        <w:pStyle w:val="NotesBasPage"/>
      </w:pPr>
      <w:r w:rsidRPr="00561F65">
        <w:rPr>
          <w:rStyle w:val="Appelnotedebasdep"/>
        </w:rPr>
        <w:footnoteRef/>
      </w:r>
      <w:r w:rsidR="00220F86" w:rsidRPr="00561F65">
        <w:tab/>
      </w:r>
      <w:r w:rsidR="006E1714" w:rsidRPr="00561F65">
        <w:rPr>
          <w:smallCaps/>
        </w:rPr>
        <w:t>Dico en ligne Le Robert</w:t>
      </w:r>
      <w:r w:rsidR="006E1714" w:rsidRPr="00561F65">
        <w:t xml:space="preserve">, </w:t>
      </w:r>
      <w:r w:rsidRPr="00561F65">
        <w:t>«</w:t>
      </w:r>
      <w:r w:rsidRPr="00561F65">
        <w:rPr>
          <w:rFonts w:ascii="Arial" w:hAnsi="Arial" w:cs="Arial"/>
        </w:rPr>
        <w:t> </w:t>
      </w:r>
      <w:r w:rsidRPr="00561F65">
        <w:t>Emploi</w:t>
      </w:r>
      <w:r w:rsidRPr="00561F65">
        <w:rPr>
          <w:rFonts w:ascii="Arial" w:hAnsi="Arial" w:cs="Arial"/>
        </w:rPr>
        <w:t> </w:t>
      </w:r>
      <w:r w:rsidRPr="00561F65">
        <w:t xml:space="preserve">», [En ligne]. </w:t>
      </w:r>
      <w:hyperlink r:id="rId58" w:history="1">
        <w:r w:rsidR="00231777" w:rsidRPr="007912CF">
          <w:rPr>
            <w:rStyle w:val="Lienhypertexte"/>
          </w:rPr>
          <w:t>https://dictionnaire.lerobert.com/definition/emploi</w:t>
        </w:r>
      </w:hyperlink>
    </w:p>
  </w:footnote>
  <w:footnote w:id="72">
    <w:p w14:paraId="1C42111A" w14:textId="3B86AC70" w:rsidR="00741222" w:rsidRPr="00561F65" w:rsidRDefault="008C1680" w:rsidP="004E4354">
      <w:pPr>
        <w:pStyle w:val="NotesBasPage"/>
      </w:pPr>
      <w:r w:rsidRPr="00561F65">
        <w:rPr>
          <w:rStyle w:val="Appelnotedebasdep"/>
        </w:rPr>
        <w:footnoteRef/>
      </w:r>
      <w:r w:rsidRPr="00561F65">
        <w:t xml:space="preserve"> </w:t>
      </w:r>
      <w:r w:rsidRPr="00561F65">
        <w:tab/>
      </w:r>
      <w:r w:rsidR="009A7EE9" w:rsidRPr="00561F65">
        <w:rPr>
          <w:smallCaps/>
        </w:rPr>
        <w:t>Dico en ligne Le Robert</w:t>
      </w:r>
      <w:r w:rsidR="009A7EE9" w:rsidRPr="00561F65">
        <w:t>, «</w:t>
      </w:r>
      <w:r w:rsidR="00FC464D">
        <w:rPr>
          <w:rFonts w:ascii="Arial" w:hAnsi="Arial" w:cs="Arial"/>
        </w:rPr>
        <w:t> </w:t>
      </w:r>
      <w:r w:rsidR="009A7EE9" w:rsidRPr="00561F65">
        <w:t>Travail</w:t>
      </w:r>
      <w:r w:rsidR="009A7EE9" w:rsidRPr="00561F65">
        <w:rPr>
          <w:rFonts w:ascii="Arial" w:hAnsi="Arial" w:cs="Arial"/>
        </w:rPr>
        <w:t> </w:t>
      </w:r>
      <w:r w:rsidR="009A7EE9" w:rsidRPr="00561F65">
        <w:t>», [En ligne].</w:t>
      </w:r>
      <w:r w:rsidR="00392498" w:rsidRPr="00561F65">
        <w:t xml:space="preserve"> </w:t>
      </w:r>
      <w:hyperlink r:id="rId59" w:history="1">
        <w:r w:rsidR="00741222" w:rsidRPr="007912CF">
          <w:rPr>
            <w:rStyle w:val="Lienhypertexte"/>
          </w:rPr>
          <w:t>https://dictionnaire.lerobert.com/definition/travail</w:t>
        </w:r>
      </w:hyperlink>
    </w:p>
  </w:footnote>
  <w:footnote w:id="73">
    <w:p w14:paraId="445509D3" w14:textId="77777777" w:rsidR="008C1680" w:rsidRPr="00561F65" w:rsidRDefault="008C1680" w:rsidP="004E4354">
      <w:pPr>
        <w:pStyle w:val="NotesBasPage"/>
      </w:pPr>
      <w:r w:rsidRPr="00561F65">
        <w:rPr>
          <w:rStyle w:val="Appelnotedebasdep"/>
        </w:rPr>
        <w:footnoteRef/>
      </w:r>
      <w:r w:rsidRPr="00561F65">
        <w:t xml:space="preserve"> </w:t>
      </w:r>
      <w:r w:rsidRPr="00561F65">
        <w:tab/>
        <w:t>«</w:t>
      </w:r>
      <w:r w:rsidRPr="00561F65">
        <w:rPr>
          <w:rFonts w:ascii="Arial" w:hAnsi="Arial" w:cs="Arial"/>
        </w:rPr>
        <w:t> </w:t>
      </w:r>
      <w:r w:rsidRPr="00561F65">
        <w:t>Travail</w:t>
      </w:r>
      <w:r w:rsidRPr="00561F65">
        <w:rPr>
          <w:rFonts w:ascii="Arial" w:hAnsi="Arial" w:cs="Arial"/>
        </w:rPr>
        <w:t> </w:t>
      </w:r>
      <w:r w:rsidRPr="00561F65">
        <w:t xml:space="preserve">», dans Hubert </w:t>
      </w:r>
      <w:r w:rsidRPr="00561F65">
        <w:rPr>
          <w:smallCaps/>
        </w:rPr>
        <w:t>Reid</w:t>
      </w:r>
      <w:r w:rsidRPr="00561F65">
        <w:t xml:space="preserve">, </w:t>
      </w:r>
      <w:r w:rsidRPr="00561F65">
        <w:rPr>
          <w:i/>
        </w:rPr>
        <w:t xml:space="preserve">Dictionnaire de droit québécois et canadien, </w:t>
      </w:r>
      <w:r w:rsidRPr="00561F65">
        <w:t xml:space="preserve">Wilson et Lafleur, 2023. </w:t>
      </w:r>
    </w:p>
  </w:footnote>
  <w:footnote w:id="74">
    <w:p w14:paraId="59B84498" w14:textId="7A53E85D" w:rsidR="00396FF7" w:rsidRPr="0026497C" w:rsidRDefault="008C1680" w:rsidP="004E4354">
      <w:pPr>
        <w:pStyle w:val="NotesBasPage"/>
      </w:pPr>
      <w:r w:rsidRPr="00561F65">
        <w:rPr>
          <w:rStyle w:val="Appelnotedebasdep"/>
        </w:rPr>
        <w:footnoteRef/>
      </w:r>
      <w:r w:rsidRPr="00561F65">
        <w:t xml:space="preserve"> </w:t>
      </w:r>
      <w:r w:rsidRPr="00561F65">
        <w:tab/>
        <w:t xml:space="preserve">EGALE, </w:t>
      </w:r>
      <w:proofErr w:type="spellStart"/>
      <w:r w:rsidRPr="00561F65">
        <w:t>préc</w:t>
      </w:r>
      <w:proofErr w:type="spellEnd"/>
      <w:r w:rsidRPr="00561F65">
        <w:t xml:space="preserve">., note </w:t>
      </w:r>
      <w:r w:rsidRPr="00561F65">
        <w:fldChar w:fldCharType="begin"/>
      </w:r>
      <w:r w:rsidRPr="00561F65">
        <w:instrText xml:space="preserve"> NOTEREF _Ref218503799 \h  \* MERGEFORMAT </w:instrText>
      </w:r>
      <w:r w:rsidRPr="00561F65">
        <w:fldChar w:fldCharType="separate"/>
      </w:r>
      <w:r w:rsidR="000374E3" w:rsidRPr="00561F65">
        <w:t>64</w:t>
      </w:r>
      <w:r w:rsidRPr="00561F65">
        <w:fldChar w:fldCharType="end"/>
      </w:r>
      <w:r w:rsidRPr="00561F65">
        <w:t>, p. 35-38</w:t>
      </w:r>
      <w:r w:rsidR="005C293F" w:rsidRPr="00561F65">
        <w:rPr>
          <w:rFonts w:ascii="Arial" w:hAnsi="Arial" w:cs="Arial"/>
        </w:rPr>
        <w:t> </w:t>
      </w:r>
      <w:r w:rsidR="007E3A6F" w:rsidRPr="00561F65">
        <w:t>;</w:t>
      </w:r>
      <w:r w:rsidRPr="00561F65">
        <w:t xml:space="preserve"> Voir aussi </w:t>
      </w:r>
      <w:r w:rsidRPr="00561F65">
        <w:rPr>
          <w:smallCaps/>
        </w:rPr>
        <w:t>Trans PULSE Canada</w:t>
      </w:r>
      <w:r w:rsidRPr="00561F65">
        <w:rPr>
          <w:i/>
        </w:rPr>
        <w:t xml:space="preserve">. </w:t>
      </w:r>
      <w:r w:rsidRPr="00561F65">
        <w:rPr>
          <w:i/>
          <w:lang w:val="en-CA"/>
        </w:rPr>
        <w:t>Health and well-being among trans and non-binary people doing sex work</w:t>
      </w:r>
      <w:r w:rsidRPr="00561F65">
        <w:rPr>
          <w:lang w:val="en-CA"/>
        </w:rPr>
        <w:t xml:space="preserve">, 2021, [En </w:t>
      </w:r>
      <w:proofErr w:type="spellStart"/>
      <w:r w:rsidRPr="00561F65">
        <w:rPr>
          <w:lang w:val="en-CA"/>
        </w:rPr>
        <w:t>ligne</w:t>
      </w:r>
      <w:proofErr w:type="spellEnd"/>
      <w:r w:rsidRPr="00561F65">
        <w:rPr>
          <w:lang w:val="en-CA"/>
        </w:rPr>
        <w:t xml:space="preserve">]. </w:t>
      </w:r>
      <w:hyperlink r:id="rId60" w:history="1">
        <w:r w:rsidR="00396FF7" w:rsidRPr="0026497C">
          <w:rPr>
            <w:rStyle w:val="Lienhypertexte"/>
          </w:rPr>
          <w:t>https://transpulsecanada.ca/wp-content/uploads/2021/03/Sex-Work-PPCT-Report-EN-vFINAL-FINAL-ua.pdf</w:t>
        </w:r>
      </w:hyperlink>
    </w:p>
  </w:footnote>
  <w:footnote w:id="75">
    <w:p w14:paraId="27DF0B25" w14:textId="279E1B2F" w:rsidR="00355050" w:rsidRPr="00561F65" w:rsidRDefault="00355050" w:rsidP="004E4354">
      <w:pPr>
        <w:pStyle w:val="NotesBasPage"/>
      </w:pPr>
      <w:r w:rsidRPr="00561F65">
        <w:rPr>
          <w:rStyle w:val="Appelnotedebasdep"/>
        </w:rPr>
        <w:footnoteRef/>
      </w:r>
      <w:r w:rsidRPr="00561F65">
        <w:t xml:space="preserve"> </w:t>
      </w:r>
      <w:r w:rsidR="00D815E5" w:rsidRPr="00561F65">
        <w:tab/>
      </w:r>
      <w:r w:rsidRPr="00561F65">
        <w:t>La présente revue de littérature s’appuie sur plus de 70</w:t>
      </w:r>
      <w:r w:rsidR="005516C0" w:rsidRPr="00561F65">
        <w:t> </w:t>
      </w:r>
      <w:r w:rsidRPr="00561F65">
        <w:t>articles scientifiques et une quarantaine de rapports et guides publiés par des instituts de recherche, des organismes publics et des organismes communautaires. Compte tenu du peu de littérature disponible sur le sujet au Québec, la recherche a été élargie aux autres contextes nord-américains et européens. Les constats présentés ici découlent cependant principalement d’une vingtaine d’articles et d’une dizaine de rapports portant sur le Québec et le Canada. Les sources provenant d’autres contextes ont servi à alimenter les réflexions conceptuelles, à proposer des pistes d’analyse ou à offrir une perspective comparative.</w:t>
      </w:r>
    </w:p>
  </w:footnote>
  <w:footnote w:id="76">
    <w:p w14:paraId="1D902AD7" w14:textId="3299F4C2" w:rsidR="00955852" w:rsidRPr="000D047C" w:rsidRDefault="00355050" w:rsidP="004E4354">
      <w:pPr>
        <w:pStyle w:val="NotesBasPage"/>
        <w:rPr>
          <w:lang w:val="en-CA"/>
        </w:rPr>
      </w:pPr>
      <w:r w:rsidRPr="00561F65">
        <w:rPr>
          <w:rStyle w:val="Appelnotedebasdep"/>
        </w:rPr>
        <w:footnoteRef/>
      </w:r>
      <w:r w:rsidRPr="00561F65">
        <w:rPr>
          <w:lang w:val="en-CA"/>
        </w:rPr>
        <w:t xml:space="preserve"> </w:t>
      </w:r>
      <w:r w:rsidRPr="00561F65">
        <w:rPr>
          <w:lang w:val="en-CA"/>
        </w:rPr>
        <w:tab/>
        <w:t xml:space="preserve">Voir par </w:t>
      </w:r>
      <w:proofErr w:type="spellStart"/>
      <w:proofErr w:type="gramStart"/>
      <w:r w:rsidRPr="00561F65">
        <w:rPr>
          <w:lang w:val="en-CA"/>
        </w:rPr>
        <w:t>exemple</w:t>
      </w:r>
      <w:proofErr w:type="spellEnd"/>
      <w:r w:rsidR="00577C83" w:rsidRPr="00561F65">
        <w:rPr>
          <w:lang w:val="en-CA"/>
        </w:rPr>
        <w:t> </w:t>
      </w:r>
      <w:r w:rsidRPr="00561F65">
        <w:rPr>
          <w:lang w:val="en-CA"/>
        </w:rPr>
        <w:t>:</w:t>
      </w:r>
      <w:proofErr w:type="gramEnd"/>
      <w:r w:rsidRPr="00561F65">
        <w:rPr>
          <w:lang w:val="en-CA"/>
        </w:rPr>
        <w:t xml:space="preserve"> </w:t>
      </w:r>
      <w:r w:rsidR="008A2BEC" w:rsidRPr="00561F65">
        <w:rPr>
          <w:lang w:val="en-CA"/>
        </w:rPr>
        <w:t>S.</w:t>
      </w:r>
      <w:r w:rsidR="00BC48F0">
        <w:rPr>
          <w:lang w:val="en-CA"/>
        </w:rPr>
        <w:t> </w:t>
      </w:r>
      <w:r w:rsidRPr="00561F65">
        <w:rPr>
          <w:smallCaps/>
          <w:lang w:val="en-CA"/>
        </w:rPr>
        <w:t>Waite</w:t>
      </w:r>
      <w:r w:rsidRPr="00561F65">
        <w:rPr>
          <w:lang w:val="en-CA"/>
        </w:rPr>
        <w:t>, J.</w:t>
      </w:r>
      <w:r w:rsidR="00E328B0">
        <w:rPr>
          <w:lang w:val="en-CA"/>
        </w:rPr>
        <w:t> </w:t>
      </w:r>
      <w:r w:rsidRPr="00561F65">
        <w:rPr>
          <w:smallCaps/>
          <w:lang w:val="en-CA"/>
        </w:rPr>
        <w:t>Ecker</w:t>
      </w:r>
      <w:r w:rsidRPr="00561F65">
        <w:rPr>
          <w:lang w:val="en-CA"/>
        </w:rPr>
        <w:t xml:space="preserve"> et L. E. </w:t>
      </w:r>
      <w:r w:rsidRPr="00561F65">
        <w:rPr>
          <w:smallCaps/>
          <w:lang w:val="en-CA"/>
        </w:rPr>
        <w:t>Ross</w:t>
      </w:r>
      <w:r w:rsidRPr="00561F65">
        <w:rPr>
          <w:lang w:val="en-CA"/>
        </w:rPr>
        <w:t xml:space="preserve">, </w:t>
      </w:r>
      <w:proofErr w:type="spellStart"/>
      <w:r w:rsidR="00646B68" w:rsidRPr="00561F65">
        <w:rPr>
          <w:lang w:val="en-CA"/>
        </w:rPr>
        <w:t>préc</w:t>
      </w:r>
      <w:proofErr w:type="spellEnd"/>
      <w:r w:rsidR="00646B68" w:rsidRPr="00561F65">
        <w:rPr>
          <w:lang w:val="en-CA"/>
        </w:rPr>
        <w:t xml:space="preserve">., note </w:t>
      </w:r>
      <w:r w:rsidR="00646B68" w:rsidRPr="00561F65">
        <w:fldChar w:fldCharType="begin"/>
      </w:r>
      <w:r w:rsidR="00646B68" w:rsidRPr="00561F65">
        <w:rPr>
          <w:lang w:val="en-CA"/>
        </w:rPr>
        <w:instrText xml:space="preserve"> NOTEREF _Ref218500534 \h </w:instrText>
      </w:r>
      <w:r w:rsidR="007017CF" w:rsidRPr="00561F65">
        <w:rPr>
          <w:lang w:val="en-CA"/>
        </w:rPr>
        <w:instrText xml:space="preserve"> \* MERGEFORMAT </w:instrText>
      </w:r>
      <w:r w:rsidR="00646B68" w:rsidRPr="00561F65">
        <w:fldChar w:fldCharType="separate"/>
      </w:r>
      <w:r w:rsidR="000374E3" w:rsidRPr="00561F65">
        <w:rPr>
          <w:lang w:val="en-CA"/>
        </w:rPr>
        <w:t>45</w:t>
      </w:r>
      <w:r w:rsidR="00646B68" w:rsidRPr="00561F65">
        <w:fldChar w:fldCharType="end"/>
      </w:r>
      <w:r w:rsidR="005C293F" w:rsidRPr="00561F65">
        <w:rPr>
          <w:rFonts w:ascii="Arial" w:hAnsi="Arial" w:cs="Arial"/>
          <w:lang w:val="en-CA"/>
        </w:rPr>
        <w:t> </w:t>
      </w:r>
      <w:r w:rsidRPr="00561F65">
        <w:rPr>
          <w:lang w:val="en-CA"/>
        </w:rPr>
        <w:t xml:space="preserve">; EGALE, </w:t>
      </w:r>
      <w:proofErr w:type="spellStart"/>
      <w:r w:rsidR="00BD7EEE" w:rsidRPr="00561F65">
        <w:rPr>
          <w:lang w:val="en-CA"/>
        </w:rPr>
        <w:t>préc</w:t>
      </w:r>
      <w:proofErr w:type="spellEnd"/>
      <w:r w:rsidR="00BD7EEE" w:rsidRPr="00561F65">
        <w:rPr>
          <w:lang w:val="en-CA"/>
        </w:rPr>
        <w:t xml:space="preserve">., note </w:t>
      </w:r>
      <w:r w:rsidR="00BD7EEE" w:rsidRPr="00561F65">
        <w:fldChar w:fldCharType="begin"/>
      </w:r>
      <w:r w:rsidR="00BD7EEE" w:rsidRPr="00561F65">
        <w:rPr>
          <w:lang w:val="en-CA"/>
        </w:rPr>
        <w:instrText xml:space="preserve"> NOTEREF _Ref218503799 \h </w:instrText>
      </w:r>
      <w:r w:rsidR="007017CF" w:rsidRPr="00561F65">
        <w:rPr>
          <w:lang w:val="en-CA"/>
        </w:rPr>
        <w:instrText xml:space="preserve"> \* MERGEFORMAT </w:instrText>
      </w:r>
      <w:r w:rsidR="00BD7EEE" w:rsidRPr="00561F65">
        <w:fldChar w:fldCharType="separate"/>
      </w:r>
      <w:r w:rsidR="000374E3" w:rsidRPr="00561F65">
        <w:rPr>
          <w:lang w:val="en-CA"/>
        </w:rPr>
        <w:t>64</w:t>
      </w:r>
      <w:r w:rsidR="00BD7EEE" w:rsidRPr="00561F65">
        <w:fldChar w:fldCharType="end"/>
      </w:r>
      <w:r w:rsidR="005C293F" w:rsidRPr="00561F65">
        <w:rPr>
          <w:rFonts w:ascii="Arial" w:hAnsi="Arial" w:cs="Arial"/>
          <w:lang w:val="en-CA"/>
        </w:rPr>
        <w:t> </w:t>
      </w:r>
      <w:r w:rsidRPr="00561F65">
        <w:rPr>
          <w:lang w:val="en-CA"/>
        </w:rPr>
        <w:t xml:space="preserve">; </w:t>
      </w:r>
      <w:r w:rsidRPr="00561F65">
        <w:rPr>
          <w:smallCaps/>
          <w:lang w:val="en-CA"/>
        </w:rPr>
        <w:t>Social Research and Demonstration Corporation</w:t>
      </w:r>
      <w:r w:rsidRPr="00561F65">
        <w:rPr>
          <w:lang w:val="en-CA"/>
        </w:rPr>
        <w:t xml:space="preserve">, </w:t>
      </w:r>
      <w:r w:rsidRPr="00561F65">
        <w:rPr>
          <w:i/>
          <w:lang w:val="en-CA"/>
        </w:rPr>
        <w:t>Building the evidence base about economic, health and social inequities faced by LGBTQ2S+ individuals in Canada: Phase 1 Report</w:t>
      </w:r>
      <w:r w:rsidRPr="00561F65">
        <w:rPr>
          <w:lang w:val="en-CA"/>
        </w:rPr>
        <w:t xml:space="preserve">, 2021, [En </w:t>
      </w:r>
      <w:proofErr w:type="spellStart"/>
      <w:r w:rsidRPr="00561F65">
        <w:rPr>
          <w:lang w:val="en-CA"/>
        </w:rPr>
        <w:t>ligne</w:t>
      </w:r>
      <w:proofErr w:type="spellEnd"/>
      <w:r>
        <w:fldChar w:fldCharType="begin"/>
      </w:r>
      <w:r w:rsidRPr="00B71578">
        <w:rPr>
          <w:lang w:val="en-CA"/>
        </w:rPr>
        <w:instrText>HYPERLINK "https://www.srdc.org/wp-content/uploads/2022/07/wage-phase1-report.pdf"</w:instrText>
      </w:r>
      <w:r>
        <w:fldChar w:fldCharType="separate"/>
      </w:r>
      <w:r w:rsidRPr="000D047C">
        <w:rPr>
          <w:rStyle w:val="Lienhypertexte"/>
          <w:lang w:val="en-CA"/>
        </w:rPr>
        <w:t xml:space="preserve">]. </w:t>
      </w:r>
      <w:r w:rsidR="00955852" w:rsidRPr="000D047C">
        <w:rPr>
          <w:rStyle w:val="Lienhypertexte"/>
          <w:lang w:val="en-CA"/>
        </w:rPr>
        <w:t>https://www.srdc.org/wp-content/uploads/2022/07/wage-phase1-report.pdf</w:t>
      </w:r>
      <w:r>
        <w:fldChar w:fldCharType="end"/>
      </w:r>
    </w:p>
  </w:footnote>
  <w:footnote w:id="77">
    <w:p w14:paraId="199C36E8" w14:textId="455DFBD6" w:rsidR="00682D6E" w:rsidRPr="003C51EF" w:rsidRDefault="00682D6E" w:rsidP="004E4354">
      <w:pPr>
        <w:pStyle w:val="NotesBasPage"/>
      </w:pPr>
      <w:r w:rsidRPr="00561F65">
        <w:rPr>
          <w:rStyle w:val="Appelnotedebasdep"/>
        </w:rPr>
        <w:footnoteRef/>
      </w:r>
      <w:r w:rsidRPr="00561F65">
        <w:rPr>
          <w:lang w:val="en-CA"/>
        </w:rPr>
        <w:t xml:space="preserve"> </w:t>
      </w:r>
      <w:r w:rsidRPr="00561F65">
        <w:rPr>
          <w:lang w:val="en-CA"/>
        </w:rPr>
        <w:tab/>
      </w:r>
      <w:r w:rsidR="00955852" w:rsidRPr="00561F65">
        <w:rPr>
          <w:lang w:val="en-CA"/>
        </w:rPr>
        <w:t>B</w:t>
      </w:r>
      <w:r w:rsidR="00721612" w:rsidRPr="00561F65">
        <w:rPr>
          <w:lang w:val="en-CA"/>
        </w:rPr>
        <w:t>arry</w:t>
      </w:r>
      <w:r w:rsidR="00955852" w:rsidRPr="00561F65">
        <w:rPr>
          <w:lang w:val="en-CA"/>
        </w:rPr>
        <w:t>. D.</w:t>
      </w:r>
      <w:r w:rsidR="00135B4F">
        <w:rPr>
          <w:smallCaps/>
          <w:lang w:val="en-CA"/>
        </w:rPr>
        <w:t> </w:t>
      </w:r>
      <w:r w:rsidRPr="00561F65">
        <w:rPr>
          <w:smallCaps/>
          <w:lang w:val="en-CA"/>
        </w:rPr>
        <w:t>Adam</w:t>
      </w:r>
      <w:r w:rsidRPr="00561F65">
        <w:rPr>
          <w:lang w:val="en-CA"/>
        </w:rPr>
        <w:t xml:space="preserve">, « Stigma and employability: discrimination by sex and sexual orientation in the Ontario legal profession », (1981) 18-2 </w:t>
      </w:r>
      <w:r w:rsidRPr="00561F65">
        <w:rPr>
          <w:i/>
          <w:lang w:val="en-CA"/>
        </w:rPr>
        <w:t xml:space="preserve">Canadian Review of Sociology/Revue canadienne de </w:t>
      </w:r>
      <w:proofErr w:type="spellStart"/>
      <w:r w:rsidRPr="00561F65">
        <w:rPr>
          <w:i/>
          <w:lang w:val="en-CA"/>
        </w:rPr>
        <w:t>sociologie</w:t>
      </w:r>
      <w:proofErr w:type="spellEnd"/>
      <w:r w:rsidR="005C5B01" w:rsidRPr="00561F65">
        <w:rPr>
          <w:lang w:val="en-CA"/>
        </w:rPr>
        <w:t> </w:t>
      </w:r>
      <w:r w:rsidRPr="00561F65">
        <w:rPr>
          <w:lang w:val="en-CA"/>
        </w:rPr>
        <w:t>216</w:t>
      </w:r>
      <w:r w:rsidRPr="00561F65">
        <w:rPr>
          <w:lang w:val="en-CA"/>
        </w:rPr>
        <w:noBreakHyphen/>
        <w:t xml:space="preserve">221, </w:t>
      </w:r>
      <w:r w:rsidR="00CF5AAC" w:rsidRPr="00561F65">
        <w:rPr>
          <w:lang w:val="en-CA"/>
        </w:rPr>
        <w:t xml:space="preserve">[En </w:t>
      </w:r>
      <w:proofErr w:type="spellStart"/>
      <w:r w:rsidR="00CF5AAC" w:rsidRPr="00561F65">
        <w:rPr>
          <w:lang w:val="en-CA"/>
        </w:rPr>
        <w:t>ligne</w:t>
      </w:r>
      <w:proofErr w:type="spellEnd"/>
      <w:r w:rsidR="00CF5AAC" w:rsidRPr="00561F65">
        <w:rPr>
          <w:lang w:val="en-CA"/>
        </w:rPr>
        <w:t>].</w:t>
      </w:r>
      <w:r w:rsidR="003C51EF" w:rsidRPr="003C51EF">
        <w:rPr>
          <w:lang w:val="en-CA"/>
        </w:rPr>
        <w:t xml:space="preserve"> </w:t>
      </w:r>
      <w:hyperlink r:id="rId61" w:history="1">
        <w:r w:rsidR="003C51EF" w:rsidRPr="003C51EF">
          <w:rPr>
            <w:rStyle w:val="Lienhypertexte"/>
          </w:rPr>
          <w:t>https://onlinelibrary.wiley.com/doi/10.1111/j.1755-618X.1981.tb01234.x</w:t>
        </w:r>
      </w:hyperlink>
      <w:r w:rsidR="00343CAE" w:rsidRPr="003C51EF">
        <w:t xml:space="preserve">, </w:t>
      </w:r>
      <w:r w:rsidRPr="003C51EF">
        <w:t xml:space="preserve">cité dans </w:t>
      </w:r>
      <w:r w:rsidR="00646B68" w:rsidRPr="003C51EF">
        <w:t>S.</w:t>
      </w:r>
      <w:r w:rsidR="00E328B0" w:rsidRPr="003C51EF">
        <w:t> </w:t>
      </w:r>
      <w:r w:rsidRPr="003C51EF">
        <w:rPr>
          <w:smallCaps/>
        </w:rPr>
        <w:t>Waite</w:t>
      </w:r>
      <w:r w:rsidRPr="003C51EF">
        <w:t>, J.</w:t>
      </w:r>
      <w:r w:rsidR="00E328B0" w:rsidRPr="003C51EF">
        <w:t> </w:t>
      </w:r>
      <w:r w:rsidRPr="003C51EF">
        <w:rPr>
          <w:smallCaps/>
        </w:rPr>
        <w:t>Ecker</w:t>
      </w:r>
      <w:r w:rsidRPr="003C51EF">
        <w:t xml:space="preserve"> et L. E. </w:t>
      </w:r>
      <w:r w:rsidRPr="003C51EF">
        <w:rPr>
          <w:smallCaps/>
        </w:rPr>
        <w:t>Ross,</w:t>
      </w:r>
      <w:r w:rsidRPr="003C51EF">
        <w:t xml:space="preserve"> </w:t>
      </w:r>
      <w:proofErr w:type="spellStart"/>
      <w:r w:rsidR="00646B68" w:rsidRPr="003C51EF">
        <w:t>préc</w:t>
      </w:r>
      <w:proofErr w:type="spellEnd"/>
      <w:r w:rsidR="00646B68" w:rsidRPr="003C51EF">
        <w:t xml:space="preserve">., note </w:t>
      </w:r>
      <w:r w:rsidR="00646B68" w:rsidRPr="00561F65">
        <w:fldChar w:fldCharType="begin"/>
      </w:r>
      <w:r w:rsidR="00646B68" w:rsidRPr="003C51EF">
        <w:instrText xml:space="preserve"> NOTEREF _Ref218500534 \h </w:instrText>
      </w:r>
      <w:r w:rsidR="007017CF" w:rsidRPr="003C51EF">
        <w:instrText xml:space="preserve"> \* MERGEFORMAT </w:instrText>
      </w:r>
      <w:r w:rsidR="00646B68" w:rsidRPr="00561F65">
        <w:fldChar w:fldCharType="separate"/>
      </w:r>
      <w:r w:rsidR="000374E3" w:rsidRPr="003C51EF">
        <w:t>45</w:t>
      </w:r>
      <w:r w:rsidR="00646B68" w:rsidRPr="00561F65">
        <w:fldChar w:fldCharType="end"/>
      </w:r>
      <w:r w:rsidR="00646B68" w:rsidRPr="003C51EF">
        <w:t>.</w:t>
      </w:r>
    </w:p>
  </w:footnote>
  <w:footnote w:id="78">
    <w:p w14:paraId="18F32891" w14:textId="2A76AFF6" w:rsidR="00682D6E" w:rsidRPr="00561F65" w:rsidRDefault="00682D6E" w:rsidP="004E4354">
      <w:pPr>
        <w:pStyle w:val="NotesBasPage"/>
      </w:pPr>
      <w:r w:rsidRPr="00561F65">
        <w:rPr>
          <w:rStyle w:val="Appelnotedebasdep"/>
        </w:rPr>
        <w:footnoteRef/>
      </w:r>
      <w:r w:rsidRPr="00561F65">
        <w:t xml:space="preserve"> </w:t>
      </w:r>
      <w:r w:rsidRPr="00561F65">
        <w:tab/>
        <w:t xml:space="preserve">Commission des droits de la personne et des droits de la jeunesse, </w:t>
      </w:r>
      <w:proofErr w:type="spellStart"/>
      <w:r w:rsidR="009E13AD" w:rsidRPr="00561F65">
        <w:t>préc</w:t>
      </w:r>
      <w:proofErr w:type="spellEnd"/>
      <w:r w:rsidR="009E13AD" w:rsidRPr="00561F65">
        <w:t xml:space="preserve">., note </w:t>
      </w:r>
      <w:r w:rsidR="009E13AD" w:rsidRPr="00561F65">
        <w:fldChar w:fldCharType="begin"/>
      </w:r>
      <w:r w:rsidR="009E13AD" w:rsidRPr="00561F65">
        <w:instrText xml:space="preserve"> NOTEREF _Ref216861339 \h </w:instrText>
      </w:r>
      <w:r w:rsidR="007017CF" w:rsidRPr="00561F65">
        <w:instrText xml:space="preserve"> \* MERGEFORMAT </w:instrText>
      </w:r>
      <w:r w:rsidR="009E13AD" w:rsidRPr="00561F65">
        <w:fldChar w:fldCharType="separate"/>
      </w:r>
      <w:r w:rsidR="000374E3" w:rsidRPr="00561F65">
        <w:t>5</w:t>
      </w:r>
      <w:r w:rsidR="009E13AD" w:rsidRPr="00561F65">
        <w:fldChar w:fldCharType="end"/>
      </w:r>
      <w:r w:rsidR="009E13AD" w:rsidRPr="00561F65">
        <w:t>,</w:t>
      </w:r>
      <w:r w:rsidRPr="00561F65">
        <w:t xml:space="preserve"> p.</w:t>
      </w:r>
      <w:r w:rsidR="005C5B01" w:rsidRPr="00561F65">
        <w:t> </w:t>
      </w:r>
      <w:r w:rsidRPr="00561F65">
        <w:t>106-108</w:t>
      </w:r>
      <w:r w:rsidR="00BD6329" w:rsidRPr="00561F65">
        <w:rPr>
          <w:rFonts w:ascii="Arial" w:hAnsi="Arial" w:cs="Arial"/>
        </w:rPr>
        <w:t> </w:t>
      </w:r>
      <w:r w:rsidRPr="00561F65">
        <w:t xml:space="preserve">; </w:t>
      </w:r>
      <w:r w:rsidR="006E1714" w:rsidRPr="00561F65">
        <w:t>Commission des droits de la personne et des droits de la jeunesse (</w:t>
      </w:r>
      <w:r w:rsidRPr="00561F65">
        <w:t>2007</w:t>
      </w:r>
      <w:r w:rsidR="006E1714" w:rsidRPr="00561F65">
        <w:t>)</w:t>
      </w:r>
      <w:r w:rsidRPr="00561F65">
        <w:t>,</w:t>
      </w:r>
      <w:r w:rsidR="009E13AD" w:rsidRPr="00561F65">
        <w:t xml:space="preserve"> </w:t>
      </w:r>
      <w:proofErr w:type="spellStart"/>
      <w:r w:rsidR="009E13AD" w:rsidRPr="00561F65">
        <w:t>préc</w:t>
      </w:r>
      <w:proofErr w:type="spellEnd"/>
      <w:r w:rsidR="009E13AD" w:rsidRPr="00561F65">
        <w:t xml:space="preserve">., note </w:t>
      </w:r>
      <w:r w:rsidR="009E13AD" w:rsidRPr="00561F65">
        <w:fldChar w:fldCharType="begin"/>
      </w:r>
      <w:r w:rsidR="009E13AD" w:rsidRPr="00561F65">
        <w:instrText xml:space="preserve"> NOTEREF _Ref216861450 \h </w:instrText>
      </w:r>
      <w:r w:rsidR="007017CF" w:rsidRPr="00561F65">
        <w:instrText xml:space="preserve"> \* MERGEFORMAT </w:instrText>
      </w:r>
      <w:r w:rsidR="009E13AD" w:rsidRPr="00561F65">
        <w:fldChar w:fldCharType="separate"/>
      </w:r>
      <w:r w:rsidR="000374E3" w:rsidRPr="00561F65">
        <w:t>8</w:t>
      </w:r>
      <w:r w:rsidR="009E13AD" w:rsidRPr="00561F65">
        <w:fldChar w:fldCharType="end"/>
      </w:r>
      <w:r w:rsidR="009E13AD" w:rsidRPr="00561F65">
        <w:t>,</w:t>
      </w:r>
      <w:r w:rsidRPr="00561F65">
        <w:t xml:space="preserve"> p.</w:t>
      </w:r>
      <w:r w:rsidR="005C5B01" w:rsidRPr="00561F65">
        <w:t> </w:t>
      </w:r>
      <w:r w:rsidRPr="00561F65">
        <w:t>52-53</w:t>
      </w:r>
      <w:r w:rsidR="005C293F" w:rsidRPr="00561F65">
        <w:rPr>
          <w:rFonts w:ascii="Arial" w:hAnsi="Arial" w:cs="Arial"/>
        </w:rPr>
        <w:t> </w:t>
      </w:r>
      <w:r w:rsidR="006C141F" w:rsidRPr="00561F65">
        <w:t xml:space="preserve">; </w:t>
      </w:r>
      <w:r w:rsidRPr="00561F65">
        <w:t xml:space="preserve">Voir aussi </w:t>
      </w:r>
      <w:r w:rsidR="001A063F" w:rsidRPr="00561F65">
        <w:t>L.</w:t>
      </w:r>
      <w:r w:rsidR="00E328B0">
        <w:t> </w:t>
      </w:r>
      <w:r w:rsidRPr="00561F65">
        <w:t xml:space="preserve">Chamberland, </w:t>
      </w:r>
      <w:proofErr w:type="spellStart"/>
      <w:r w:rsidR="001A063F" w:rsidRPr="00561F65">
        <w:t>préc</w:t>
      </w:r>
      <w:proofErr w:type="spellEnd"/>
      <w:r w:rsidR="001A063F" w:rsidRPr="00561F65">
        <w:t xml:space="preserve">., note </w:t>
      </w:r>
      <w:r w:rsidR="001A063F" w:rsidRPr="00561F65">
        <w:fldChar w:fldCharType="begin"/>
      </w:r>
      <w:r w:rsidR="001A063F" w:rsidRPr="00561F65">
        <w:instrText xml:space="preserve"> NOTEREF _Ref219192312 \h </w:instrText>
      </w:r>
      <w:r w:rsidR="007017CF" w:rsidRPr="00561F65">
        <w:instrText xml:space="preserve"> \* MERGEFORMAT </w:instrText>
      </w:r>
      <w:r w:rsidR="001A063F" w:rsidRPr="00561F65">
        <w:fldChar w:fldCharType="separate"/>
      </w:r>
      <w:r w:rsidR="000374E3" w:rsidRPr="00561F65">
        <w:t>9</w:t>
      </w:r>
      <w:r w:rsidR="001A063F" w:rsidRPr="00561F65">
        <w:fldChar w:fldCharType="end"/>
      </w:r>
      <w:r w:rsidR="001A063F" w:rsidRPr="00561F65">
        <w:t>.</w:t>
      </w:r>
    </w:p>
  </w:footnote>
  <w:footnote w:id="79">
    <w:p w14:paraId="436804B0" w14:textId="20B317F2" w:rsidR="00682D6E" w:rsidRPr="00561F65" w:rsidRDefault="00682D6E" w:rsidP="004E4354">
      <w:pPr>
        <w:pStyle w:val="NotesBasPage"/>
      </w:pPr>
      <w:r w:rsidRPr="00561F65">
        <w:rPr>
          <w:rStyle w:val="Appelnotedebasdep"/>
        </w:rPr>
        <w:footnoteRef/>
      </w:r>
      <w:r w:rsidRPr="00561F65">
        <w:t xml:space="preserve"> </w:t>
      </w:r>
      <w:r w:rsidRPr="00561F65">
        <w:tab/>
      </w:r>
      <w:r w:rsidR="004F6CE6" w:rsidRPr="004F6CE6">
        <w:rPr>
          <w:smallCaps/>
        </w:rPr>
        <w:t>Statistique Canada</w:t>
      </w:r>
      <w:r w:rsidRPr="00561F65">
        <w:t xml:space="preserve">, </w:t>
      </w:r>
      <w:r w:rsidRPr="00561F65">
        <w:rPr>
          <w:i/>
        </w:rPr>
        <w:t>Situation socioéconomique des personnes transgenres et des personnes non binaires au Canada</w:t>
      </w:r>
      <w:r w:rsidRPr="00561F65">
        <w:t xml:space="preserve">, Ottawa, </w:t>
      </w:r>
      <w:r w:rsidR="00D57AEE" w:rsidRPr="00561F65">
        <w:t xml:space="preserve">Karen </w:t>
      </w:r>
      <w:r w:rsidR="00D57AEE" w:rsidRPr="00561F65">
        <w:rPr>
          <w:smallCaps/>
        </w:rPr>
        <w:t>Rauh</w:t>
      </w:r>
      <w:r w:rsidR="00D57AEE" w:rsidRPr="00561F65">
        <w:t xml:space="preserve"> et al</w:t>
      </w:r>
      <w:r w:rsidRPr="00561F65">
        <w:t xml:space="preserve">, 2025, </w:t>
      </w:r>
      <w:r w:rsidR="00463B8E" w:rsidRPr="00561F65">
        <w:t>[E</w:t>
      </w:r>
      <w:r w:rsidRPr="00561F65">
        <w:t>n ligne</w:t>
      </w:r>
      <w:r w:rsidR="00463B8E" w:rsidRPr="00561F65">
        <w:t>].</w:t>
      </w:r>
      <w:r w:rsidR="00F824BB" w:rsidRPr="00F824BB">
        <w:t xml:space="preserve"> </w:t>
      </w:r>
      <w:hyperlink r:id="rId62" w:history="1">
        <w:r w:rsidR="00F824BB" w:rsidRPr="007912CF">
          <w:rPr>
            <w:rStyle w:val="Lienhypertexte"/>
          </w:rPr>
          <w:t>https://www150.statcan.gc.ca/n1/pub/91f0015m/91f0015m2025001-fra.htm</w:t>
        </w:r>
      </w:hyperlink>
      <w:r w:rsidRPr="00561F65">
        <w:t xml:space="preserve">; </w:t>
      </w:r>
      <w:r w:rsidR="00646B68" w:rsidRPr="00561F65">
        <w:t>S.</w:t>
      </w:r>
      <w:r w:rsidR="00E328B0">
        <w:t> </w:t>
      </w:r>
      <w:r w:rsidRPr="00561F65">
        <w:rPr>
          <w:smallCaps/>
        </w:rPr>
        <w:t>Waite</w:t>
      </w:r>
      <w:r w:rsidRPr="00561F65">
        <w:t>, S., J.</w:t>
      </w:r>
      <w:r w:rsidR="00E328B0">
        <w:t> </w:t>
      </w:r>
      <w:r w:rsidRPr="00561F65">
        <w:rPr>
          <w:smallCaps/>
        </w:rPr>
        <w:t>Ecker</w:t>
      </w:r>
      <w:r w:rsidRPr="00561F65">
        <w:t xml:space="preserve"> et L. E. </w:t>
      </w:r>
      <w:r w:rsidRPr="00561F65">
        <w:rPr>
          <w:smallCaps/>
        </w:rPr>
        <w:t>Ross</w:t>
      </w:r>
      <w:r w:rsidRPr="00561F65">
        <w:t xml:space="preserve">, </w:t>
      </w:r>
      <w:proofErr w:type="spellStart"/>
      <w:r w:rsidR="00646B68" w:rsidRPr="00561F65">
        <w:t>préc</w:t>
      </w:r>
      <w:proofErr w:type="spellEnd"/>
      <w:r w:rsidR="00646B68" w:rsidRPr="00561F65">
        <w:t xml:space="preserve">., note </w:t>
      </w:r>
      <w:r w:rsidR="00646B68" w:rsidRPr="00561F65">
        <w:fldChar w:fldCharType="begin"/>
      </w:r>
      <w:r w:rsidR="00646B68" w:rsidRPr="00561F65">
        <w:instrText xml:space="preserve"> NOTEREF _Ref218500534 \h </w:instrText>
      </w:r>
      <w:r w:rsidR="007017CF" w:rsidRPr="00561F65">
        <w:instrText xml:space="preserve"> \* MERGEFORMAT </w:instrText>
      </w:r>
      <w:r w:rsidR="00646B68" w:rsidRPr="00561F65">
        <w:fldChar w:fldCharType="separate"/>
      </w:r>
      <w:r w:rsidR="000374E3" w:rsidRPr="00561F65">
        <w:t>45</w:t>
      </w:r>
      <w:r w:rsidR="00646B68" w:rsidRPr="00561F65">
        <w:fldChar w:fldCharType="end"/>
      </w:r>
      <w:r w:rsidR="00646B68" w:rsidRPr="00561F65">
        <w:t>.</w:t>
      </w:r>
    </w:p>
  </w:footnote>
  <w:footnote w:id="80">
    <w:p w14:paraId="0888AEC1" w14:textId="17B6EE06" w:rsidR="00682D6E" w:rsidRPr="00561F65" w:rsidRDefault="00682D6E" w:rsidP="004E4354">
      <w:pPr>
        <w:pStyle w:val="NotesBasPage"/>
        <w:rPr>
          <w:smallCaps/>
        </w:rPr>
      </w:pPr>
      <w:r w:rsidRPr="00561F65">
        <w:rPr>
          <w:rStyle w:val="Appelnotedebasdep"/>
        </w:rPr>
        <w:footnoteRef/>
      </w:r>
      <w:r w:rsidRPr="00561F65">
        <w:rPr>
          <w:lang w:val="en-CA"/>
        </w:rPr>
        <w:t xml:space="preserve"> </w:t>
      </w:r>
      <w:r w:rsidRPr="00561F65">
        <w:rPr>
          <w:lang w:val="en-CA"/>
        </w:rPr>
        <w:tab/>
      </w:r>
      <w:r w:rsidRPr="00561F65">
        <w:rPr>
          <w:smallCaps/>
          <w:lang w:val="en-CA"/>
        </w:rPr>
        <w:t xml:space="preserve">EGALE, </w:t>
      </w:r>
      <w:r w:rsidRPr="00561F65">
        <w:rPr>
          <w:i/>
          <w:lang w:val="en-CA"/>
        </w:rPr>
        <w:t>Queering the Sustainable Development Goals in Canada: Not leaving LGBTQI2S communities behind</w:t>
      </w:r>
      <w:r w:rsidRPr="00561F65">
        <w:rPr>
          <w:lang w:val="en-CA"/>
        </w:rPr>
        <w:t>, 2017, p.</w:t>
      </w:r>
      <w:r w:rsidR="00AB1B44">
        <w:rPr>
          <w:lang w:val="en-CA"/>
        </w:rPr>
        <w:t> </w:t>
      </w:r>
      <w:r w:rsidRPr="00561F65">
        <w:rPr>
          <w:lang w:val="en-CA"/>
        </w:rPr>
        <w:t xml:space="preserve">23, [En </w:t>
      </w:r>
      <w:proofErr w:type="spellStart"/>
      <w:r w:rsidRPr="00561F65">
        <w:rPr>
          <w:lang w:val="en-CA"/>
        </w:rPr>
        <w:t>ligne</w:t>
      </w:r>
      <w:proofErr w:type="spellEnd"/>
      <w:r w:rsidRPr="00561F65">
        <w:rPr>
          <w:lang w:val="en-CA"/>
        </w:rPr>
        <w:t>].</w:t>
      </w:r>
      <w:r w:rsidR="003D2C8B" w:rsidRPr="003D2C8B">
        <w:rPr>
          <w:lang w:val="en-CA"/>
        </w:rPr>
        <w:t xml:space="preserve"> </w:t>
      </w:r>
      <w:hyperlink r:id="rId63" w:history="1">
        <w:r w:rsidR="00441100" w:rsidRPr="00441100">
          <w:rPr>
            <w:rStyle w:val="Lienhypertexte"/>
            <w:lang w:val="en-CA"/>
          </w:rPr>
          <w:t>https://egale.ca/awareness/queering-sustainable-development-goals-canada/</w:t>
        </w:r>
      </w:hyperlink>
      <w:r w:rsidR="00441100">
        <w:rPr>
          <w:lang w:val="en-CA"/>
        </w:rPr>
        <w:t xml:space="preserve"> </w:t>
      </w:r>
      <w:r w:rsidR="00FE67C3" w:rsidRPr="00561F65">
        <w:rPr>
          <w:lang w:val="en-CA"/>
        </w:rPr>
        <w:t xml:space="preserve"> </w:t>
      </w:r>
      <w:hyperlink r:id="rId64" w:history="1"/>
      <w:r w:rsidRPr="00561F65">
        <w:rPr>
          <w:lang w:val="en-CA"/>
        </w:rPr>
        <w:t xml:space="preserve">; EGALE, </w:t>
      </w:r>
      <w:r w:rsidRPr="00561F65">
        <w:rPr>
          <w:i/>
          <w:lang w:val="en-CA"/>
        </w:rPr>
        <w:t>Not Under my Roof. Homeless LGBTQ youth in Toronto: A needs and supportive housing demand analysis</w:t>
      </w:r>
      <w:r w:rsidRPr="00561F65">
        <w:rPr>
          <w:lang w:val="en-CA"/>
        </w:rPr>
        <w:t xml:space="preserve">, </w:t>
      </w:r>
      <w:r w:rsidR="0019481B" w:rsidRPr="00561F65">
        <w:rPr>
          <w:lang w:val="en-CA"/>
        </w:rPr>
        <w:t xml:space="preserve">2012, </w:t>
      </w:r>
      <w:r w:rsidRPr="00561F65">
        <w:rPr>
          <w:lang w:val="en-CA"/>
        </w:rPr>
        <w:t xml:space="preserve">[En </w:t>
      </w:r>
      <w:proofErr w:type="spellStart"/>
      <w:r w:rsidRPr="00561F65">
        <w:rPr>
          <w:lang w:val="en-CA"/>
        </w:rPr>
        <w:t>ligne</w:t>
      </w:r>
      <w:proofErr w:type="spellEnd"/>
      <w:r w:rsidRPr="00561F65">
        <w:rPr>
          <w:lang w:val="en-CA"/>
        </w:rPr>
        <w:t xml:space="preserve">]. </w:t>
      </w:r>
      <w:hyperlink r:id="rId65" w:history="1">
        <w:r w:rsidR="00C01E94" w:rsidRPr="008455FF">
          <w:rPr>
            <w:rStyle w:val="Lienhypertexte"/>
          </w:rPr>
          <w:t>https://egale.ca/awareness/not-under-my-roof/</w:t>
        </w:r>
      </w:hyperlink>
      <w:r w:rsidR="008534CE" w:rsidRPr="008455FF">
        <w:rPr>
          <w:rFonts w:ascii="Arial" w:hAnsi="Arial" w:cs="Arial"/>
        </w:rPr>
        <w:t> </w:t>
      </w:r>
      <w:r w:rsidR="0019481B" w:rsidRPr="008455FF">
        <w:t xml:space="preserve">; </w:t>
      </w:r>
      <w:r w:rsidRPr="008455FF">
        <w:t>Voir aussi le projet de recherche quantitative en cours</w:t>
      </w:r>
      <w:r w:rsidR="00F01F5E" w:rsidRPr="008455FF">
        <w:t> </w:t>
      </w:r>
      <w:r w:rsidRPr="008455FF">
        <w:t xml:space="preserve">: </w:t>
      </w:r>
      <w:r w:rsidR="00236CB8" w:rsidRPr="008455FF">
        <w:rPr>
          <w:smallCaps/>
        </w:rPr>
        <w:t xml:space="preserve">York </w:t>
      </w:r>
      <w:proofErr w:type="spellStart"/>
      <w:r w:rsidR="00236CB8" w:rsidRPr="008455FF">
        <w:rPr>
          <w:smallCaps/>
        </w:rPr>
        <w:t>University</w:t>
      </w:r>
      <w:proofErr w:type="spellEnd"/>
      <w:r w:rsidR="00236CB8" w:rsidRPr="008455FF">
        <w:t xml:space="preserve">, « </w:t>
      </w:r>
      <w:r w:rsidRPr="008455FF">
        <w:t xml:space="preserve">2SLGBTQ+ </w:t>
      </w:r>
      <w:proofErr w:type="spellStart"/>
      <w:r w:rsidRPr="008455FF">
        <w:t>Poverty</w:t>
      </w:r>
      <w:proofErr w:type="spellEnd"/>
      <w:r w:rsidRPr="008455FF">
        <w:t xml:space="preserve"> in Canada: </w:t>
      </w:r>
      <w:proofErr w:type="spellStart"/>
      <w:r w:rsidRPr="008455FF">
        <w:t>Improving</w:t>
      </w:r>
      <w:proofErr w:type="spellEnd"/>
      <w:r w:rsidRPr="008455FF">
        <w:t xml:space="preserve"> </w:t>
      </w:r>
      <w:proofErr w:type="spellStart"/>
      <w:r w:rsidRPr="008455FF">
        <w:t>Livelihood</w:t>
      </w:r>
      <w:proofErr w:type="spellEnd"/>
      <w:r w:rsidRPr="008455FF">
        <w:t xml:space="preserve"> and Social </w:t>
      </w:r>
      <w:proofErr w:type="spellStart"/>
      <w:r w:rsidRPr="008455FF">
        <w:t>Wellbeing</w:t>
      </w:r>
      <w:proofErr w:type="spellEnd"/>
      <w:r w:rsidR="00236CB8" w:rsidRPr="008455FF">
        <w:t xml:space="preserve"> </w:t>
      </w:r>
      <w:r w:rsidR="00236CB8" w:rsidRPr="008455FF">
        <w:rPr>
          <w:rFonts w:ascii="Walbaum Heading" w:hAnsi="Walbaum Heading"/>
        </w:rPr>
        <w:t>»</w:t>
      </w:r>
      <w:r w:rsidRPr="008455FF">
        <w:t xml:space="preserve">, [En ligne]. </w:t>
      </w:r>
      <w:hyperlink r:id="rId66" w:history="1">
        <w:r w:rsidR="000B0437" w:rsidRPr="007912CF">
          <w:rPr>
            <w:rStyle w:val="Lienhypertexte"/>
          </w:rPr>
          <w:t>https://www.yorku.ca/laps/research/lgbtq2s-poverty/a-propos/quantitative/?lang=fr</w:t>
        </w:r>
      </w:hyperlink>
      <w:r w:rsidR="00BD6329" w:rsidRPr="00561F65">
        <w:rPr>
          <w:rFonts w:ascii="Arial" w:hAnsi="Arial" w:cs="Arial"/>
        </w:rPr>
        <w:t> </w:t>
      </w:r>
      <w:r w:rsidRPr="00561F65">
        <w:t xml:space="preserve">; </w:t>
      </w:r>
      <w:r w:rsidR="0023299E" w:rsidRPr="00561F65">
        <w:t>K.</w:t>
      </w:r>
      <w:r w:rsidR="008534CE" w:rsidRPr="00561F65">
        <w:t> </w:t>
      </w:r>
      <w:r w:rsidRPr="00561F65">
        <w:rPr>
          <w:smallCaps/>
        </w:rPr>
        <w:t>Rauh</w:t>
      </w:r>
      <w:r w:rsidRPr="00561F65">
        <w:t xml:space="preserve"> et al, </w:t>
      </w:r>
      <w:proofErr w:type="spellStart"/>
      <w:r w:rsidRPr="00561F65">
        <w:t>préc</w:t>
      </w:r>
      <w:proofErr w:type="spellEnd"/>
      <w:r w:rsidRPr="00561F65">
        <w:t xml:space="preserve">., note </w:t>
      </w:r>
      <w:r w:rsidRPr="00561F65">
        <w:fldChar w:fldCharType="begin"/>
      </w:r>
      <w:r w:rsidRPr="00561F65">
        <w:instrText xml:space="preserve"> NOTEREF _Ref215497549 \h </w:instrText>
      </w:r>
      <w:r w:rsidR="00021EE0" w:rsidRPr="00561F65">
        <w:instrText xml:space="preserve"> \* MERGEFORMAT </w:instrText>
      </w:r>
      <w:r w:rsidRPr="00561F65">
        <w:fldChar w:fldCharType="separate"/>
      </w:r>
      <w:r w:rsidR="000374E3" w:rsidRPr="00561F65">
        <w:t>78</w:t>
      </w:r>
      <w:r w:rsidRPr="00561F65">
        <w:fldChar w:fldCharType="end"/>
      </w:r>
      <w:r w:rsidRPr="00561F65">
        <w:t>, p.</w:t>
      </w:r>
      <w:r w:rsidR="005C5B01" w:rsidRPr="00561F65">
        <w:t> </w:t>
      </w:r>
      <w:r w:rsidRPr="00561F65">
        <w:t>13-18.</w:t>
      </w:r>
      <w:r w:rsidR="005C293F" w:rsidRPr="00561F65">
        <w:t xml:space="preserve"> </w:t>
      </w:r>
    </w:p>
  </w:footnote>
  <w:footnote w:id="81">
    <w:p w14:paraId="1E16907C" w14:textId="563D9547" w:rsidR="008E0786" w:rsidRPr="00561F65" w:rsidRDefault="008E0786" w:rsidP="004E4354">
      <w:pPr>
        <w:pStyle w:val="NotesBasPage"/>
      </w:pPr>
      <w:r w:rsidRPr="00561F65">
        <w:rPr>
          <w:rStyle w:val="Appelnotedebasdep"/>
        </w:rPr>
        <w:footnoteRef/>
      </w:r>
      <w:r w:rsidRPr="00561F65">
        <w:t xml:space="preserve"> </w:t>
      </w:r>
      <w:r w:rsidRPr="00561F65">
        <w:tab/>
      </w:r>
      <w:r w:rsidR="00DF5A8D" w:rsidRPr="00561F65">
        <w:rPr>
          <w:smallCaps/>
        </w:rPr>
        <w:t>Commission des droits de la personne et des droits de la jeunesse</w:t>
      </w:r>
      <w:r w:rsidRPr="00561F65">
        <w:t xml:space="preserve">, </w:t>
      </w:r>
      <w:proofErr w:type="spellStart"/>
      <w:r w:rsidR="003A7F69" w:rsidRPr="00561F65">
        <w:t>préc</w:t>
      </w:r>
      <w:proofErr w:type="spellEnd"/>
      <w:r w:rsidR="003A7F69" w:rsidRPr="00561F65">
        <w:t xml:space="preserve">., note </w:t>
      </w:r>
      <w:r w:rsidR="003A7F69" w:rsidRPr="00561F65">
        <w:fldChar w:fldCharType="begin"/>
      </w:r>
      <w:r w:rsidR="003A7F69" w:rsidRPr="00561F65">
        <w:instrText xml:space="preserve"> NOTEREF _Ref216861450 \h </w:instrText>
      </w:r>
      <w:r w:rsidR="007017CF" w:rsidRPr="00561F65">
        <w:instrText xml:space="preserve"> \* MERGEFORMAT </w:instrText>
      </w:r>
      <w:r w:rsidR="003A7F69" w:rsidRPr="00561F65">
        <w:fldChar w:fldCharType="separate"/>
      </w:r>
      <w:r w:rsidR="000374E3" w:rsidRPr="00561F65">
        <w:t>8</w:t>
      </w:r>
      <w:r w:rsidR="003A7F69" w:rsidRPr="00561F65">
        <w:fldChar w:fldCharType="end"/>
      </w:r>
      <w:r w:rsidR="003A7F69" w:rsidRPr="00561F65">
        <w:t xml:space="preserve">, </w:t>
      </w:r>
      <w:r w:rsidRPr="00561F65">
        <w:t>p.</w:t>
      </w:r>
      <w:r w:rsidR="005C5B01" w:rsidRPr="00561F65">
        <w:t> </w:t>
      </w:r>
      <w:r w:rsidRPr="00561F65">
        <w:t>12</w:t>
      </w:r>
      <w:r w:rsidR="00E813A1" w:rsidRPr="00561F65">
        <w:t>.</w:t>
      </w:r>
    </w:p>
  </w:footnote>
  <w:footnote w:id="82">
    <w:p w14:paraId="4C32D6F7" w14:textId="44B3EDC2" w:rsidR="00910199" w:rsidRPr="00561F65" w:rsidRDefault="008E0786" w:rsidP="004E4354">
      <w:pPr>
        <w:pStyle w:val="NotesBasPage"/>
      </w:pPr>
      <w:r w:rsidRPr="00561F65">
        <w:rPr>
          <w:rStyle w:val="Appelnotedebasdep"/>
        </w:rPr>
        <w:footnoteRef/>
      </w:r>
      <w:r w:rsidRPr="00561F65">
        <w:t xml:space="preserve"> </w:t>
      </w:r>
      <w:r w:rsidRPr="00561F65">
        <w:tab/>
      </w:r>
      <w:r w:rsidRPr="00561F65">
        <w:rPr>
          <w:i/>
        </w:rPr>
        <w:t>Id</w:t>
      </w:r>
      <w:r w:rsidRPr="00561F65">
        <w:t>.</w:t>
      </w:r>
      <w:r w:rsidR="00BD6329" w:rsidRPr="00561F65">
        <w:rPr>
          <w:rFonts w:ascii="Arial" w:hAnsi="Arial" w:cs="Arial"/>
        </w:rPr>
        <w:t> </w:t>
      </w:r>
      <w:r w:rsidRPr="00561F65">
        <w:t>; D</w:t>
      </w:r>
      <w:r w:rsidRPr="00561F65">
        <w:rPr>
          <w:smallCaps/>
        </w:rPr>
        <w:t>éfenseur des droits – République française</w:t>
      </w:r>
      <w:r w:rsidRPr="00561F65">
        <w:t xml:space="preserve">, </w:t>
      </w:r>
      <w:r w:rsidRPr="00561F65">
        <w:rPr>
          <w:i/>
        </w:rPr>
        <w:t>Guide Agir contre les discriminations liées à l’orientation sexuelle et à l’identité de genre dans l’emploi</w:t>
      </w:r>
      <w:r w:rsidRPr="00561F65">
        <w:t>, 2017, p.</w:t>
      </w:r>
      <w:r w:rsidR="005C5B01" w:rsidRPr="00561F65">
        <w:t> </w:t>
      </w:r>
      <w:r w:rsidRPr="00561F65">
        <w:t xml:space="preserve">9, [En ligne]. </w:t>
      </w:r>
      <w:hyperlink r:id="rId67" w:history="1">
        <w:r w:rsidR="00910199" w:rsidRPr="007912CF">
          <w:rPr>
            <w:rStyle w:val="Lienhypertexte"/>
          </w:rPr>
          <w:t>https://www.defenseurdesdroits.fr/sites/default/files/2023-08/ddd_guide_discriminations_orientation-sexuelle-et-identite-genre_emploi_20190506.pdf</w:t>
        </w:r>
      </w:hyperlink>
    </w:p>
  </w:footnote>
  <w:footnote w:id="83">
    <w:p w14:paraId="55097DC3" w14:textId="4BDCA87C" w:rsidR="008E0786" w:rsidRPr="00561F65" w:rsidRDefault="008E0786" w:rsidP="004E4354">
      <w:pPr>
        <w:pStyle w:val="NotesBasPage"/>
      </w:pPr>
      <w:r w:rsidRPr="00561F65">
        <w:rPr>
          <w:rStyle w:val="Appelnotedebasdep"/>
        </w:rPr>
        <w:footnoteRef/>
      </w:r>
      <w:r w:rsidRPr="00561F65">
        <w:t xml:space="preserve"> </w:t>
      </w:r>
      <w:r w:rsidR="00D815E5" w:rsidRPr="00561F65">
        <w:tab/>
      </w:r>
      <w:r w:rsidR="005E73FE" w:rsidRPr="00561F65">
        <w:t xml:space="preserve">Line </w:t>
      </w:r>
      <w:r w:rsidRPr="00561F65">
        <w:rPr>
          <w:smallCaps/>
        </w:rPr>
        <w:t>Chamberland</w:t>
      </w:r>
      <w:r w:rsidR="005E73FE" w:rsidRPr="00561F65">
        <w:t xml:space="preserve"> et</w:t>
      </w:r>
      <w:r w:rsidRPr="00561F65">
        <w:t xml:space="preserve"> Christelle </w:t>
      </w:r>
      <w:r w:rsidRPr="00561F65">
        <w:rPr>
          <w:smallCaps/>
        </w:rPr>
        <w:t>Lebreton</w:t>
      </w:r>
      <w:r w:rsidRPr="00561F65">
        <w:t>, «</w:t>
      </w:r>
      <w:r w:rsidR="00AB4C13" w:rsidRPr="00561F65">
        <w:rPr>
          <w:rFonts w:ascii="Arial" w:hAnsi="Arial" w:cs="Arial"/>
        </w:rPr>
        <w:t> </w:t>
      </w:r>
      <w:r w:rsidRPr="00561F65">
        <w:t>Réflexions autour de la notion d’homophobie</w:t>
      </w:r>
      <w:r w:rsidR="00F01F5E" w:rsidRPr="00561F65">
        <w:rPr>
          <w:rFonts w:ascii="Arial" w:hAnsi="Arial" w:cs="Arial"/>
        </w:rPr>
        <w:t> </w:t>
      </w:r>
      <w:r w:rsidRPr="00561F65">
        <w:t>: succ</w:t>
      </w:r>
      <w:r w:rsidRPr="00561F65">
        <w:rPr>
          <w:rFonts w:cs="Aptos"/>
        </w:rPr>
        <w:t>è</w:t>
      </w:r>
      <w:r w:rsidRPr="00561F65">
        <w:t>s politique, malaises conceptuels et application empirique</w:t>
      </w:r>
      <w:r w:rsidR="00AB4C13" w:rsidRPr="00561F65">
        <w:rPr>
          <w:rFonts w:ascii="Arial" w:hAnsi="Arial" w:cs="Arial"/>
        </w:rPr>
        <w:t> </w:t>
      </w:r>
      <w:r w:rsidRPr="00561F65">
        <w:rPr>
          <w:rFonts w:cs="Aptos"/>
        </w:rPr>
        <w:t>»</w:t>
      </w:r>
      <w:r w:rsidRPr="00561F65">
        <w:t xml:space="preserve"> (2012) 31:1 </w:t>
      </w:r>
      <w:r w:rsidRPr="00561F65">
        <w:rPr>
          <w:i/>
        </w:rPr>
        <w:t>Nouvelles Questions F</w:t>
      </w:r>
      <w:r w:rsidRPr="00561F65">
        <w:rPr>
          <w:rFonts w:cs="Aptos"/>
          <w:i/>
        </w:rPr>
        <w:t>é</w:t>
      </w:r>
      <w:r w:rsidRPr="00561F65">
        <w:rPr>
          <w:i/>
        </w:rPr>
        <w:t>ministes</w:t>
      </w:r>
      <w:r w:rsidR="005C5B01" w:rsidRPr="00561F65">
        <w:t> </w:t>
      </w:r>
      <w:r w:rsidRPr="00561F65">
        <w:t>27</w:t>
      </w:r>
      <w:r w:rsidRPr="00561F65">
        <w:noBreakHyphen/>
        <w:t>43.</w:t>
      </w:r>
    </w:p>
  </w:footnote>
  <w:footnote w:id="84">
    <w:p w14:paraId="4E7B112C" w14:textId="40F1230F" w:rsidR="009D0D62" w:rsidRPr="00561F65" w:rsidRDefault="008E0786"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00DF5A8D" w:rsidRPr="00561F65">
        <w:rPr>
          <w:smallCaps/>
        </w:rPr>
        <w:t>,</w:t>
      </w:r>
      <w:r w:rsidRPr="00561F65">
        <w:t xml:space="preserve"> </w:t>
      </w:r>
      <w:proofErr w:type="spellStart"/>
      <w:r w:rsidR="003A7F69" w:rsidRPr="00561F65">
        <w:t>préc</w:t>
      </w:r>
      <w:proofErr w:type="spellEnd"/>
      <w:r w:rsidR="003A7F69" w:rsidRPr="00561F65">
        <w:t xml:space="preserve">., note </w:t>
      </w:r>
      <w:r w:rsidR="003A7F69" w:rsidRPr="00561F65">
        <w:fldChar w:fldCharType="begin"/>
      </w:r>
      <w:r w:rsidR="003A7F69" w:rsidRPr="00561F65">
        <w:instrText xml:space="preserve"> NOTEREF _Ref216861450 \h </w:instrText>
      </w:r>
      <w:r w:rsidR="007017CF" w:rsidRPr="00561F65">
        <w:instrText xml:space="preserve"> \* MERGEFORMAT </w:instrText>
      </w:r>
      <w:r w:rsidR="003A7F69" w:rsidRPr="00561F65">
        <w:fldChar w:fldCharType="separate"/>
      </w:r>
      <w:r w:rsidR="000374E3" w:rsidRPr="00561F65">
        <w:t>8</w:t>
      </w:r>
      <w:r w:rsidR="003A7F69" w:rsidRPr="00561F65">
        <w:fldChar w:fldCharType="end"/>
      </w:r>
      <w:r w:rsidR="00331DE5" w:rsidRPr="00561F65">
        <w:t>,</w:t>
      </w:r>
      <w:r w:rsidR="005F3959" w:rsidRPr="00561F65">
        <w:t xml:space="preserve"> </w:t>
      </w:r>
      <w:r w:rsidRPr="00561F65">
        <w:t>p.</w:t>
      </w:r>
      <w:r w:rsidR="005C5B01" w:rsidRPr="00561F65">
        <w:t> </w:t>
      </w:r>
      <w:r w:rsidRPr="00561F65">
        <w:t>12</w:t>
      </w:r>
      <w:r w:rsidR="0046630A" w:rsidRPr="00561F65">
        <w:rPr>
          <w:rFonts w:ascii="Arial" w:hAnsi="Arial" w:cs="Arial"/>
        </w:rPr>
        <w:t> </w:t>
      </w:r>
      <w:r w:rsidRPr="00561F65">
        <w:t xml:space="preserve">; </w:t>
      </w:r>
      <w:r w:rsidR="00041808" w:rsidRPr="00561F65">
        <w:t xml:space="preserve">Janik </w:t>
      </w:r>
      <w:r w:rsidRPr="00561F65">
        <w:t xml:space="preserve">Bastien </w:t>
      </w:r>
      <w:r w:rsidRPr="00561F65">
        <w:rPr>
          <w:smallCaps/>
        </w:rPr>
        <w:t>Charlebois</w:t>
      </w:r>
      <w:r w:rsidRPr="00561F65">
        <w:t xml:space="preserve">, </w:t>
      </w:r>
      <w:r w:rsidR="006E3266" w:rsidRPr="00561F65">
        <w:t>«</w:t>
      </w:r>
      <w:r w:rsidR="006E3266" w:rsidRPr="00561F65">
        <w:rPr>
          <w:rFonts w:ascii="Arial" w:hAnsi="Arial" w:cs="Arial"/>
        </w:rPr>
        <w:t> </w:t>
      </w:r>
      <w:r w:rsidR="006E3266" w:rsidRPr="00561F65">
        <w:t>Au-delà de la phobie de l’homo</w:t>
      </w:r>
      <w:r w:rsidR="006E3266" w:rsidRPr="00561F65">
        <w:rPr>
          <w:rFonts w:ascii="Arial" w:hAnsi="Arial" w:cs="Arial"/>
        </w:rPr>
        <w:t> </w:t>
      </w:r>
      <w:r w:rsidR="006E3266" w:rsidRPr="00561F65">
        <w:t>: quand le concept d</w:t>
      </w:r>
      <w:r w:rsidR="006E3266" w:rsidRPr="00561F65">
        <w:rPr>
          <w:rFonts w:cs="Aptos"/>
        </w:rPr>
        <w:t>’</w:t>
      </w:r>
      <w:r w:rsidR="006E3266" w:rsidRPr="00561F65">
        <w:t xml:space="preserve">homophobie porte ombrage </w:t>
      </w:r>
      <w:r w:rsidR="006E3266" w:rsidRPr="00561F65">
        <w:rPr>
          <w:rFonts w:cs="Aptos"/>
        </w:rPr>
        <w:t>à</w:t>
      </w:r>
      <w:r w:rsidR="006E3266" w:rsidRPr="00561F65">
        <w:t xml:space="preserve"> la lutte contre l</w:t>
      </w:r>
      <w:r w:rsidR="006E3266" w:rsidRPr="00561F65">
        <w:rPr>
          <w:rFonts w:cs="Aptos"/>
        </w:rPr>
        <w:t>’</w:t>
      </w:r>
      <w:r w:rsidR="006E3266" w:rsidRPr="00561F65">
        <w:t>h</w:t>
      </w:r>
      <w:r w:rsidR="006E3266" w:rsidRPr="00561F65">
        <w:rPr>
          <w:rFonts w:cs="Aptos"/>
        </w:rPr>
        <w:t>é</w:t>
      </w:r>
      <w:r w:rsidR="006E3266" w:rsidRPr="00561F65">
        <w:t>t</w:t>
      </w:r>
      <w:r w:rsidR="006E3266" w:rsidRPr="00561F65">
        <w:rPr>
          <w:rFonts w:cs="Aptos"/>
        </w:rPr>
        <w:t>é</w:t>
      </w:r>
      <w:r w:rsidR="006E3266" w:rsidRPr="00561F65">
        <w:t>rosexisme et l</w:t>
      </w:r>
      <w:r w:rsidR="006E3266" w:rsidRPr="00561F65">
        <w:rPr>
          <w:rFonts w:cs="Aptos"/>
        </w:rPr>
        <w:t>’</w:t>
      </w:r>
      <w:r w:rsidR="006E3266" w:rsidRPr="00561F65">
        <w:t>h</w:t>
      </w:r>
      <w:r w:rsidR="006E3266" w:rsidRPr="00561F65">
        <w:rPr>
          <w:rFonts w:cs="Aptos"/>
        </w:rPr>
        <w:t>é</w:t>
      </w:r>
      <w:r w:rsidR="006E3266" w:rsidRPr="00561F65">
        <w:t>t</w:t>
      </w:r>
      <w:r w:rsidR="006E3266" w:rsidRPr="00561F65">
        <w:rPr>
          <w:rFonts w:cs="Aptos"/>
        </w:rPr>
        <w:t>é</w:t>
      </w:r>
      <w:r w:rsidR="006E3266" w:rsidRPr="00561F65">
        <w:t>ronormativit</w:t>
      </w:r>
      <w:r w:rsidR="006E3266" w:rsidRPr="00561F65">
        <w:rPr>
          <w:rFonts w:cs="Aptos"/>
        </w:rPr>
        <w:t>é</w:t>
      </w:r>
      <w:r w:rsidR="006E3266" w:rsidRPr="00561F65">
        <w:rPr>
          <w:rFonts w:ascii="Arial" w:hAnsi="Arial"/>
        </w:rPr>
        <w:t> </w:t>
      </w:r>
      <w:r w:rsidR="006E3266" w:rsidRPr="00561F65">
        <w:rPr>
          <w:rFonts w:cs="Aptos"/>
        </w:rPr>
        <w:t>»</w:t>
      </w:r>
      <w:r w:rsidR="006E3266" w:rsidRPr="00561F65">
        <w:t xml:space="preserve">, (2011) 17-1 </w:t>
      </w:r>
      <w:r w:rsidR="006E3266" w:rsidRPr="00561F65">
        <w:rPr>
          <w:i/>
        </w:rPr>
        <w:t>Reflet : revue d</w:t>
      </w:r>
      <w:r w:rsidR="006E3266" w:rsidRPr="00561F65">
        <w:rPr>
          <w:rFonts w:cs="Aptos"/>
          <w:i/>
        </w:rPr>
        <w:t>’</w:t>
      </w:r>
      <w:r w:rsidR="006E3266" w:rsidRPr="00561F65">
        <w:rPr>
          <w:i/>
        </w:rPr>
        <w:t>intervention sociale et communautaire</w:t>
      </w:r>
      <w:r w:rsidR="006E3266" w:rsidRPr="00561F65">
        <w:t>, 112</w:t>
      </w:r>
      <w:r w:rsidR="006E3266" w:rsidRPr="00561F65">
        <w:noBreakHyphen/>
        <w:t xml:space="preserve">149, [En ligne]. </w:t>
      </w:r>
      <w:hyperlink r:id="rId68" w:history="1">
        <w:r w:rsidR="009D0D62" w:rsidRPr="007912CF">
          <w:rPr>
            <w:rStyle w:val="Lienhypertexte"/>
          </w:rPr>
          <w:t>https://www.erudit.org/fr/revues/ref/2011-v17-n1-ref1812734/1005235ar/</w:t>
        </w:r>
      </w:hyperlink>
    </w:p>
  </w:footnote>
  <w:footnote w:id="85">
    <w:p w14:paraId="652EB78A" w14:textId="1672E4CF" w:rsidR="00BC7E50" w:rsidRPr="00561F65" w:rsidRDefault="00BC7E50" w:rsidP="004E4354">
      <w:pPr>
        <w:pStyle w:val="NotesBasPage"/>
      </w:pPr>
      <w:r w:rsidRPr="00561F65">
        <w:rPr>
          <w:rStyle w:val="Appelnotedebasdep"/>
        </w:rPr>
        <w:footnoteRef/>
      </w:r>
      <w:r w:rsidRPr="00561F65">
        <w:t xml:space="preserve"> </w:t>
      </w:r>
      <w:r w:rsidRPr="00561F65">
        <w:tab/>
      </w:r>
      <w:r w:rsidR="004F6488" w:rsidRPr="00A839DD">
        <w:rPr>
          <w:i/>
          <w:iCs/>
        </w:rPr>
        <w:t>Loi sur l’équité salariale</w:t>
      </w:r>
      <w:r w:rsidR="004F6488">
        <w:t xml:space="preserve">, </w:t>
      </w:r>
      <w:r w:rsidRPr="00561F65">
        <w:t>RLRQ, c. E</w:t>
      </w:r>
      <w:r w:rsidR="005C5B01" w:rsidRPr="00561F65">
        <w:t> </w:t>
      </w:r>
      <w:r w:rsidRPr="00561F65">
        <w:t>-12</w:t>
      </w:r>
      <w:r w:rsidR="00937C69" w:rsidRPr="00561F65">
        <w:rPr>
          <w:rFonts w:ascii="Arial" w:hAnsi="Arial" w:cs="Arial"/>
        </w:rPr>
        <w:t> </w:t>
      </w:r>
      <w:r w:rsidRPr="00561F65">
        <w:t>001</w:t>
      </w:r>
      <w:r w:rsidR="00115C5E" w:rsidRPr="00561F65">
        <w:t>.</w:t>
      </w:r>
    </w:p>
  </w:footnote>
  <w:footnote w:id="86">
    <w:p w14:paraId="50B9E767" w14:textId="502DA66F" w:rsidR="00066DE9" w:rsidRPr="00561F65" w:rsidRDefault="00BC7E50" w:rsidP="004E4354">
      <w:pPr>
        <w:pStyle w:val="NotesBasPage"/>
      </w:pPr>
      <w:r w:rsidRPr="00561F65">
        <w:rPr>
          <w:rStyle w:val="Appelnotedebasdep"/>
        </w:rPr>
        <w:footnoteRef/>
      </w:r>
      <w:r w:rsidRPr="00561F65">
        <w:t xml:space="preserve"> </w:t>
      </w:r>
      <w:r w:rsidRPr="00561F65">
        <w:tab/>
      </w:r>
      <w:r w:rsidRPr="00561F65">
        <w:rPr>
          <w:smallCaps/>
        </w:rPr>
        <w:t>Gouvernement du Québec</w:t>
      </w:r>
      <w:r w:rsidRPr="00561F65">
        <w:t xml:space="preserve">, </w:t>
      </w:r>
      <w:r w:rsidRPr="00066DE9">
        <w:rPr>
          <w:i/>
          <w:iCs/>
        </w:rPr>
        <w:t>La Loi sur l’équité salariale</w:t>
      </w:r>
      <w:r w:rsidR="00F01F5E" w:rsidRPr="00066DE9">
        <w:rPr>
          <w:i/>
          <w:iCs/>
        </w:rPr>
        <w:t> </w:t>
      </w:r>
      <w:r w:rsidRPr="00066DE9">
        <w:rPr>
          <w:i/>
          <w:iCs/>
        </w:rPr>
        <w:t>: Un apport indéniable pour contrer la discrimination salariale, Rapport du ministre</w:t>
      </w:r>
      <w:r w:rsidR="005C5B01" w:rsidRPr="00066DE9">
        <w:rPr>
          <w:i/>
          <w:iCs/>
        </w:rPr>
        <w:t> </w:t>
      </w:r>
      <w:r w:rsidRPr="00066DE9">
        <w:rPr>
          <w:i/>
          <w:iCs/>
        </w:rPr>
        <w:t>2019 sur la mise en œuvre de la loi sur l’équité salariale</w:t>
      </w:r>
      <w:r w:rsidRPr="00561F65">
        <w:t>, 2019, p.</w:t>
      </w:r>
      <w:r w:rsidR="005C5B01" w:rsidRPr="00561F65">
        <w:t> </w:t>
      </w:r>
      <w:r w:rsidRPr="00561F65">
        <w:t xml:space="preserve">39, [En ligne]. </w:t>
      </w:r>
      <w:hyperlink r:id="rId69" w:history="1">
        <w:r w:rsidR="00066DE9" w:rsidRPr="007912CF">
          <w:rPr>
            <w:rStyle w:val="Lienhypertexte"/>
          </w:rPr>
          <w:t>https://www.cnesst.gouv.qc.ca/sites/default/files/publications/loi-equite-salariale-un-apport-indeniable-pour-contrer-la-discrimination-salariale-rapport-ministre-du-travail-la-mise-en-uvre-de-la-loi-equite-salariale.pdf?cid=1597353456</w:t>
        </w:r>
      </w:hyperlink>
    </w:p>
  </w:footnote>
  <w:footnote w:id="87">
    <w:p w14:paraId="6B99D4F1" w14:textId="266DC1BF" w:rsidR="00BC7E50" w:rsidRPr="00561F65" w:rsidRDefault="00BC7E50" w:rsidP="004E4354">
      <w:pPr>
        <w:pStyle w:val="NotesBasPage"/>
      </w:pPr>
      <w:r w:rsidRPr="00561F65">
        <w:rPr>
          <w:rStyle w:val="Appelnotedebasdep"/>
        </w:rPr>
        <w:footnoteRef/>
      </w:r>
      <w:r w:rsidRPr="00561F65">
        <w:t xml:space="preserve"> </w:t>
      </w:r>
      <w:r w:rsidRPr="00561F65">
        <w:tab/>
      </w:r>
      <w:r w:rsidRPr="00561F65">
        <w:rPr>
          <w:i/>
        </w:rPr>
        <w:t>Id</w:t>
      </w:r>
      <w:r w:rsidRPr="00561F65">
        <w:t>., p.</w:t>
      </w:r>
      <w:r w:rsidR="005C5B01" w:rsidRPr="00561F65">
        <w:t> </w:t>
      </w:r>
      <w:r w:rsidRPr="00561F65">
        <w:t>40.</w:t>
      </w:r>
    </w:p>
  </w:footnote>
  <w:footnote w:id="88">
    <w:p w14:paraId="5F3E1691" w14:textId="3321A396" w:rsidR="00AF5791" w:rsidRPr="00561F65" w:rsidRDefault="00D814D5" w:rsidP="004E4354">
      <w:pPr>
        <w:pStyle w:val="NotesBasPage"/>
      </w:pPr>
      <w:r w:rsidRPr="00561F65">
        <w:rPr>
          <w:rStyle w:val="Appelnotedebasdep"/>
        </w:rPr>
        <w:footnoteRef/>
      </w:r>
      <w:r w:rsidRPr="00561F65">
        <w:t xml:space="preserve"> </w:t>
      </w:r>
      <w:r w:rsidR="00D815E5" w:rsidRPr="00561F65">
        <w:tab/>
      </w:r>
      <w:r w:rsidR="00DF5A8D" w:rsidRPr="00561F65">
        <w:rPr>
          <w:smallCaps/>
        </w:rPr>
        <w:t>Commission des droits de la personne et des droits de la jeunesse</w:t>
      </w:r>
      <w:r w:rsidRPr="00561F65">
        <w:t xml:space="preserve">, </w:t>
      </w:r>
      <w:r w:rsidRPr="00561F65">
        <w:rPr>
          <w:i/>
        </w:rPr>
        <w:t>Avis - La situation des femmes dans l’industrie de la construction</w:t>
      </w:r>
      <w:r w:rsidRPr="00561F65">
        <w:t xml:space="preserve">, 2025, </w:t>
      </w:r>
      <w:r w:rsidR="00D73CCA" w:rsidRPr="00561F65">
        <w:t xml:space="preserve">[En ligne]. </w:t>
      </w:r>
      <w:hyperlink r:id="rId70" w:history="1">
        <w:r w:rsidR="00AF5791" w:rsidRPr="007912CF">
          <w:rPr>
            <w:rStyle w:val="Lienhypertexte"/>
          </w:rPr>
          <w:t>https://www.cdpdj.qc.ca/fr/publications/situation-des-femmes-construction</w:t>
        </w:r>
      </w:hyperlink>
    </w:p>
  </w:footnote>
  <w:footnote w:id="89">
    <w:p w14:paraId="30F0723D" w14:textId="7697501E" w:rsidR="00D814D5" w:rsidRPr="00561F65" w:rsidRDefault="00D814D5" w:rsidP="004E4354">
      <w:pPr>
        <w:pStyle w:val="NotesBasPage"/>
      </w:pPr>
      <w:r w:rsidRPr="00561F65">
        <w:rPr>
          <w:rStyle w:val="Appelnotedebasdep"/>
        </w:rPr>
        <w:footnoteRef/>
      </w:r>
      <w:r w:rsidRPr="00561F65">
        <w:t xml:space="preserve"> </w:t>
      </w:r>
      <w:r w:rsidRPr="00561F65">
        <w:tab/>
        <w:t>Audrey A</w:t>
      </w:r>
      <w:r w:rsidRPr="00561F65">
        <w:rPr>
          <w:smallCaps/>
        </w:rPr>
        <w:t>ppiah</w:t>
      </w:r>
      <w:r w:rsidRPr="00561F65">
        <w:t xml:space="preserve">, Chloe </w:t>
      </w:r>
      <w:r w:rsidRPr="00561F65">
        <w:rPr>
          <w:smallCaps/>
        </w:rPr>
        <w:t>Halpenny</w:t>
      </w:r>
      <w:r w:rsidRPr="00561F65">
        <w:t xml:space="preserve"> et Basia </w:t>
      </w:r>
      <w:r w:rsidRPr="00561F65">
        <w:rPr>
          <w:smallCaps/>
        </w:rPr>
        <w:t>Pakula</w:t>
      </w:r>
      <w:r w:rsidRPr="00561F65">
        <w:t xml:space="preserve">, </w:t>
      </w:r>
      <w:r w:rsidRPr="00561F65">
        <w:rPr>
          <w:i/>
        </w:rPr>
        <w:t xml:space="preserve">2S/LGBTQ+ populations in the </w:t>
      </w:r>
      <w:proofErr w:type="spellStart"/>
      <w:r w:rsidRPr="00561F65">
        <w:rPr>
          <w:i/>
        </w:rPr>
        <w:t>trades</w:t>
      </w:r>
      <w:proofErr w:type="spellEnd"/>
      <w:r w:rsidRPr="00561F65">
        <w:rPr>
          <w:i/>
        </w:rPr>
        <w:t xml:space="preserve"> in Canada: </w:t>
      </w:r>
      <w:proofErr w:type="spellStart"/>
      <w:r w:rsidRPr="00561F65">
        <w:rPr>
          <w:i/>
        </w:rPr>
        <w:t>Exploratory</w:t>
      </w:r>
      <w:proofErr w:type="spellEnd"/>
      <w:r w:rsidRPr="00561F65">
        <w:rPr>
          <w:i/>
        </w:rPr>
        <w:t xml:space="preserve"> insights</w:t>
      </w:r>
      <w:r w:rsidRPr="00561F65">
        <w:rPr>
          <w:smallCaps/>
        </w:rPr>
        <w:t xml:space="preserve">, </w:t>
      </w:r>
      <w:r w:rsidRPr="00561F65">
        <w:t>Société de recherche sociale appliquée, 2023</w:t>
      </w:r>
      <w:r w:rsidRPr="00561F65">
        <w:rPr>
          <w:smallCaps/>
        </w:rPr>
        <w:t xml:space="preserve">, </w:t>
      </w:r>
      <w:r w:rsidRPr="00561F65">
        <w:t>p.</w:t>
      </w:r>
      <w:r w:rsidR="005C5B01" w:rsidRPr="00561F65">
        <w:t> </w:t>
      </w:r>
      <w:r w:rsidRPr="00561F65">
        <w:t xml:space="preserve">12, </w:t>
      </w:r>
      <w:bookmarkStart w:id="54" w:name="_Hlk216944247"/>
      <w:r w:rsidRPr="00561F65">
        <w:rPr>
          <w:smallCaps/>
        </w:rPr>
        <w:t>[E</w:t>
      </w:r>
      <w:r w:rsidRPr="00561F65">
        <w:t xml:space="preserve">n ligne]. </w:t>
      </w:r>
      <w:bookmarkEnd w:id="54"/>
      <w:r w:rsidR="0080264A">
        <w:fldChar w:fldCharType="begin"/>
      </w:r>
      <w:r w:rsidR="0080264A">
        <w:instrText>HYPERLINK "</w:instrText>
      </w:r>
      <w:r w:rsidR="0080264A" w:rsidRPr="0080264A">
        <w:instrText>https://srdc.org/wp-content/uploads/2023/09/2SLGBTQ-in-the-Trades-final-report.pdf</w:instrText>
      </w:r>
      <w:r w:rsidR="0080264A">
        <w:instrText>"</w:instrText>
      </w:r>
      <w:r w:rsidR="0080264A">
        <w:fldChar w:fldCharType="separate"/>
      </w:r>
      <w:r w:rsidR="0080264A" w:rsidRPr="007912CF">
        <w:rPr>
          <w:rStyle w:val="Lienhypertexte"/>
        </w:rPr>
        <w:t>https://srdc.org/wp-content/uploads/2023/09/2SLGBTQ-in-the-Trades-final-report.pdf</w:t>
      </w:r>
      <w:r w:rsidR="0080264A">
        <w:fldChar w:fldCharType="end"/>
      </w:r>
      <w:hyperlink r:id="rId71" w:history="1">
        <w:r w:rsidRPr="00561F65">
          <w:rPr>
            <w:rStyle w:val="Lienhypertexte"/>
            <w:color w:val="202C4B"/>
          </w:rPr>
          <w:t xml:space="preserve"> </w:t>
        </w:r>
      </w:hyperlink>
      <w:r w:rsidRPr="00561F65">
        <w:rPr>
          <w:smallCaps/>
        </w:rPr>
        <w:t xml:space="preserve"> </w:t>
      </w:r>
    </w:p>
  </w:footnote>
  <w:footnote w:id="90">
    <w:p w14:paraId="135B52A6" w14:textId="516DF835" w:rsidR="00D814D5" w:rsidRPr="00561F65" w:rsidRDefault="00D814D5" w:rsidP="004E4354">
      <w:pPr>
        <w:pStyle w:val="NotesBasPage"/>
      </w:pPr>
      <w:r w:rsidRPr="00561F65">
        <w:rPr>
          <w:rStyle w:val="Appelnotedebasdep"/>
        </w:rPr>
        <w:footnoteRef/>
      </w:r>
      <w:r w:rsidRPr="00561F65">
        <w:t xml:space="preserve"> </w:t>
      </w:r>
      <w:r w:rsidRPr="00561F65">
        <w:tab/>
      </w:r>
      <w:r w:rsidRPr="00561F65">
        <w:rPr>
          <w:i/>
        </w:rPr>
        <w:t>Id</w:t>
      </w:r>
      <w:r w:rsidRPr="00561F65">
        <w:t>., p.</w:t>
      </w:r>
      <w:r w:rsidR="005C5B01" w:rsidRPr="00561F65">
        <w:t> </w:t>
      </w:r>
      <w:r w:rsidRPr="00561F65">
        <w:t>16-17.</w:t>
      </w:r>
    </w:p>
  </w:footnote>
  <w:footnote w:id="91">
    <w:p w14:paraId="16F4601F" w14:textId="1C531CB2" w:rsidR="000B40CC" w:rsidRPr="00561F65" w:rsidRDefault="00D814D5" w:rsidP="004E4354">
      <w:pPr>
        <w:pStyle w:val="NotesBasPage"/>
      </w:pPr>
      <w:r w:rsidRPr="00561F65">
        <w:rPr>
          <w:rStyle w:val="Appelnotedebasdep"/>
        </w:rPr>
        <w:footnoteRef/>
      </w:r>
      <w:r w:rsidRPr="00561F65">
        <w:t xml:space="preserve"> </w:t>
      </w:r>
      <w:r w:rsidRPr="00561F65">
        <w:tab/>
      </w:r>
      <w:r w:rsidR="00DF5A8D" w:rsidRPr="00561F65">
        <w:rPr>
          <w:smallCaps/>
        </w:rPr>
        <w:t>Commission des droits de la personne et des droits de la jeunesse</w:t>
      </w:r>
      <w:r w:rsidRPr="00561F65">
        <w:t xml:space="preserve">, </w:t>
      </w:r>
      <w:proofErr w:type="spellStart"/>
      <w:r w:rsidR="000B40CC" w:rsidRPr="00561F65">
        <w:t>préc</w:t>
      </w:r>
      <w:proofErr w:type="spellEnd"/>
      <w:r w:rsidR="000B40CC" w:rsidRPr="00561F65">
        <w:t xml:space="preserve">., note </w:t>
      </w:r>
      <w:r w:rsidR="000B40CC" w:rsidRPr="00561F65">
        <w:fldChar w:fldCharType="begin"/>
      </w:r>
      <w:r w:rsidR="000B40CC" w:rsidRPr="00561F65">
        <w:instrText xml:space="preserve"> NOTEREF _Ref216953971 \h  \* MERGEFORMAT </w:instrText>
      </w:r>
      <w:r w:rsidR="000B40CC" w:rsidRPr="00561F65">
        <w:fldChar w:fldCharType="separate"/>
      </w:r>
      <w:r w:rsidR="000374E3" w:rsidRPr="00561F65">
        <w:t>87</w:t>
      </w:r>
      <w:r w:rsidR="000B40CC" w:rsidRPr="00561F65">
        <w:fldChar w:fldCharType="end"/>
      </w:r>
      <w:r w:rsidR="009A0316" w:rsidRPr="00561F65">
        <w:t xml:space="preserve">, </w:t>
      </w:r>
      <w:r w:rsidRPr="00561F65">
        <w:t>p.</w:t>
      </w:r>
      <w:r w:rsidR="005C5B01" w:rsidRPr="00561F65">
        <w:t> </w:t>
      </w:r>
      <w:r w:rsidRPr="00561F65">
        <w:t>30-33</w:t>
      </w:r>
      <w:r w:rsidR="009A0316" w:rsidRPr="00561F65">
        <w:t xml:space="preserve">. </w:t>
      </w:r>
    </w:p>
  </w:footnote>
  <w:footnote w:id="92">
    <w:p w14:paraId="57FD5209" w14:textId="3F7C31A0" w:rsidR="00D814D5" w:rsidRPr="00561F65" w:rsidRDefault="00D814D5" w:rsidP="004E4354">
      <w:pPr>
        <w:pStyle w:val="NotesBasPage"/>
        <w:rPr>
          <w:lang w:val="en-CA"/>
        </w:rPr>
      </w:pPr>
      <w:r w:rsidRPr="00561F65">
        <w:rPr>
          <w:rStyle w:val="Appelnotedebasdep"/>
        </w:rPr>
        <w:footnoteRef/>
      </w:r>
      <w:r w:rsidRPr="00561F65">
        <w:t xml:space="preserve"> </w:t>
      </w:r>
      <w:r w:rsidRPr="00561F65">
        <w:tab/>
      </w:r>
      <w:r w:rsidR="00E67560" w:rsidRPr="00561F65">
        <w:t xml:space="preserve">Kristen </w:t>
      </w:r>
      <w:r w:rsidR="00E67560" w:rsidRPr="00561F65">
        <w:rPr>
          <w:smallCaps/>
        </w:rPr>
        <w:t>Schilt</w:t>
      </w:r>
      <w:r w:rsidR="00E67560" w:rsidRPr="00561F65">
        <w:t>, «</w:t>
      </w:r>
      <w:r w:rsidR="00E67560" w:rsidRPr="00561F65">
        <w:rPr>
          <w:rFonts w:ascii="Arial" w:hAnsi="Arial" w:cs="Arial"/>
        </w:rPr>
        <w:t> </w:t>
      </w:r>
      <w:r w:rsidR="00E67560" w:rsidRPr="00561F65">
        <w:t>Un mec comme les autres</w:t>
      </w:r>
      <w:r w:rsidR="00E67560" w:rsidRPr="00561F65">
        <w:rPr>
          <w:rFonts w:ascii="Arial" w:hAnsi="Arial" w:cs="Arial"/>
        </w:rPr>
        <w:t> </w:t>
      </w:r>
      <w:r w:rsidR="00E67560" w:rsidRPr="00561F65">
        <w:t>? Comment les hommes trans</w:t>
      </w:r>
      <w:r w:rsidR="00370E16" w:rsidRPr="00561F65">
        <w:rPr>
          <w:rFonts w:ascii="Arial" w:hAnsi="Arial" w:cs="Arial"/>
        </w:rPr>
        <w:t> </w:t>
      </w:r>
      <w:r w:rsidR="00E67560" w:rsidRPr="00561F65">
        <w:rPr>
          <w:rFonts w:cs="Aptos"/>
        </w:rPr>
        <w:t>’</w:t>
      </w:r>
      <w:r w:rsidR="00E67560" w:rsidRPr="00561F65">
        <w:t xml:space="preserve"> rendent le genre visible au travail</w:t>
      </w:r>
      <w:r w:rsidR="00E67560" w:rsidRPr="00561F65">
        <w:rPr>
          <w:rFonts w:ascii="Arial" w:hAnsi="Arial" w:cs="Arial"/>
        </w:rPr>
        <w:t> </w:t>
      </w:r>
      <w:r w:rsidR="00E67560" w:rsidRPr="00561F65">
        <w:rPr>
          <w:rFonts w:cs="Aptos"/>
        </w:rPr>
        <w:t>»</w:t>
      </w:r>
      <w:r w:rsidR="00E67560" w:rsidRPr="00561F65">
        <w:t xml:space="preserve">, (2023) 49-1 </w:t>
      </w:r>
      <w:r w:rsidR="00E67560" w:rsidRPr="00561F65">
        <w:rPr>
          <w:i/>
        </w:rPr>
        <w:t>Travail, genre et sociétés</w:t>
      </w:r>
      <w:r w:rsidR="00E67560" w:rsidRPr="00561F65">
        <w:t> 45</w:t>
      </w:r>
      <w:r w:rsidR="00E67560" w:rsidRPr="00561F65">
        <w:noBreakHyphen/>
        <w:t>63</w:t>
      </w:r>
      <w:r w:rsidR="00C01E94">
        <w:t xml:space="preserve"> et</w:t>
      </w:r>
      <w:r w:rsidR="00E67560" w:rsidRPr="00561F65">
        <w:t xml:space="preserve"> 61, </w:t>
      </w:r>
      <w:r w:rsidR="00E67560" w:rsidRPr="00561F65">
        <w:rPr>
          <w:smallCaps/>
        </w:rPr>
        <w:t>[E</w:t>
      </w:r>
      <w:r w:rsidR="00E67560" w:rsidRPr="00561F65">
        <w:t xml:space="preserve">n ligne]. </w:t>
      </w:r>
      <w:hyperlink r:id="rId72" w:history="1">
        <w:r w:rsidR="000E618F" w:rsidRPr="0026497C">
          <w:rPr>
            <w:rStyle w:val="Lienhypertexte"/>
            <w:lang w:val="en-CA"/>
          </w:rPr>
          <w:t>https://shs.cairn.info/revue-travail-genre-et-societes-2023-1-page-45</w:t>
        </w:r>
      </w:hyperlink>
      <w:r w:rsidR="00E42B7C" w:rsidRPr="0026497C">
        <w:rPr>
          <w:lang w:val="en-CA"/>
        </w:rPr>
        <w:t xml:space="preserve"> </w:t>
      </w:r>
      <w:r w:rsidR="00E67560" w:rsidRPr="0026497C">
        <w:rPr>
          <w:lang w:val="en-CA"/>
        </w:rPr>
        <w:t xml:space="preserve">[trad. </w:t>
      </w:r>
      <w:r w:rsidR="00E67560" w:rsidRPr="00561F65">
        <w:rPr>
          <w:lang w:val="en-CA"/>
        </w:rPr>
        <w:t xml:space="preserve">Hélène </w:t>
      </w:r>
      <w:r w:rsidR="00E67560" w:rsidRPr="00561F65">
        <w:rPr>
          <w:smallCaps/>
          <w:lang w:val="en-CA"/>
        </w:rPr>
        <w:t>Windish]</w:t>
      </w:r>
      <w:r w:rsidR="006C1E2C" w:rsidRPr="00561F65">
        <w:rPr>
          <w:smallCaps/>
          <w:lang w:val="en-CA"/>
        </w:rPr>
        <w:t>.</w:t>
      </w:r>
    </w:p>
  </w:footnote>
  <w:footnote w:id="93">
    <w:p w14:paraId="5EB3A6F8" w14:textId="279E227E" w:rsidR="00886FDE" w:rsidRPr="00561F65" w:rsidRDefault="00D814D5" w:rsidP="004E4354">
      <w:pPr>
        <w:pStyle w:val="NotesBasPage"/>
      </w:pPr>
      <w:r w:rsidRPr="00561F65">
        <w:rPr>
          <w:rStyle w:val="Appelnotedebasdep"/>
        </w:rPr>
        <w:footnoteRef/>
      </w:r>
      <w:r w:rsidRPr="00561F65">
        <w:t xml:space="preserve"> </w:t>
      </w:r>
      <w:r w:rsidR="00D815E5" w:rsidRPr="00561F65">
        <w:tab/>
      </w:r>
      <w:r w:rsidRPr="00561F65">
        <w:rPr>
          <w:smallCaps/>
        </w:rPr>
        <w:t>Conseil du statut de la femme</w:t>
      </w:r>
      <w:r w:rsidRPr="00561F65">
        <w:t xml:space="preserve">, </w:t>
      </w:r>
      <w:r w:rsidRPr="00561F65">
        <w:rPr>
          <w:i/>
        </w:rPr>
        <w:t>L’égalité entre les femmes et les hommes</w:t>
      </w:r>
      <w:r w:rsidR="00F01F5E" w:rsidRPr="00561F65">
        <w:rPr>
          <w:i/>
        </w:rPr>
        <w:t> </w:t>
      </w:r>
      <w:r w:rsidRPr="00561F65">
        <w:rPr>
          <w:i/>
        </w:rPr>
        <w:t>: regard sur 50</w:t>
      </w:r>
      <w:r w:rsidR="005516C0" w:rsidRPr="00561F65">
        <w:rPr>
          <w:i/>
        </w:rPr>
        <w:t> </w:t>
      </w:r>
      <w:r w:rsidRPr="00561F65">
        <w:rPr>
          <w:i/>
        </w:rPr>
        <w:t>ans d’évolution au Québec</w:t>
      </w:r>
      <w:r w:rsidRPr="00561F65">
        <w:t>, Québec (Québec), 2024, p.</w:t>
      </w:r>
      <w:r w:rsidR="005C5B01" w:rsidRPr="00561F65">
        <w:t> </w:t>
      </w:r>
      <w:r w:rsidRPr="00561F65">
        <w:t xml:space="preserve">68, </w:t>
      </w:r>
      <w:r w:rsidR="00D73CCA" w:rsidRPr="00561F65">
        <w:rPr>
          <w:smallCaps/>
        </w:rPr>
        <w:t>[E</w:t>
      </w:r>
      <w:r w:rsidR="00D73CCA" w:rsidRPr="00561F65">
        <w:t xml:space="preserve">n ligne]. </w:t>
      </w:r>
      <w:hyperlink r:id="rId73" w:history="1">
        <w:r w:rsidR="00886FDE" w:rsidRPr="007912CF">
          <w:rPr>
            <w:rStyle w:val="Lienhypertexte"/>
          </w:rPr>
          <w:t>https://shs.cairn.info/revue-travail-genre-et-societes-2023-1-page-45</w:t>
        </w:r>
      </w:hyperlink>
    </w:p>
  </w:footnote>
  <w:footnote w:id="94">
    <w:p w14:paraId="53BC7288" w14:textId="7385B977" w:rsidR="00D814D5" w:rsidRPr="00561F65" w:rsidRDefault="00D814D5" w:rsidP="004E4354">
      <w:pPr>
        <w:pStyle w:val="NotesBasPage"/>
      </w:pPr>
      <w:r w:rsidRPr="00561F65">
        <w:rPr>
          <w:rStyle w:val="Appelnotedebasdep"/>
        </w:rPr>
        <w:footnoteRef/>
      </w:r>
      <w:r w:rsidRPr="00561F65">
        <w:t xml:space="preserve"> </w:t>
      </w:r>
      <w:r w:rsidRPr="00561F65">
        <w:tab/>
      </w:r>
      <w:r w:rsidR="0086791E" w:rsidRPr="00561F65">
        <w:t>K</w:t>
      </w:r>
      <w:r w:rsidR="009A0316" w:rsidRPr="00561F65">
        <w:t>.</w:t>
      </w:r>
      <w:r w:rsidR="00E328B0">
        <w:t> </w:t>
      </w:r>
      <w:r w:rsidRPr="00561F65">
        <w:rPr>
          <w:smallCaps/>
        </w:rPr>
        <w:t>Schilt</w:t>
      </w:r>
      <w:r w:rsidR="00E67560" w:rsidRPr="00561F65">
        <w:rPr>
          <w:smallCaps/>
        </w:rPr>
        <w:t xml:space="preserve">, </w:t>
      </w:r>
      <w:proofErr w:type="spellStart"/>
      <w:r w:rsidR="00E67560" w:rsidRPr="00561F65">
        <w:t>préc</w:t>
      </w:r>
      <w:proofErr w:type="spellEnd"/>
      <w:r w:rsidR="00E67560" w:rsidRPr="00561F65">
        <w:t xml:space="preserve">., note </w:t>
      </w:r>
      <w:r w:rsidR="000B40CC" w:rsidRPr="00561F65">
        <w:fldChar w:fldCharType="begin"/>
      </w:r>
      <w:r w:rsidR="000B40CC" w:rsidRPr="00561F65">
        <w:instrText xml:space="preserve"> NOTEREF _Ref216953778 \h  \* MERGEFORMAT </w:instrText>
      </w:r>
      <w:r w:rsidR="000B40CC" w:rsidRPr="00561F65">
        <w:fldChar w:fldCharType="separate"/>
      </w:r>
      <w:r w:rsidR="000374E3" w:rsidRPr="00561F65">
        <w:t>91</w:t>
      </w:r>
      <w:r w:rsidR="000B40CC" w:rsidRPr="00561F65">
        <w:fldChar w:fldCharType="end"/>
      </w:r>
      <w:r w:rsidR="009A0316" w:rsidRPr="00561F65">
        <w:t>.</w:t>
      </w:r>
    </w:p>
  </w:footnote>
  <w:footnote w:id="95">
    <w:p w14:paraId="7F82C0AA" w14:textId="49FBA11E" w:rsidR="00D814D5" w:rsidRPr="00561F65" w:rsidRDefault="00D814D5" w:rsidP="004E4354">
      <w:pPr>
        <w:pStyle w:val="NotesBasPage"/>
      </w:pPr>
      <w:r w:rsidRPr="00561F65">
        <w:rPr>
          <w:rStyle w:val="Appelnotedebasdep"/>
        </w:rPr>
        <w:footnoteRef/>
      </w:r>
      <w:r w:rsidRPr="00561F65">
        <w:t xml:space="preserve"> </w:t>
      </w:r>
      <w:r w:rsidRPr="00561F65">
        <w:tab/>
      </w:r>
      <w:r w:rsidR="000B40CC" w:rsidRPr="00561F65">
        <w:rPr>
          <w:i/>
        </w:rPr>
        <w:t>Id.</w:t>
      </w:r>
    </w:p>
  </w:footnote>
  <w:footnote w:id="96">
    <w:p w14:paraId="56264439" w14:textId="074CF5F0" w:rsidR="00D814D5" w:rsidRPr="00561F65" w:rsidRDefault="00D814D5" w:rsidP="004E4354">
      <w:pPr>
        <w:pStyle w:val="NotesBasPage"/>
      </w:pPr>
      <w:r w:rsidRPr="00561F65">
        <w:rPr>
          <w:rStyle w:val="Appelnotedebasdep"/>
        </w:rPr>
        <w:footnoteRef/>
      </w:r>
      <w:r w:rsidRPr="00561F65">
        <w:t xml:space="preserve"> </w:t>
      </w:r>
      <w:r w:rsidRPr="00561F65">
        <w:tab/>
      </w:r>
      <w:r w:rsidR="000746DB" w:rsidRPr="00561F65">
        <w:t xml:space="preserve">Tessa </w:t>
      </w:r>
      <w:r w:rsidRPr="00561F65">
        <w:rPr>
          <w:smallCaps/>
        </w:rPr>
        <w:t>Wright</w:t>
      </w:r>
      <w:r w:rsidRPr="00561F65">
        <w:t>, «</w:t>
      </w:r>
      <w:r w:rsidR="00AB4C13" w:rsidRPr="00561F65">
        <w:rPr>
          <w:rFonts w:ascii="Arial" w:hAnsi="Arial" w:cs="Arial"/>
        </w:rPr>
        <w:t> </w:t>
      </w:r>
      <w:r w:rsidRPr="00561F65">
        <w:t>Existe-t-il un «</w:t>
      </w:r>
      <w:r w:rsidRPr="00561F65">
        <w:rPr>
          <w:rFonts w:ascii="Arial" w:hAnsi="Arial" w:cs="Arial"/>
        </w:rPr>
        <w:t> </w:t>
      </w:r>
      <w:r w:rsidRPr="00561F65">
        <w:t>avantage lesbien</w:t>
      </w:r>
      <w:r w:rsidRPr="00561F65">
        <w:rPr>
          <w:rFonts w:ascii="Arial" w:hAnsi="Arial" w:cs="Arial"/>
        </w:rPr>
        <w:t> </w:t>
      </w:r>
      <w:r w:rsidRPr="00561F65">
        <w:rPr>
          <w:rFonts w:cs="Aptos"/>
        </w:rPr>
        <w:t>»</w:t>
      </w:r>
      <w:r w:rsidRPr="00561F65">
        <w:t xml:space="preserve"> dans les professions domin</w:t>
      </w:r>
      <w:r w:rsidRPr="00561F65">
        <w:rPr>
          <w:rFonts w:cs="Aptos"/>
        </w:rPr>
        <w:t>é</w:t>
      </w:r>
      <w:r w:rsidRPr="00561F65">
        <w:t>es par les hommes</w:t>
      </w:r>
      <w:r w:rsidRPr="00561F65">
        <w:rPr>
          <w:rFonts w:ascii="Arial" w:hAnsi="Arial" w:cs="Arial"/>
        </w:rPr>
        <w:t> </w:t>
      </w:r>
      <w:r w:rsidRPr="00561F65">
        <w:t>? Une analyse intersectionnelle</w:t>
      </w:r>
      <w:r w:rsidR="00AB4C13" w:rsidRPr="00561F65">
        <w:rPr>
          <w:rFonts w:ascii="Arial" w:hAnsi="Arial" w:cs="Arial"/>
        </w:rPr>
        <w:t> </w:t>
      </w:r>
      <w:r w:rsidRPr="00561F65">
        <w:rPr>
          <w:rFonts w:cs="Aptos"/>
        </w:rPr>
        <w:t>»</w:t>
      </w:r>
      <w:r w:rsidRPr="00561F65">
        <w:t xml:space="preserve">, (2023) 49-1 </w:t>
      </w:r>
      <w:r w:rsidRPr="00561F65">
        <w:rPr>
          <w:i/>
        </w:rPr>
        <w:t>Travail, genre et sociétés</w:t>
      </w:r>
      <w:r w:rsidR="005C5B01" w:rsidRPr="00561F65">
        <w:t> </w:t>
      </w:r>
      <w:r w:rsidRPr="00561F65">
        <w:t>27</w:t>
      </w:r>
      <w:r w:rsidRPr="00561F65">
        <w:noBreakHyphen/>
        <w:t xml:space="preserve">44, </w:t>
      </w:r>
      <w:r w:rsidR="00697040" w:rsidRPr="00561F65">
        <w:rPr>
          <w:smallCaps/>
        </w:rPr>
        <w:t>[E</w:t>
      </w:r>
      <w:r w:rsidR="00697040" w:rsidRPr="00561F65">
        <w:t>n ligne</w:t>
      </w:r>
      <w:hyperlink r:id="rId74" w:history="1">
        <w:r w:rsidR="00697040" w:rsidRPr="00032075">
          <w:rPr>
            <w:rStyle w:val="Lienhypertexte"/>
            <w:color w:val="auto"/>
            <w:u w:val="none"/>
          </w:rPr>
          <w:t>].</w:t>
        </w:r>
        <w:r w:rsidR="00697040" w:rsidRPr="00032075">
          <w:rPr>
            <w:rStyle w:val="Lienhypertexte"/>
            <w:u w:val="none"/>
          </w:rPr>
          <w:t xml:space="preserve"> </w:t>
        </w:r>
        <w:r w:rsidR="00697040" w:rsidRPr="00886FDE">
          <w:rPr>
            <w:rStyle w:val="Lienhypertexte"/>
          </w:rPr>
          <w:t>https://shs.cairn.info/revue-travail-genre-et-societes-2023-1-page-27</w:t>
        </w:r>
      </w:hyperlink>
      <w:r w:rsidR="00697040" w:rsidRPr="00561F65">
        <w:t xml:space="preserve"> </w:t>
      </w:r>
      <w:r w:rsidR="000746DB" w:rsidRPr="00561F65">
        <w:t xml:space="preserve">(trad. </w:t>
      </w:r>
      <w:r w:rsidR="004A424C" w:rsidRPr="00561F65">
        <w:t>Marion Beaujard)</w:t>
      </w:r>
    </w:p>
  </w:footnote>
  <w:footnote w:id="97">
    <w:p w14:paraId="15143253" w14:textId="6AB99EFD" w:rsidR="00D814D5" w:rsidRPr="00561F65" w:rsidRDefault="00D814D5" w:rsidP="004E4354">
      <w:pPr>
        <w:pStyle w:val="NotesBasPage"/>
      </w:pPr>
      <w:r w:rsidRPr="00561F65">
        <w:rPr>
          <w:rStyle w:val="Appelnotedebasdep"/>
        </w:rPr>
        <w:footnoteRef/>
      </w:r>
      <w:r w:rsidRPr="00561F65">
        <w:t xml:space="preserve"> </w:t>
      </w:r>
      <w:r w:rsidRPr="00561F65">
        <w:tab/>
        <w:t xml:space="preserve">Émilie </w:t>
      </w:r>
      <w:r w:rsidRPr="00561F65">
        <w:rPr>
          <w:smallCaps/>
        </w:rPr>
        <w:t>Morand</w:t>
      </w:r>
      <w:r w:rsidRPr="00561F65">
        <w:t xml:space="preserve"> et Élisabeth </w:t>
      </w:r>
      <w:r w:rsidRPr="00561F65">
        <w:rPr>
          <w:smallCaps/>
        </w:rPr>
        <w:t>Feytit</w:t>
      </w:r>
      <w:r w:rsidRPr="00561F65">
        <w:t>,</w:t>
      </w:r>
      <w:r w:rsidR="00693082" w:rsidRPr="00561F65">
        <w:t xml:space="preserve"> «</w:t>
      </w:r>
      <w:r w:rsidR="00370E16" w:rsidRPr="00561F65">
        <w:rPr>
          <w:rFonts w:ascii="Arial" w:hAnsi="Arial" w:cs="Arial"/>
        </w:rPr>
        <w:t> </w:t>
      </w:r>
      <w:r w:rsidR="00693082" w:rsidRPr="00561F65">
        <w:t>Tous</w:t>
      </w:r>
      <w:r w:rsidRPr="00561F65">
        <w:t xml:space="preserve"> hétéros au boulot</w:t>
      </w:r>
      <w:r w:rsidR="00421E33" w:rsidRPr="00561F65">
        <w:rPr>
          <w:rFonts w:ascii="Arial" w:hAnsi="Arial" w:cs="Arial"/>
        </w:rPr>
        <w:t> </w:t>
      </w:r>
      <w:r w:rsidR="00421E33" w:rsidRPr="00561F65">
        <w:t xml:space="preserve">? </w:t>
      </w:r>
      <w:r w:rsidRPr="00561F65">
        <w:t>Jouer et déjouer les normes de genre et de sexualité au travail</w:t>
      </w:r>
      <w:r w:rsidR="00370E16" w:rsidRPr="00561F65">
        <w:rPr>
          <w:rFonts w:ascii="Arial" w:hAnsi="Arial" w:cs="Arial"/>
        </w:rPr>
        <w:t> </w:t>
      </w:r>
      <w:r w:rsidR="00C21AA4" w:rsidRPr="00561F65">
        <w:rPr>
          <w:rFonts w:ascii="Walbaum Heading" w:hAnsi="Walbaum Heading"/>
        </w:rPr>
        <w:t>»</w:t>
      </w:r>
      <w:r w:rsidRPr="00561F65">
        <w:t xml:space="preserve">, La route de la soie </w:t>
      </w:r>
      <w:r w:rsidR="00C008F6" w:rsidRPr="00561F65">
        <w:t xml:space="preserve">- </w:t>
      </w:r>
      <w:r w:rsidRPr="00561F65">
        <w:t>Éditions, 2024, p.</w:t>
      </w:r>
      <w:r w:rsidR="005C5B01" w:rsidRPr="00561F65">
        <w:t> </w:t>
      </w:r>
      <w:r w:rsidRPr="00561F65">
        <w:t>24-25.</w:t>
      </w:r>
    </w:p>
  </w:footnote>
  <w:footnote w:id="98">
    <w:p w14:paraId="42DB580B" w14:textId="6A92F4CF" w:rsidR="00D814D5" w:rsidRPr="00561F65" w:rsidRDefault="00D814D5" w:rsidP="004E4354">
      <w:pPr>
        <w:pStyle w:val="NotesBasPage"/>
      </w:pPr>
      <w:r w:rsidRPr="00561F65">
        <w:rPr>
          <w:rStyle w:val="Appelnotedebasdep"/>
        </w:rPr>
        <w:footnoteRef/>
      </w:r>
      <w:r w:rsidRPr="00561F65">
        <w:t xml:space="preserve"> </w:t>
      </w:r>
      <w:r w:rsidRPr="00561F65">
        <w:tab/>
      </w:r>
      <w:r w:rsidR="006731FF" w:rsidRPr="00561F65">
        <w:t>É</w:t>
      </w:r>
      <w:r w:rsidR="00D775A6" w:rsidRPr="00561F65">
        <w:t>.</w:t>
      </w:r>
      <w:r w:rsidR="006731FF" w:rsidRPr="00561F65">
        <w:t xml:space="preserve"> </w:t>
      </w:r>
      <w:r w:rsidRPr="00561F65">
        <w:rPr>
          <w:smallCaps/>
        </w:rPr>
        <w:t>Morand</w:t>
      </w:r>
      <w:r w:rsidRPr="00561F65">
        <w:t xml:space="preserve">, </w:t>
      </w:r>
      <w:proofErr w:type="spellStart"/>
      <w:r w:rsidR="00C25F17" w:rsidRPr="00561F65">
        <w:t>préc</w:t>
      </w:r>
      <w:proofErr w:type="spellEnd"/>
      <w:r w:rsidR="00C25F17" w:rsidRPr="00561F65">
        <w:t xml:space="preserve">., note </w:t>
      </w:r>
      <w:r w:rsidR="00C25F17" w:rsidRPr="00561F65">
        <w:fldChar w:fldCharType="begin"/>
      </w:r>
      <w:r w:rsidR="00C25F17" w:rsidRPr="00561F65">
        <w:instrText xml:space="preserve"> NOTEREF _Ref216864504 \h </w:instrText>
      </w:r>
      <w:r w:rsidR="007017CF" w:rsidRPr="00561F65">
        <w:instrText xml:space="preserve"> \* MERGEFORMAT </w:instrText>
      </w:r>
      <w:r w:rsidR="00C25F17" w:rsidRPr="00561F65">
        <w:fldChar w:fldCharType="separate"/>
      </w:r>
      <w:r w:rsidR="000374E3" w:rsidRPr="00561F65">
        <w:t>39</w:t>
      </w:r>
      <w:r w:rsidR="00C25F17" w:rsidRPr="00561F65">
        <w:fldChar w:fldCharType="end"/>
      </w:r>
      <w:r w:rsidR="00C25F17" w:rsidRPr="00561F65">
        <w:t xml:space="preserve">, </w:t>
      </w:r>
      <w:r w:rsidRPr="00561F65">
        <w:t xml:space="preserve">p. 147, 153 et </w:t>
      </w:r>
      <w:proofErr w:type="spellStart"/>
      <w:r w:rsidRPr="00561F65">
        <w:t>suiv</w:t>
      </w:r>
      <w:proofErr w:type="spellEnd"/>
      <w:r w:rsidRPr="00561F65">
        <w:t>.</w:t>
      </w:r>
    </w:p>
  </w:footnote>
  <w:footnote w:id="99">
    <w:p w14:paraId="665A4F91" w14:textId="38F09684" w:rsidR="00926EEA" w:rsidRPr="00561F65" w:rsidRDefault="00D814D5" w:rsidP="004E4354">
      <w:pPr>
        <w:pStyle w:val="NotesBasPage"/>
      </w:pPr>
      <w:r w:rsidRPr="00561F65">
        <w:rPr>
          <w:rStyle w:val="Appelnotedebasdep"/>
        </w:rPr>
        <w:footnoteRef/>
      </w:r>
      <w:r w:rsidRPr="00561F65">
        <w:t xml:space="preserve"> </w:t>
      </w:r>
      <w:r w:rsidR="00D815E5" w:rsidRPr="00561F65">
        <w:tab/>
      </w:r>
      <w:r w:rsidRPr="00561F65">
        <w:t>La Commission rapportait les résultats d’une recherche menée à travers le Québec sur l’homophobie en milieu de travail auprès de 786</w:t>
      </w:r>
      <w:r w:rsidR="005516C0" w:rsidRPr="00561F65">
        <w:t> </w:t>
      </w:r>
      <w:r w:rsidRPr="00561F65">
        <w:t>personnes gaies et lesbiennes : 80 % des personnes interrogées disaient avoir été témoins de blagues offensantes concernant l’homosexualité ou les personnes homosexuelles et 29 % disaient en avoir été elles-mêmes la cible, dont 3,5 % assez ou très souvent</w:t>
      </w:r>
      <w:r w:rsidRPr="00561F65">
        <w:rPr>
          <w:rStyle w:val="Appelnotedebasdep"/>
        </w:rPr>
        <w:footnoteRef/>
      </w:r>
      <w:r w:rsidRPr="00561F65">
        <w:t xml:space="preserve">. Voir </w:t>
      </w:r>
      <w:r w:rsidRPr="00561F65">
        <w:rPr>
          <w:smallCaps/>
        </w:rPr>
        <w:t>Commission des droits de la personne et des droits de la jeunesse</w:t>
      </w:r>
      <w:r w:rsidRPr="00561F65">
        <w:t xml:space="preserve">, </w:t>
      </w:r>
      <w:proofErr w:type="spellStart"/>
      <w:r w:rsidR="00331DE5" w:rsidRPr="00561F65">
        <w:t>préc</w:t>
      </w:r>
      <w:proofErr w:type="spellEnd"/>
      <w:r w:rsidR="00331DE5" w:rsidRPr="00561F65">
        <w:t xml:space="preserve">., note </w:t>
      </w:r>
      <w:r w:rsidR="00331DE5" w:rsidRPr="00561F65">
        <w:fldChar w:fldCharType="begin"/>
      </w:r>
      <w:r w:rsidR="00331DE5" w:rsidRPr="00561F65">
        <w:instrText xml:space="preserve"> NOTEREF _Ref216861450 \h </w:instrText>
      </w:r>
      <w:r w:rsidR="007017CF" w:rsidRPr="00561F65">
        <w:instrText xml:space="preserve"> \* MERGEFORMAT </w:instrText>
      </w:r>
      <w:r w:rsidR="00331DE5" w:rsidRPr="00561F65">
        <w:fldChar w:fldCharType="separate"/>
      </w:r>
      <w:r w:rsidR="000374E3" w:rsidRPr="00561F65">
        <w:t>8</w:t>
      </w:r>
      <w:r w:rsidR="00331DE5" w:rsidRPr="00561F65">
        <w:fldChar w:fldCharType="end"/>
      </w:r>
      <w:r w:rsidR="00331DE5" w:rsidRPr="00561F65">
        <w:t xml:space="preserve">, </w:t>
      </w:r>
      <w:r w:rsidRPr="00561F65">
        <w:t>p.</w:t>
      </w:r>
      <w:r w:rsidR="005C5B01" w:rsidRPr="00561F65">
        <w:t> </w:t>
      </w:r>
      <w:r w:rsidRPr="00561F65">
        <w:t>52</w:t>
      </w:r>
      <w:r w:rsidR="00E813A1" w:rsidRPr="00561F65">
        <w:t xml:space="preserve">. </w:t>
      </w:r>
    </w:p>
  </w:footnote>
  <w:footnote w:id="100">
    <w:p w14:paraId="2CAEDC16" w14:textId="097038DD" w:rsidR="00D814D5" w:rsidRPr="00561F65" w:rsidRDefault="00D814D5" w:rsidP="004E4354">
      <w:pPr>
        <w:pStyle w:val="NotesBasPage"/>
      </w:pPr>
      <w:r w:rsidRPr="00561F65">
        <w:rPr>
          <w:rStyle w:val="Appelnotedebasdep"/>
        </w:rPr>
        <w:footnoteRef/>
      </w:r>
      <w:r w:rsidRPr="00561F65">
        <w:t xml:space="preserve"> </w:t>
      </w:r>
      <w:r w:rsidRPr="00561F65">
        <w:tab/>
        <w:t>É</w:t>
      </w:r>
      <w:r w:rsidR="00D775A6" w:rsidRPr="00561F65">
        <w:t>.</w:t>
      </w:r>
      <w:r w:rsidRPr="00561F65">
        <w:t xml:space="preserve"> </w:t>
      </w:r>
      <w:r w:rsidRPr="00561F65">
        <w:rPr>
          <w:smallCaps/>
        </w:rPr>
        <w:t>Morand</w:t>
      </w:r>
      <w:r w:rsidRPr="00561F65">
        <w:t xml:space="preserve"> et É</w:t>
      </w:r>
      <w:r w:rsidR="00D775A6" w:rsidRPr="00561F65">
        <w:t>.</w:t>
      </w:r>
      <w:r w:rsidR="00423991" w:rsidRPr="00561F65">
        <w:t xml:space="preserve"> </w:t>
      </w:r>
      <w:proofErr w:type="spellStart"/>
      <w:r w:rsidRPr="00561F65">
        <w:rPr>
          <w:smallCaps/>
        </w:rPr>
        <w:t>Feytit</w:t>
      </w:r>
      <w:proofErr w:type="spellEnd"/>
      <w:r w:rsidRPr="00561F65">
        <w:t xml:space="preserve">, </w:t>
      </w:r>
      <w:proofErr w:type="spellStart"/>
      <w:r w:rsidR="003D518D" w:rsidRPr="00561F65">
        <w:t>préc</w:t>
      </w:r>
      <w:proofErr w:type="spellEnd"/>
      <w:r w:rsidR="003D518D" w:rsidRPr="00561F65">
        <w:t xml:space="preserve">., note </w:t>
      </w:r>
      <w:r w:rsidR="003D518D" w:rsidRPr="00561F65">
        <w:fldChar w:fldCharType="begin"/>
      </w:r>
      <w:r w:rsidR="003D518D" w:rsidRPr="00561F65">
        <w:instrText xml:space="preserve"> NOTEREF _Ref216865070 \h </w:instrText>
      </w:r>
      <w:r w:rsidR="00ED24FE" w:rsidRPr="00561F65">
        <w:instrText xml:space="preserve"> \* MERGEFORMAT </w:instrText>
      </w:r>
      <w:r w:rsidR="003D518D" w:rsidRPr="00561F65">
        <w:fldChar w:fldCharType="separate"/>
      </w:r>
      <w:r w:rsidR="000374E3" w:rsidRPr="00561F65">
        <w:t>96</w:t>
      </w:r>
      <w:r w:rsidR="003D518D" w:rsidRPr="00561F65">
        <w:fldChar w:fldCharType="end"/>
      </w:r>
      <w:r w:rsidR="00D775A6" w:rsidRPr="00561F65">
        <w:t>, p. 83.</w:t>
      </w:r>
    </w:p>
  </w:footnote>
  <w:footnote w:id="101">
    <w:p w14:paraId="10B75DB4" w14:textId="02E2F1B3" w:rsidR="00327BA2" w:rsidRPr="00561F65" w:rsidRDefault="00327BA2" w:rsidP="004E4354">
      <w:pPr>
        <w:pStyle w:val="NotesBasPage"/>
        <w:rPr>
          <w:lang w:val="en-CA"/>
        </w:rPr>
      </w:pPr>
      <w:r w:rsidRPr="00561F65">
        <w:rPr>
          <w:rStyle w:val="Appelnotedebasdep"/>
        </w:rPr>
        <w:footnoteRef/>
      </w:r>
      <w:r w:rsidRPr="00561F65">
        <w:t xml:space="preserve"> </w:t>
      </w:r>
      <w:r w:rsidRPr="00561F65">
        <w:tab/>
        <w:t xml:space="preserve">Line </w:t>
      </w:r>
      <w:r w:rsidRPr="00561F65">
        <w:rPr>
          <w:smallCaps/>
        </w:rPr>
        <w:t>Chamberland</w:t>
      </w:r>
      <w:r w:rsidRPr="00561F65">
        <w:t xml:space="preserve">, </w:t>
      </w:r>
      <w:r w:rsidRPr="00561F65">
        <w:rPr>
          <w:i/>
        </w:rPr>
        <w:t>Gais et lesbiennes en milieu de travail, Rapport synthèse de recherche</w:t>
      </w:r>
      <w:r w:rsidRPr="00561F65">
        <w:t>, 2007, p.</w:t>
      </w:r>
      <w:r w:rsidR="005C5B01" w:rsidRPr="00561F65">
        <w:t> </w:t>
      </w:r>
      <w:r w:rsidRPr="00561F65">
        <w:t>28</w:t>
      </w:r>
      <w:r w:rsidR="00BD6329" w:rsidRPr="00561F65">
        <w:rPr>
          <w:rFonts w:ascii="Arial" w:hAnsi="Arial"/>
        </w:rPr>
        <w:t> </w:t>
      </w:r>
      <w:r w:rsidRPr="00561F65">
        <w:t xml:space="preserve">; </w:t>
      </w:r>
      <w:r w:rsidR="009A4DFA" w:rsidRPr="00561F65">
        <w:t>J</w:t>
      </w:r>
      <w:r w:rsidR="00041808" w:rsidRPr="00561F65">
        <w:t>.</w:t>
      </w:r>
      <w:r w:rsidR="009A4DFA" w:rsidRPr="00561F65">
        <w:t xml:space="preserve"> Bastien </w:t>
      </w:r>
      <w:r w:rsidRPr="00561F65">
        <w:rPr>
          <w:smallCaps/>
        </w:rPr>
        <w:t>Charlebois</w:t>
      </w:r>
      <w:r w:rsidRPr="00561F65">
        <w:t>, «</w:t>
      </w:r>
      <w:r w:rsidR="00AB4C13" w:rsidRPr="00561F65">
        <w:rPr>
          <w:rFonts w:ascii="Arial" w:hAnsi="Arial"/>
        </w:rPr>
        <w:t> </w:t>
      </w:r>
      <w:r w:rsidRPr="00561F65">
        <w:t>Au-delà de la phobie de l’homo</w:t>
      </w:r>
      <w:r w:rsidR="00F01F5E" w:rsidRPr="00561F65">
        <w:rPr>
          <w:rFonts w:ascii="Arial" w:hAnsi="Arial"/>
        </w:rPr>
        <w:t> </w:t>
      </w:r>
      <w:r w:rsidRPr="00561F65">
        <w:t>: quand le concept d</w:t>
      </w:r>
      <w:r w:rsidRPr="00561F65">
        <w:rPr>
          <w:rFonts w:cs="Aptos"/>
        </w:rPr>
        <w:t>’</w:t>
      </w:r>
      <w:r w:rsidRPr="00561F65">
        <w:t xml:space="preserve">homophobie porte ombrage </w:t>
      </w:r>
      <w:r w:rsidRPr="00561F65">
        <w:rPr>
          <w:rFonts w:cs="Aptos"/>
        </w:rPr>
        <w:t>à</w:t>
      </w:r>
      <w:r w:rsidRPr="00561F65">
        <w:t xml:space="preserve"> la lutte contre l</w:t>
      </w:r>
      <w:r w:rsidRPr="00561F65">
        <w:rPr>
          <w:rFonts w:cs="Aptos"/>
        </w:rPr>
        <w:t>’</w:t>
      </w:r>
      <w:r w:rsidRPr="00561F65">
        <w:t>h</w:t>
      </w:r>
      <w:r w:rsidRPr="00561F65">
        <w:rPr>
          <w:rFonts w:cs="Aptos"/>
        </w:rPr>
        <w:t>é</w:t>
      </w:r>
      <w:r w:rsidRPr="00561F65">
        <w:t>t</w:t>
      </w:r>
      <w:r w:rsidRPr="00561F65">
        <w:rPr>
          <w:rFonts w:cs="Aptos"/>
        </w:rPr>
        <w:t>é</w:t>
      </w:r>
      <w:r w:rsidRPr="00561F65">
        <w:t>rosexisme et l</w:t>
      </w:r>
      <w:r w:rsidRPr="00561F65">
        <w:rPr>
          <w:rFonts w:cs="Aptos"/>
        </w:rPr>
        <w:t>’</w:t>
      </w:r>
      <w:r w:rsidRPr="00561F65">
        <w:t>h</w:t>
      </w:r>
      <w:r w:rsidRPr="00561F65">
        <w:rPr>
          <w:rFonts w:cs="Aptos"/>
        </w:rPr>
        <w:t>é</w:t>
      </w:r>
      <w:r w:rsidRPr="00561F65">
        <w:t>t</w:t>
      </w:r>
      <w:r w:rsidRPr="00561F65">
        <w:rPr>
          <w:rFonts w:cs="Aptos"/>
        </w:rPr>
        <w:t>é</w:t>
      </w:r>
      <w:r w:rsidRPr="00561F65">
        <w:t>ronormativit</w:t>
      </w:r>
      <w:r w:rsidRPr="00561F65">
        <w:rPr>
          <w:rFonts w:cs="Aptos"/>
        </w:rPr>
        <w:t>é</w:t>
      </w:r>
      <w:r w:rsidR="00AB4C13" w:rsidRPr="00561F65">
        <w:rPr>
          <w:rFonts w:ascii="Arial" w:hAnsi="Arial"/>
        </w:rPr>
        <w:t> </w:t>
      </w:r>
      <w:r w:rsidRPr="00561F65">
        <w:rPr>
          <w:rFonts w:cs="Aptos"/>
        </w:rPr>
        <w:t>»</w:t>
      </w:r>
      <w:r w:rsidRPr="00561F65">
        <w:t xml:space="preserve">, (2011) </w:t>
      </w:r>
      <w:r w:rsidR="00BC34CC" w:rsidRPr="00561F65">
        <w:t>1</w:t>
      </w:r>
      <w:r w:rsidR="0026349C" w:rsidRPr="00561F65">
        <w:t>7</w:t>
      </w:r>
      <w:r w:rsidR="000D65A3" w:rsidRPr="00561F65">
        <w:t>-1</w:t>
      </w:r>
      <w:r w:rsidRPr="00561F65">
        <w:t xml:space="preserve"> </w:t>
      </w:r>
      <w:r w:rsidR="009D1857" w:rsidRPr="00561F65">
        <w:rPr>
          <w:i/>
        </w:rPr>
        <w:t>Reflet</w:t>
      </w:r>
      <w:r w:rsidR="009D3B18" w:rsidRPr="00561F65">
        <w:rPr>
          <w:i/>
        </w:rPr>
        <w:t> : revue d</w:t>
      </w:r>
      <w:r w:rsidR="009D3B18" w:rsidRPr="00561F65">
        <w:rPr>
          <w:rFonts w:cs="Aptos"/>
          <w:i/>
        </w:rPr>
        <w:t>’</w:t>
      </w:r>
      <w:r w:rsidR="009D3B18" w:rsidRPr="00561F65">
        <w:rPr>
          <w:i/>
        </w:rPr>
        <w:t>intervention sociale et communautaire</w:t>
      </w:r>
      <w:r w:rsidR="00FE770C" w:rsidRPr="00561F65">
        <w:t xml:space="preserve">, </w:t>
      </w:r>
      <w:r w:rsidRPr="00561F65">
        <w:t>112</w:t>
      </w:r>
      <w:r w:rsidRPr="00561F65">
        <w:noBreakHyphen/>
        <w:t xml:space="preserve">149, </w:t>
      </w:r>
      <w:r w:rsidR="009D1857" w:rsidRPr="00561F65">
        <w:t>[En ligne].</w:t>
      </w:r>
      <w:r w:rsidR="00734950" w:rsidRPr="00734950">
        <w:t xml:space="preserve"> </w:t>
      </w:r>
      <w:hyperlink r:id="rId75" w:history="1">
        <w:r w:rsidR="00734950" w:rsidRPr="007912CF">
          <w:rPr>
            <w:rStyle w:val="Lienhypertexte"/>
          </w:rPr>
          <w:t>https://www.erudit.org/fr/revues/ref/2011-v17-n1-ref1812734/1005235ar/</w:t>
        </w:r>
      </w:hyperlink>
      <w:r w:rsidR="00734950">
        <w:t>;</w:t>
      </w:r>
      <w:r w:rsidR="009D1857" w:rsidRPr="00561F65">
        <w:t xml:space="preserve"> </w:t>
      </w:r>
      <w:r w:rsidR="009A4DFA" w:rsidRPr="00561F65">
        <w:t xml:space="preserve">Bastien </w:t>
      </w:r>
      <w:r w:rsidRPr="00561F65">
        <w:rPr>
          <w:smallCaps/>
        </w:rPr>
        <w:t>Charlebois</w:t>
      </w:r>
      <w:r w:rsidRPr="00561F65">
        <w:t>, «</w:t>
      </w:r>
      <w:r w:rsidR="00AB4C13" w:rsidRPr="00561F65">
        <w:rPr>
          <w:rFonts w:ascii="Arial" w:hAnsi="Arial"/>
        </w:rPr>
        <w:t> </w:t>
      </w:r>
      <w:proofErr w:type="spellStart"/>
      <w:r w:rsidR="006E3266" w:rsidRPr="00561F65">
        <w:t>préc</w:t>
      </w:r>
      <w:proofErr w:type="spellEnd"/>
      <w:r w:rsidR="006E3266" w:rsidRPr="00561F65">
        <w:t>.</w:t>
      </w:r>
      <w:r w:rsidR="000F55BF" w:rsidRPr="00561F65">
        <w:t xml:space="preserve">, note </w:t>
      </w:r>
      <w:r w:rsidR="000F55BF" w:rsidRPr="00561F65">
        <w:fldChar w:fldCharType="begin"/>
      </w:r>
      <w:r w:rsidR="000F55BF" w:rsidRPr="00561F65">
        <w:instrText xml:space="preserve"> NOTEREF _Ref219207567 \h </w:instrText>
      </w:r>
      <w:r w:rsidR="007017CF" w:rsidRPr="00561F65">
        <w:instrText xml:space="preserve"> \* MERGEFORMAT </w:instrText>
      </w:r>
      <w:r w:rsidR="000F55BF" w:rsidRPr="00561F65">
        <w:fldChar w:fldCharType="separate"/>
      </w:r>
      <w:r w:rsidR="000374E3" w:rsidRPr="00561F65">
        <w:t>83</w:t>
      </w:r>
      <w:r w:rsidR="000F55BF" w:rsidRPr="00561F65">
        <w:fldChar w:fldCharType="end"/>
      </w:r>
      <w:r w:rsidR="005C293F" w:rsidRPr="00561F65">
        <w:rPr>
          <w:rFonts w:ascii="Arial" w:hAnsi="Arial" w:cs="Arial"/>
        </w:rPr>
        <w:t> </w:t>
      </w:r>
      <w:r w:rsidR="000C5021" w:rsidRPr="00561F65">
        <w:t xml:space="preserve">; </w:t>
      </w:r>
      <w:r w:rsidRPr="00561F65">
        <w:rPr>
          <w:smallCaps/>
        </w:rPr>
        <w:t>Institut national de santé publique du Québec,</w:t>
      </w:r>
      <w:r w:rsidRPr="00561F65">
        <w:t xml:space="preserve"> </w:t>
      </w:r>
      <w:r w:rsidRPr="00561F65">
        <w:rPr>
          <w:i/>
        </w:rPr>
        <w:t>L’intimidation vécue par les personnes de la diversité sexuelle ou de genre</w:t>
      </w:r>
      <w:r w:rsidRPr="00561F65">
        <w:t xml:space="preserve">, collab.de Martin </w:t>
      </w:r>
      <w:r w:rsidRPr="00561F65">
        <w:rPr>
          <w:smallCaps/>
        </w:rPr>
        <w:t xml:space="preserve">Blais </w:t>
      </w:r>
      <w:r w:rsidRPr="00561F65">
        <w:t xml:space="preserve">et Léa </w:t>
      </w:r>
      <w:r w:rsidRPr="00561F65">
        <w:rPr>
          <w:smallCaps/>
        </w:rPr>
        <w:t>Seguin</w:t>
      </w:r>
      <w:r w:rsidRPr="00561F65">
        <w:t xml:space="preserve">, 2019, [En ligne]. </w:t>
      </w:r>
      <w:hyperlink r:id="rId76" w:history="1">
        <w:r w:rsidR="00CC545A" w:rsidRPr="007912CF">
          <w:rPr>
            <w:rStyle w:val="Lienhypertexte"/>
          </w:rPr>
          <w:t>https://www.inspq.qc.ca/intimidation/personnes-de-la-diversite-sexuelle-ou-de-genre</w:t>
        </w:r>
      </w:hyperlink>
      <w:r w:rsidRPr="00561F65">
        <w:rPr>
          <w:rFonts w:ascii="Arial" w:hAnsi="Arial"/>
        </w:rPr>
        <w:t> </w:t>
      </w:r>
      <w:r w:rsidRPr="00561F65">
        <w:t xml:space="preserve">; Laure </w:t>
      </w:r>
      <w:r w:rsidRPr="00561F65">
        <w:rPr>
          <w:smallCaps/>
        </w:rPr>
        <w:t>Bereni</w:t>
      </w:r>
      <w:r w:rsidRPr="00561F65">
        <w:t xml:space="preserve">, Sébastien </w:t>
      </w:r>
      <w:r w:rsidRPr="00561F65">
        <w:rPr>
          <w:smallCaps/>
        </w:rPr>
        <w:t>Chauvin</w:t>
      </w:r>
      <w:r w:rsidRPr="00561F65">
        <w:t xml:space="preserve">, Alexandre </w:t>
      </w:r>
      <w:r w:rsidRPr="00561F65">
        <w:rPr>
          <w:smallCaps/>
        </w:rPr>
        <w:t xml:space="preserve">Jaunait </w:t>
      </w:r>
      <w:r w:rsidRPr="00561F65">
        <w:t xml:space="preserve">et Anne </w:t>
      </w:r>
      <w:r w:rsidRPr="00561F65">
        <w:rPr>
          <w:smallCaps/>
        </w:rPr>
        <w:t>Revillard,</w:t>
      </w:r>
      <w:r w:rsidRPr="00561F65">
        <w:t xml:space="preserve"> </w:t>
      </w:r>
      <w:r w:rsidRPr="00561F65">
        <w:rPr>
          <w:i/>
        </w:rPr>
        <w:t>Introduction aux études sur le genre,</w:t>
      </w:r>
      <w:r w:rsidRPr="00561F65">
        <w:t xml:space="preserve"> </w:t>
      </w:r>
      <w:r w:rsidR="004F6DBC" w:rsidRPr="00561F65">
        <w:t xml:space="preserve">Bruxelles, </w:t>
      </w:r>
      <w:r w:rsidR="00C03A2A" w:rsidRPr="00561F65">
        <w:t>2</w:t>
      </w:r>
      <w:r w:rsidR="00C03A2A" w:rsidRPr="00561F65">
        <w:rPr>
          <w:vertAlign w:val="superscript"/>
        </w:rPr>
        <w:t>e</w:t>
      </w:r>
      <w:r w:rsidR="00291541">
        <w:t> </w:t>
      </w:r>
      <w:r w:rsidR="00C03A2A" w:rsidRPr="00561F65">
        <w:t>éd.</w:t>
      </w:r>
      <w:r w:rsidR="003F2F5A" w:rsidRPr="00561F65">
        <w:t xml:space="preserve"> </w:t>
      </w:r>
      <w:r w:rsidRPr="00561F65">
        <w:rPr>
          <w:lang w:val="en-CA"/>
        </w:rPr>
        <w:t>De Boeck</w:t>
      </w:r>
      <w:r w:rsidR="00BA2016" w:rsidRPr="00561F65">
        <w:rPr>
          <w:lang w:val="en-CA"/>
        </w:rPr>
        <w:t>,</w:t>
      </w:r>
      <w:r w:rsidR="003F2F5A" w:rsidRPr="00561F65">
        <w:rPr>
          <w:lang w:val="en-CA"/>
        </w:rPr>
        <w:t xml:space="preserve"> </w:t>
      </w:r>
      <w:r w:rsidRPr="00561F65">
        <w:rPr>
          <w:lang w:val="en-CA"/>
        </w:rPr>
        <w:t>2012, p.</w:t>
      </w:r>
      <w:r w:rsidRPr="00561F65">
        <w:rPr>
          <w:rFonts w:cs="Aptos"/>
          <w:lang w:val="en-CA"/>
        </w:rPr>
        <w:t> </w:t>
      </w:r>
      <w:r w:rsidRPr="00561F65">
        <w:rPr>
          <w:lang w:val="en-CA"/>
        </w:rPr>
        <w:t xml:space="preserve">34, 35, 38-40. </w:t>
      </w:r>
    </w:p>
  </w:footnote>
  <w:footnote w:id="102">
    <w:p w14:paraId="3FFCC918" w14:textId="035FF9BE" w:rsidR="00327BA2" w:rsidRPr="006D7CBF" w:rsidRDefault="00327BA2" w:rsidP="004E4354">
      <w:pPr>
        <w:pStyle w:val="NotesBasPage"/>
      </w:pPr>
      <w:r w:rsidRPr="00561F65">
        <w:rPr>
          <w:rStyle w:val="Appelnotedebasdep"/>
        </w:rPr>
        <w:footnoteRef/>
      </w:r>
      <w:r w:rsidRPr="00561F65">
        <w:rPr>
          <w:lang w:val="en-CA"/>
        </w:rPr>
        <w:t xml:space="preserve"> </w:t>
      </w:r>
      <w:r w:rsidRPr="00561F65">
        <w:rPr>
          <w:lang w:val="en-CA"/>
        </w:rPr>
        <w:tab/>
      </w:r>
      <w:r w:rsidR="00C72B33" w:rsidRPr="00561F65">
        <w:rPr>
          <w:lang w:val="en-CA"/>
        </w:rPr>
        <w:t xml:space="preserve">Emir </w:t>
      </w:r>
      <w:r w:rsidRPr="00561F65">
        <w:rPr>
          <w:smallCaps/>
          <w:lang w:val="en-CA"/>
        </w:rPr>
        <w:t>Ozeren</w:t>
      </w:r>
      <w:r w:rsidRPr="00561F65">
        <w:rPr>
          <w:lang w:val="en-CA"/>
        </w:rPr>
        <w:t>, «</w:t>
      </w:r>
      <w:r w:rsidR="00370E16" w:rsidRPr="00561F65">
        <w:rPr>
          <w:rFonts w:ascii="Arial" w:hAnsi="Arial" w:cs="Arial"/>
          <w:lang w:val="en-CA"/>
        </w:rPr>
        <w:t> </w:t>
      </w:r>
      <w:r w:rsidRPr="00561F65">
        <w:rPr>
          <w:lang w:val="en-CA"/>
        </w:rPr>
        <w:t>Sexual Orientation Discrimination in the Workplace: A Systematic Review of Literature</w:t>
      </w:r>
      <w:r w:rsidR="00370E16" w:rsidRPr="00561F65">
        <w:rPr>
          <w:rFonts w:ascii="Arial" w:hAnsi="Arial" w:cs="Arial"/>
          <w:lang w:val="en-CA"/>
        </w:rPr>
        <w:t> </w:t>
      </w:r>
      <w:r w:rsidRPr="00561F65">
        <w:rPr>
          <w:lang w:val="en-CA"/>
        </w:rPr>
        <w:t>», (2014) 109</w:t>
      </w:r>
      <w:r w:rsidR="00291541">
        <w:rPr>
          <w:lang w:val="en-CA"/>
        </w:rPr>
        <w:t> </w:t>
      </w:r>
      <w:r w:rsidRPr="00561F65">
        <w:rPr>
          <w:i/>
          <w:lang w:val="en-CA"/>
        </w:rPr>
        <w:t>Procedia - Social and Behavioral Sciences</w:t>
      </w:r>
      <w:r w:rsidR="00AB1B44">
        <w:rPr>
          <w:lang w:val="en-CA"/>
        </w:rPr>
        <w:t> </w:t>
      </w:r>
      <w:r w:rsidRPr="00561F65">
        <w:rPr>
          <w:lang w:val="en-CA"/>
        </w:rPr>
        <w:t xml:space="preserve">1203, 1212-1213, </w:t>
      </w:r>
      <w:r w:rsidR="000A2E3A" w:rsidRPr="00561F65">
        <w:rPr>
          <w:lang w:val="en-CA"/>
        </w:rPr>
        <w:t xml:space="preserve">[En </w:t>
      </w:r>
      <w:proofErr w:type="spellStart"/>
      <w:r w:rsidR="000A2E3A" w:rsidRPr="00561F65">
        <w:rPr>
          <w:lang w:val="en-CA"/>
        </w:rPr>
        <w:t>ligne</w:t>
      </w:r>
      <w:proofErr w:type="spellEnd"/>
      <w:r w:rsidR="000A2E3A" w:rsidRPr="00561F65">
        <w:rPr>
          <w:lang w:val="en-CA"/>
        </w:rPr>
        <w:t>].</w:t>
      </w:r>
      <w:r w:rsidR="00962861" w:rsidRPr="00962861">
        <w:rPr>
          <w:lang w:val="en-CA"/>
        </w:rPr>
        <w:t xml:space="preserve"> </w:t>
      </w:r>
      <w:hyperlink r:id="rId77" w:history="1">
        <w:r w:rsidR="00962861" w:rsidRPr="00962861">
          <w:rPr>
            <w:rStyle w:val="Lienhypertexte"/>
            <w:lang w:val="en-CA"/>
          </w:rPr>
          <w:t>https://www.sciencedirect.com/science/article/pii/S187704281305252X</w:t>
        </w:r>
      </w:hyperlink>
      <w:r w:rsidR="00962861">
        <w:rPr>
          <w:lang w:val="en-CA"/>
        </w:rPr>
        <w:t xml:space="preserve"> ;</w:t>
      </w:r>
      <w:r w:rsidRPr="00561F65">
        <w:rPr>
          <w:lang w:val="en-CA"/>
        </w:rPr>
        <w:t xml:space="preserve"> </w:t>
      </w:r>
      <w:r w:rsidR="00B60BFA" w:rsidRPr="00561F65">
        <w:rPr>
          <w:lang w:val="en-CA"/>
        </w:rPr>
        <w:t xml:space="preserve">Radhika </w:t>
      </w:r>
      <w:r w:rsidRPr="00561F65">
        <w:rPr>
          <w:smallCaps/>
          <w:lang w:val="en-CA"/>
        </w:rPr>
        <w:t>Seiler-</w:t>
      </w:r>
      <w:proofErr w:type="spellStart"/>
      <w:r w:rsidRPr="00561F65">
        <w:rPr>
          <w:smallCaps/>
          <w:lang w:val="en-CA"/>
        </w:rPr>
        <w:t>Ramadas</w:t>
      </w:r>
      <w:proofErr w:type="spellEnd"/>
      <w:r w:rsidR="00B60BFA" w:rsidRPr="00561F65">
        <w:rPr>
          <w:lang w:val="en-CA"/>
        </w:rPr>
        <w:t xml:space="preserve"> et al.</w:t>
      </w:r>
      <w:r w:rsidRPr="00561F65">
        <w:rPr>
          <w:lang w:val="en-CA"/>
        </w:rPr>
        <w:t>, «</w:t>
      </w:r>
      <w:r w:rsidR="00AB4C13" w:rsidRPr="00561F65">
        <w:rPr>
          <w:rFonts w:ascii="Arial" w:hAnsi="Arial" w:cs="Arial"/>
          <w:lang w:val="en-CA"/>
        </w:rPr>
        <w:t> </w:t>
      </w:r>
      <w:r w:rsidRPr="00561F65">
        <w:rPr>
          <w:lang w:val="en-CA"/>
        </w:rPr>
        <w:t>“I Don’t Even Want to Come Out</w:t>
      </w:r>
      <w:r w:rsidR="00A603D0" w:rsidRPr="00561F65">
        <w:rPr>
          <w:lang w:val="en-CA"/>
        </w:rPr>
        <w:t>”:</w:t>
      </w:r>
      <w:r w:rsidRPr="00561F65">
        <w:rPr>
          <w:lang w:val="en-CA"/>
        </w:rPr>
        <w:t xml:space="preserve"> the Suppressed Voices of Our Future and Opening the Lid on Sexual and Gender Minority Youth Workplace Discrimination in Europe: </w:t>
      </w:r>
      <w:proofErr w:type="gramStart"/>
      <w:r w:rsidRPr="00561F65">
        <w:rPr>
          <w:lang w:val="en-CA"/>
        </w:rPr>
        <w:t>a</w:t>
      </w:r>
      <w:proofErr w:type="gramEnd"/>
      <w:r w:rsidRPr="00561F65">
        <w:rPr>
          <w:lang w:val="en-CA"/>
        </w:rPr>
        <w:t xml:space="preserve"> Qualitative Study</w:t>
      </w:r>
      <w:r w:rsidR="00AB4C13" w:rsidRPr="00561F65">
        <w:rPr>
          <w:rFonts w:ascii="Arial" w:hAnsi="Arial" w:cs="Arial"/>
          <w:lang w:val="en-CA"/>
        </w:rPr>
        <w:t> </w:t>
      </w:r>
      <w:r w:rsidRPr="00561F65">
        <w:rPr>
          <w:lang w:val="en-CA"/>
        </w:rPr>
        <w:t xml:space="preserve">», </w:t>
      </w:r>
      <w:r w:rsidR="00C5415C" w:rsidRPr="00561F65">
        <w:rPr>
          <w:lang w:val="en-CA"/>
        </w:rPr>
        <w:t xml:space="preserve">(2022) </w:t>
      </w:r>
      <w:r w:rsidR="0085145C" w:rsidRPr="00561F65">
        <w:rPr>
          <w:lang w:val="en-CA"/>
        </w:rPr>
        <w:t>19</w:t>
      </w:r>
      <w:r w:rsidR="00A603D0" w:rsidRPr="00561F65">
        <w:rPr>
          <w:lang w:val="en-CA"/>
        </w:rPr>
        <w:t xml:space="preserve"> </w:t>
      </w:r>
      <w:r w:rsidRPr="00561F65">
        <w:rPr>
          <w:i/>
          <w:lang w:val="en-CA"/>
        </w:rPr>
        <w:t>Sex Res Soc Policy</w:t>
      </w:r>
      <w:r w:rsidRPr="00561F65">
        <w:rPr>
          <w:lang w:val="en-CA"/>
        </w:rPr>
        <w:t xml:space="preserve">, </w:t>
      </w:r>
      <w:r w:rsidR="00061218" w:rsidRPr="00561F65">
        <w:rPr>
          <w:lang w:val="en-CA"/>
        </w:rPr>
        <w:t>1452–1472</w:t>
      </w:r>
      <w:r w:rsidRPr="00561F65">
        <w:rPr>
          <w:lang w:val="en-CA"/>
        </w:rPr>
        <w:t xml:space="preserve">, </w:t>
      </w:r>
      <w:r w:rsidR="003F2F5A" w:rsidRPr="00561F65">
        <w:rPr>
          <w:lang w:val="en-CA"/>
        </w:rPr>
        <w:t xml:space="preserve">[En </w:t>
      </w:r>
      <w:proofErr w:type="spellStart"/>
      <w:r w:rsidR="003F2F5A" w:rsidRPr="00561F65">
        <w:rPr>
          <w:lang w:val="en-CA"/>
        </w:rPr>
        <w:t>ligne</w:t>
      </w:r>
      <w:proofErr w:type="spellEnd"/>
      <w:r w:rsidR="003F2F5A" w:rsidRPr="00561F65">
        <w:rPr>
          <w:lang w:val="en-CA"/>
        </w:rPr>
        <w:t>].</w:t>
      </w:r>
      <w:r w:rsidR="00C260D7" w:rsidRPr="00C260D7">
        <w:rPr>
          <w:lang w:val="en-CA"/>
        </w:rPr>
        <w:t xml:space="preserve"> </w:t>
      </w:r>
      <w:hyperlink r:id="rId78" w:history="1">
        <w:r w:rsidR="00C260D7" w:rsidRPr="0026497C">
          <w:rPr>
            <w:rStyle w:val="Lienhypertexte"/>
          </w:rPr>
          <w:t>https://link.springer.com/article/10.1007/s13178-021-00644-0</w:t>
        </w:r>
      </w:hyperlink>
      <w:r w:rsidRPr="0026497C">
        <w:t>.</w:t>
      </w:r>
    </w:p>
  </w:footnote>
  <w:footnote w:id="103">
    <w:p w14:paraId="2409F290" w14:textId="1D191C9A" w:rsidR="00A57F37" w:rsidRPr="00561F65" w:rsidRDefault="00A57F37" w:rsidP="004E4354">
      <w:pPr>
        <w:pStyle w:val="NotesBasPage"/>
      </w:pPr>
      <w:r w:rsidRPr="00561F65">
        <w:rPr>
          <w:rStyle w:val="Appelnotedebasdep"/>
        </w:rPr>
        <w:footnoteRef/>
      </w:r>
      <w:r w:rsidRPr="00561F65">
        <w:t xml:space="preserve"> </w:t>
      </w:r>
      <w:r w:rsidRPr="00561F65">
        <w:tab/>
        <w:t xml:space="preserve">Voir par exemple : </w:t>
      </w:r>
      <w:r w:rsidR="006024C8" w:rsidRPr="00561F65">
        <w:t xml:space="preserve">L. </w:t>
      </w:r>
      <w:r w:rsidRPr="00561F65">
        <w:rPr>
          <w:smallCaps/>
        </w:rPr>
        <w:t>Chamberland</w:t>
      </w:r>
      <w:r w:rsidRPr="00561F65">
        <w:t>, M.</w:t>
      </w:r>
      <w:r w:rsidR="00BC48F0">
        <w:t> </w:t>
      </w:r>
      <w:r w:rsidRPr="00561F65">
        <w:rPr>
          <w:smallCaps/>
        </w:rPr>
        <w:t>Bernier,</w:t>
      </w:r>
      <w:r w:rsidRPr="00561F65">
        <w:t xml:space="preserve"> C.</w:t>
      </w:r>
      <w:r w:rsidR="00E328B0">
        <w:t> </w:t>
      </w:r>
      <w:r w:rsidRPr="00561F65">
        <w:rPr>
          <w:smallCaps/>
        </w:rPr>
        <w:t>Lebreton</w:t>
      </w:r>
      <w:r w:rsidRPr="00561F65">
        <w:t>, G.</w:t>
      </w:r>
      <w:r w:rsidR="00E328B0">
        <w:t> </w:t>
      </w:r>
      <w:r w:rsidRPr="00561F65">
        <w:rPr>
          <w:smallCaps/>
        </w:rPr>
        <w:t>Richard</w:t>
      </w:r>
      <w:r w:rsidRPr="00561F65">
        <w:t xml:space="preserve"> et J.</w:t>
      </w:r>
      <w:r w:rsidR="00E328B0">
        <w:t> </w:t>
      </w:r>
      <w:r w:rsidRPr="00561F65">
        <w:rPr>
          <w:smallCaps/>
        </w:rPr>
        <w:t>Théroux-Séguin</w:t>
      </w:r>
      <w:r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4E43CA" w:rsidRPr="00561F65">
        <w:instrText xml:space="preserve"> \* MERGEFORMAT </w:instrText>
      </w:r>
      <w:r w:rsidR="00B456AE" w:rsidRPr="00561F65">
        <w:fldChar w:fldCharType="separate"/>
      </w:r>
      <w:r w:rsidR="000374E3" w:rsidRPr="00561F65">
        <w:t>46</w:t>
      </w:r>
      <w:r w:rsidR="00B456AE" w:rsidRPr="00561F65">
        <w:fldChar w:fldCharType="end"/>
      </w:r>
      <w:r w:rsidR="00BD6329" w:rsidRPr="00561F65">
        <w:rPr>
          <w:rFonts w:ascii="Arial" w:hAnsi="Arial" w:cs="Arial"/>
        </w:rPr>
        <w:t> </w:t>
      </w:r>
      <w:r w:rsidRPr="00561F65">
        <w:t xml:space="preserve">; </w:t>
      </w:r>
      <w:r w:rsidR="000D65A3" w:rsidRPr="00561F65">
        <w:t>M</w:t>
      </w:r>
      <w:r w:rsidR="006A39A3" w:rsidRPr="00561F65">
        <w:t>.</w:t>
      </w:r>
      <w:r w:rsidR="00BC48F0">
        <w:t> </w:t>
      </w:r>
      <w:r w:rsidRPr="00561F65">
        <w:rPr>
          <w:smallCaps/>
        </w:rPr>
        <w:t xml:space="preserve">Geoffroy </w:t>
      </w:r>
      <w:r w:rsidRPr="00561F65">
        <w:t>et L</w:t>
      </w:r>
      <w:r w:rsidR="006A39A3" w:rsidRPr="00561F65">
        <w:t>.</w:t>
      </w:r>
      <w:r w:rsidR="00E328B0">
        <w:t> </w:t>
      </w:r>
      <w:r w:rsidRPr="00561F65">
        <w:rPr>
          <w:smallCaps/>
        </w:rPr>
        <w:t>Chamberland</w:t>
      </w:r>
      <w:r w:rsidRPr="00561F65">
        <w:t xml:space="preserve">, </w:t>
      </w:r>
      <w:proofErr w:type="spellStart"/>
      <w:r w:rsidR="003C1A55" w:rsidRPr="00561F65">
        <w:t>préc</w:t>
      </w:r>
      <w:proofErr w:type="spellEnd"/>
      <w:r w:rsidR="003C1A55" w:rsidRPr="00561F65">
        <w:t xml:space="preserve">., note </w:t>
      </w:r>
      <w:r w:rsidR="003C1A55" w:rsidRPr="00561F65">
        <w:fldChar w:fldCharType="begin"/>
      </w:r>
      <w:r w:rsidR="003C1A55" w:rsidRPr="00561F65">
        <w:instrText xml:space="preserve"> NOTEREF _Ref218500534 \h </w:instrText>
      </w:r>
      <w:r w:rsidR="007017CF" w:rsidRPr="00561F65">
        <w:instrText xml:space="preserve"> \* MERGEFORMAT </w:instrText>
      </w:r>
      <w:r w:rsidR="003C1A55" w:rsidRPr="00561F65">
        <w:fldChar w:fldCharType="separate"/>
      </w:r>
      <w:r w:rsidR="000374E3" w:rsidRPr="00561F65">
        <w:t>45</w:t>
      </w:r>
      <w:r w:rsidR="003C1A55" w:rsidRPr="00561F65">
        <w:fldChar w:fldCharType="end"/>
      </w:r>
      <w:r w:rsidR="005C293F" w:rsidRPr="00561F65">
        <w:rPr>
          <w:rFonts w:ascii="Arial" w:hAnsi="Arial" w:cs="Arial"/>
        </w:rPr>
        <w:t> </w:t>
      </w:r>
      <w:r w:rsidRPr="00561F65">
        <w:t xml:space="preserve">; </w:t>
      </w:r>
      <w:r w:rsidR="00846A61" w:rsidRPr="00561F65">
        <w:t xml:space="preserve">Marie </w:t>
      </w:r>
      <w:r w:rsidR="00846A61" w:rsidRPr="00561F65">
        <w:rPr>
          <w:smallCaps/>
        </w:rPr>
        <w:t>Geoffroy</w:t>
      </w:r>
      <w:r w:rsidR="00846A61" w:rsidRPr="00561F65">
        <w:t xml:space="preserve">, </w:t>
      </w:r>
      <w:r w:rsidR="00846A61" w:rsidRPr="00561F65">
        <w:rPr>
          <w:i/>
        </w:rPr>
        <w:t xml:space="preserve">Initiatives de gestion de la diversité sexuelle et micro-agressions </w:t>
      </w:r>
      <w:proofErr w:type="spellStart"/>
      <w:r w:rsidR="00846A61" w:rsidRPr="00561F65">
        <w:rPr>
          <w:i/>
        </w:rPr>
        <w:t>homonégatives</w:t>
      </w:r>
      <w:proofErr w:type="spellEnd"/>
      <w:r w:rsidR="00846A61" w:rsidRPr="00561F65">
        <w:rPr>
          <w:rFonts w:ascii="Arial" w:hAnsi="Arial" w:cs="Arial"/>
          <w:i/>
        </w:rPr>
        <w:t> </w:t>
      </w:r>
      <w:r w:rsidR="00846A61" w:rsidRPr="00561F65">
        <w:rPr>
          <w:i/>
        </w:rPr>
        <w:t xml:space="preserve">: une </w:t>
      </w:r>
      <w:r w:rsidR="00846A61" w:rsidRPr="00561F65">
        <w:rPr>
          <w:rFonts w:cs="Aptos"/>
          <w:i/>
        </w:rPr>
        <w:t>é</w:t>
      </w:r>
      <w:r w:rsidR="00846A61" w:rsidRPr="00561F65">
        <w:rPr>
          <w:i/>
        </w:rPr>
        <w:t>tude qualitative des v</w:t>
      </w:r>
      <w:r w:rsidR="00846A61" w:rsidRPr="00561F65">
        <w:rPr>
          <w:rFonts w:cs="Aptos"/>
          <w:i/>
        </w:rPr>
        <w:t>é</w:t>
      </w:r>
      <w:r w:rsidR="00846A61" w:rsidRPr="00561F65">
        <w:rPr>
          <w:i/>
        </w:rPr>
        <w:t xml:space="preserve">cus et perceptions des </w:t>
      </w:r>
      <w:proofErr w:type="spellStart"/>
      <w:r w:rsidR="00846A61" w:rsidRPr="00561F65">
        <w:rPr>
          <w:i/>
        </w:rPr>
        <w:t>employ</w:t>
      </w:r>
      <w:r w:rsidR="00846A61" w:rsidRPr="00561F65">
        <w:rPr>
          <w:rFonts w:cs="Aptos"/>
          <w:i/>
        </w:rPr>
        <w:t>é</w:t>
      </w:r>
      <w:r w:rsidR="00846A61" w:rsidRPr="00561F65">
        <w:rPr>
          <w:i/>
        </w:rPr>
        <w:t>.</w:t>
      </w:r>
      <w:proofErr w:type="gramStart"/>
      <w:r w:rsidR="00846A61" w:rsidRPr="00561F65">
        <w:rPr>
          <w:i/>
        </w:rPr>
        <w:t>e.s</w:t>
      </w:r>
      <w:proofErr w:type="spellEnd"/>
      <w:proofErr w:type="gramEnd"/>
      <w:r w:rsidR="00846A61" w:rsidRPr="00561F65">
        <w:rPr>
          <w:i/>
        </w:rPr>
        <w:t xml:space="preserve"> lesbiennes, </w:t>
      </w:r>
      <w:proofErr w:type="spellStart"/>
      <w:r w:rsidR="00846A61" w:rsidRPr="00561F65">
        <w:rPr>
          <w:i/>
        </w:rPr>
        <w:t>gai</w:t>
      </w:r>
      <w:r w:rsidR="00DF2143">
        <w:rPr>
          <w:i/>
        </w:rPr>
        <w:t>.</w:t>
      </w:r>
      <w:proofErr w:type="gramStart"/>
      <w:r w:rsidR="00DF2143">
        <w:rPr>
          <w:i/>
        </w:rPr>
        <w:t>e.</w:t>
      </w:r>
      <w:r w:rsidR="00846A61" w:rsidRPr="00561F65">
        <w:rPr>
          <w:i/>
        </w:rPr>
        <w:t>s</w:t>
      </w:r>
      <w:proofErr w:type="spellEnd"/>
      <w:proofErr w:type="gramEnd"/>
      <w:r w:rsidR="00846A61" w:rsidRPr="00561F65">
        <w:rPr>
          <w:i/>
        </w:rPr>
        <w:t xml:space="preserve"> et </w:t>
      </w:r>
      <w:proofErr w:type="spellStart"/>
      <w:r w:rsidR="00846A61" w:rsidRPr="00561F65">
        <w:rPr>
          <w:i/>
        </w:rPr>
        <w:t>bisexuel.le</w:t>
      </w:r>
      <w:proofErr w:type="spellEnd"/>
      <w:r w:rsidR="00846A61" w:rsidRPr="00561F65">
        <w:rPr>
          <w:i/>
        </w:rPr>
        <w:t>.</w:t>
      </w:r>
      <w:r w:rsidR="00F17493">
        <w:rPr>
          <w:i/>
        </w:rPr>
        <w:t xml:space="preserve"> </w:t>
      </w:r>
      <w:proofErr w:type="gramStart"/>
      <w:r w:rsidR="00846A61" w:rsidRPr="00561F65">
        <w:rPr>
          <w:i/>
        </w:rPr>
        <w:t>s</w:t>
      </w:r>
      <w:proofErr w:type="gramEnd"/>
      <w:r w:rsidR="00846A61" w:rsidRPr="00561F65">
        <w:rPr>
          <w:i/>
        </w:rPr>
        <w:t xml:space="preserve"> au Qu</w:t>
      </w:r>
      <w:r w:rsidR="00846A61" w:rsidRPr="00561F65">
        <w:rPr>
          <w:rFonts w:cs="Aptos"/>
          <w:i/>
        </w:rPr>
        <w:t>é</w:t>
      </w:r>
      <w:r w:rsidR="00846A61" w:rsidRPr="00561F65">
        <w:rPr>
          <w:i/>
        </w:rPr>
        <w:t>bec</w:t>
      </w:r>
      <w:r w:rsidR="00846A61" w:rsidRPr="00561F65">
        <w:t xml:space="preserve">, 2016, </w:t>
      </w:r>
      <w:hyperlink r:id="rId79" w:history="1">
        <w:r w:rsidR="00846A61" w:rsidRPr="00561F65">
          <w:rPr>
            <w:rStyle w:val="Lienhypertexte"/>
            <w:color w:val="202C4B"/>
          </w:rPr>
          <w:t>https://archipel.uqam.ca/9394/</w:t>
        </w:r>
      </w:hyperlink>
      <w:r w:rsidR="005C293F" w:rsidRPr="00561F65">
        <w:rPr>
          <w:rFonts w:ascii="Arial" w:hAnsi="Arial" w:cs="Arial"/>
        </w:rPr>
        <w:t> </w:t>
      </w:r>
      <w:r w:rsidR="001B298F" w:rsidRPr="00561F65">
        <w:t xml:space="preserve">; </w:t>
      </w:r>
      <w:r w:rsidRPr="00561F65">
        <w:t xml:space="preserve">Kelsey </w:t>
      </w:r>
      <w:r w:rsidRPr="00561F65">
        <w:rPr>
          <w:smallCaps/>
        </w:rPr>
        <w:t>Brennan</w:t>
      </w:r>
      <w:r w:rsidRPr="00561F65">
        <w:t xml:space="preserve">, Chloe </w:t>
      </w:r>
      <w:r w:rsidRPr="00561F65">
        <w:rPr>
          <w:smallCaps/>
        </w:rPr>
        <w:t>Halpenny</w:t>
      </w:r>
      <w:r w:rsidRPr="00561F65">
        <w:t xml:space="preserve"> et Basia </w:t>
      </w:r>
      <w:r w:rsidRPr="00561F65">
        <w:rPr>
          <w:smallCaps/>
        </w:rPr>
        <w:t>Pakula</w:t>
      </w:r>
      <w:r w:rsidRPr="00561F65">
        <w:t xml:space="preserve">, </w:t>
      </w:r>
      <w:r w:rsidRPr="00561F65">
        <w:rPr>
          <w:i/>
        </w:rPr>
        <w:t xml:space="preserve">LGBTQ2S+ </w:t>
      </w:r>
      <w:proofErr w:type="spellStart"/>
      <w:r w:rsidRPr="00561F65">
        <w:rPr>
          <w:i/>
        </w:rPr>
        <w:t>voices</w:t>
      </w:r>
      <w:proofErr w:type="spellEnd"/>
      <w:r w:rsidRPr="00561F65">
        <w:rPr>
          <w:i/>
        </w:rPr>
        <w:t xml:space="preserve"> in </w:t>
      </w:r>
      <w:proofErr w:type="spellStart"/>
      <w:r w:rsidRPr="00561F65">
        <w:rPr>
          <w:i/>
        </w:rPr>
        <w:t>employment</w:t>
      </w:r>
      <w:proofErr w:type="spellEnd"/>
      <w:r w:rsidRPr="00561F65">
        <w:rPr>
          <w:i/>
        </w:rPr>
        <w:t xml:space="preserve">: Labour </w:t>
      </w:r>
      <w:proofErr w:type="spellStart"/>
      <w:r w:rsidRPr="00561F65">
        <w:rPr>
          <w:i/>
        </w:rPr>
        <w:t>market</w:t>
      </w:r>
      <w:proofErr w:type="spellEnd"/>
      <w:r w:rsidRPr="00561F65">
        <w:rPr>
          <w:i/>
        </w:rPr>
        <w:t xml:space="preserve"> </w:t>
      </w:r>
      <w:proofErr w:type="spellStart"/>
      <w:r w:rsidRPr="00561F65">
        <w:rPr>
          <w:i/>
        </w:rPr>
        <w:t>experiences</w:t>
      </w:r>
      <w:proofErr w:type="spellEnd"/>
      <w:r w:rsidRPr="00561F65">
        <w:rPr>
          <w:i/>
        </w:rPr>
        <w:t xml:space="preserve"> of </w:t>
      </w:r>
      <w:proofErr w:type="spellStart"/>
      <w:r w:rsidRPr="00561F65">
        <w:rPr>
          <w:i/>
        </w:rPr>
        <w:t>sexual</w:t>
      </w:r>
      <w:proofErr w:type="spellEnd"/>
      <w:r w:rsidRPr="00561F65">
        <w:rPr>
          <w:i/>
        </w:rPr>
        <w:t xml:space="preserve"> and </w:t>
      </w:r>
      <w:proofErr w:type="spellStart"/>
      <w:r w:rsidRPr="00561F65">
        <w:rPr>
          <w:i/>
        </w:rPr>
        <w:t>gender</w:t>
      </w:r>
      <w:proofErr w:type="spellEnd"/>
      <w:r w:rsidRPr="00561F65">
        <w:rPr>
          <w:i/>
        </w:rPr>
        <w:t xml:space="preserve"> </w:t>
      </w:r>
      <w:proofErr w:type="spellStart"/>
      <w:r w:rsidRPr="00561F65">
        <w:rPr>
          <w:i/>
        </w:rPr>
        <w:t>minorities</w:t>
      </w:r>
      <w:proofErr w:type="spellEnd"/>
      <w:r w:rsidRPr="00561F65">
        <w:rPr>
          <w:i/>
        </w:rPr>
        <w:t xml:space="preserve"> in Canada</w:t>
      </w:r>
      <w:r w:rsidRPr="00561F65">
        <w:t>, Société de recherche sociale appliquée, 2022, p.</w:t>
      </w:r>
      <w:r w:rsidR="00AB1B44">
        <w:t> </w:t>
      </w:r>
      <w:r w:rsidRPr="00561F65">
        <w:t xml:space="preserve">24 et </w:t>
      </w:r>
      <w:proofErr w:type="spellStart"/>
      <w:r w:rsidRPr="00561F65">
        <w:t>suiv</w:t>
      </w:r>
      <w:proofErr w:type="spellEnd"/>
      <w:r w:rsidRPr="00561F65">
        <w:t xml:space="preserve">., [En ligne]. </w:t>
      </w:r>
      <w:hyperlink r:id="rId80" w:anchor=":~:text=study%20of%20the%20labour%20market%20experiences%20of%20LGBTQ2S" w:history="1">
        <w:r w:rsidRPr="00C260D7">
          <w:rPr>
            <w:rStyle w:val="Lienhypertexte"/>
          </w:rPr>
          <w:t>https://srdc.org/wp-content/uploads/2022/06/wage-phase-3-final-report.pdf#:~:text=study%20of%20the%20labour%20market%20experiences%20of%20LGBTQ2S+</w:t>
        </w:r>
      </w:hyperlink>
      <w:r w:rsidRPr="00561F65">
        <w:t xml:space="preserve"> </w:t>
      </w:r>
    </w:p>
  </w:footnote>
  <w:footnote w:id="104">
    <w:p w14:paraId="2DF6C080" w14:textId="5F5FF169" w:rsidR="007F194E" w:rsidRPr="00561F65" w:rsidRDefault="00A57F37" w:rsidP="004E4354">
      <w:pPr>
        <w:pStyle w:val="NotesBasPage"/>
      </w:pPr>
      <w:r w:rsidRPr="00561F65">
        <w:rPr>
          <w:rStyle w:val="Appelnotedebasdep"/>
        </w:rPr>
        <w:footnoteRef/>
      </w:r>
      <w:r w:rsidRPr="00561F65">
        <w:t xml:space="preserve"> </w:t>
      </w:r>
      <w:r w:rsidRPr="00561F65">
        <w:tab/>
      </w:r>
      <w:r w:rsidR="00DB4C18" w:rsidRPr="00EF4FE8">
        <w:rPr>
          <w:smallCaps/>
        </w:rPr>
        <w:t>Chaire de recherche sur la diversité sexuelle et la pluralité des genres</w:t>
      </w:r>
      <w:r w:rsidR="00DB4C18" w:rsidRPr="00561F65">
        <w:t xml:space="preserve">, </w:t>
      </w:r>
      <w:proofErr w:type="spellStart"/>
      <w:r w:rsidR="00392DA6" w:rsidRPr="00561F65">
        <w:t>préc</w:t>
      </w:r>
      <w:proofErr w:type="spellEnd"/>
      <w:r w:rsidR="00392DA6" w:rsidRPr="00561F65">
        <w:t xml:space="preserve">., note </w:t>
      </w:r>
      <w:r w:rsidR="00392DA6" w:rsidRPr="00561F65">
        <w:fldChar w:fldCharType="begin"/>
      </w:r>
      <w:r w:rsidR="00392DA6" w:rsidRPr="00561F65">
        <w:instrText xml:space="preserve"> NOTEREF _Ref218500043 \h  \* MERGEFORMAT </w:instrText>
      </w:r>
      <w:r w:rsidR="00392DA6" w:rsidRPr="00561F65">
        <w:fldChar w:fldCharType="separate"/>
      </w:r>
      <w:r w:rsidR="000374E3" w:rsidRPr="00561F65">
        <w:t>13</w:t>
      </w:r>
      <w:r w:rsidR="00392DA6" w:rsidRPr="00561F65">
        <w:fldChar w:fldCharType="end"/>
      </w:r>
      <w:r w:rsidR="00D775A6" w:rsidRPr="00561F65">
        <w:t>.</w:t>
      </w:r>
      <w:r w:rsidR="007F194E" w:rsidRPr="00561F65">
        <w:t xml:space="preserve"> </w:t>
      </w:r>
    </w:p>
  </w:footnote>
  <w:footnote w:id="105">
    <w:p w14:paraId="43816BED" w14:textId="77777777" w:rsidR="00A57F37" w:rsidRPr="00561F65" w:rsidRDefault="00A57F37" w:rsidP="004E4354">
      <w:pPr>
        <w:pStyle w:val="NotesBasPage"/>
      </w:pPr>
      <w:r w:rsidRPr="00561F65">
        <w:rPr>
          <w:rStyle w:val="Appelnotedebasdep"/>
        </w:rPr>
        <w:footnoteRef/>
      </w:r>
      <w:r w:rsidRPr="00561F65">
        <w:t xml:space="preserve"> </w:t>
      </w:r>
      <w:r w:rsidRPr="00561F65">
        <w:tab/>
      </w:r>
      <w:r w:rsidRPr="00561F65">
        <w:rPr>
          <w:i/>
        </w:rPr>
        <w:t>Id</w:t>
      </w:r>
      <w:r w:rsidRPr="00561F65">
        <w:t>.</w:t>
      </w:r>
    </w:p>
  </w:footnote>
  <w:footnote w:id="106">
    <w:p w14:paraId="57164B06" w14:textId="77777777" w:rsidR="00A57F37" w:rsidRPr="00561F65" w:rsidRDefault="00A57F37" w:rsidP="004E4354">
      <w:pPr>
        <w:pStyle w:val="NotesBasPage"/>
      </w:pPr>
      <w:r w:rsidRPr="00561F65">
        <w:rPr>
          <w:rStyle w:val="Appelnotedebasdep"/>
        </w:rPr>
        <w:footnoteRef/>
      </w:r>
      <w:r w:rsidRPr="00561F65">
        <w:t xml:space="preserve"> </w:t>
      </w:r>
      <w:r w:rsidRPr="00561F65">
        <w:tab/>
      </w:r>
      <w:r w:rsidRPr="00561F65">
        <w:rPr>
          <w:i/>
        </w:rPr>
        <w:t>Id</w:t>
      </w:r>
      <w:r w:rsidRPr="00561F65">
        <w:t>.</w:t>
      </w:r>
    </w:p>
  </w:footnote>
  <w:footnote w:id="107">
    <w:p w14:paraId="0D48FC8D" w14:textId="77777777" w:rsidR="00A57F37" w:rsidRPr="00561F65" w:rsidRDefault="00A57F37" w:rsidP="004E4354">
      <w:pPr>
        <w:pStyle w:val="NotesBasPage"/>
      </w:pPr>
      <w:r w:rsidRPr="00561F65">
        <w:rPr>
          <w:rStyle w:val="Appelnotedebasdep"/>
        </w:rPr>
        <w:footnoteRef/>
      </w:r>
      <w:r w:rsidRPr="00561F65">
        <w:t xml:space="preserve"> </w:t>
      </w:r>
      <w:r w:rsidRPr="00561F65">
        <w:tab/>
      </w:r>
      <w:r w:rsidRPr="00561F65">
        <w:rPr>
          <w:i/>
        </w:rPr>
        <w:t>Id.</w:t>
      </w:r>
    </w:p>
  </w:footnote>
  <w:footnote w:id="108">
    <w:p w14:paraId="4DFFB883" w14:textId="325E9A70" w:rsidR="00812D92" w:rsidRPr="00561F65" w:rsidRDefault="00A57F37" w:rsidP="004E4354">
      <w:pPr>
        <w:pStyle w:val="NotesBasPage"/>
      </w:pPr>
      <w:r w:rsidRPr="00561F65">
        <w:rPr>
          <w:rStyle w:val="Appelnotedebasdep"/>
        </w:rPr>
        <w:footnoteRef/>
      </w:r>
      <w:r w:rsidRPr="00561F65">
        <w:t xml:space="preserve"> </w:t>
      </w:r>
      <w:r w:rsidRPr="00561F65">
        <w:tab/>
      </w:r>
      <w:r w:rsidR="00EC37D2" w:rsidRPr="00561F65">
        <w:t xml:space="preserve">Fred L. </w:t>
      </w:r>
      <w:r w:rsidRPr="00561F65">
        <w:rPr>
          <w:smallCaps/>
        </w:rPr>
        <w:t xml:space="preserve">Dion </w:t>
      </w:r>
      <w:r w:rsidRPr="00561F65">
        <w:t>et al</w:t>
      </w:r>
      <w:r w:rsidR="00EC37D2" w:rsidRPr="00561F65">
        <w:t>.</w:t>
      </w:r>
      <w:r w:rsidRPr="00561F65">
        <w:t>, «</w:t>
      </w:r>
      <w:r w:rsidR="00AB4C13" w:rsidRPr="00561F65">
        <w:rPr>
          <w:rFonts w:ascii="Arial" w:hAnsi="Arial" w:cs="Arial"/>
        </w:rPr>
        <w:t> </w:t>
      </w:r>
      <w:r w:rsidRPr="00561F65">
        <w:t>Harcèlement au travail chez les jeunes de minorités sexuelles et de genre</w:t>
      </w:r>
      <w:r w:rsidR="00F01F5E" w:rsidRPr="00561F65">
        <w:rPr>
          <w:rFonts w:ascii="Arial" w:hAnsi="Arial" w:cs="Arial"/>
        </w:rPr>
        <w:t> </w:t>
      </w:r>
      <w:r w:rsidRPr="00561F65">
        <w:t>: une analyse de profils latents</w:t>
      </w:r>
      <w:r w:rsidR="00AB4C13" w:rsidRPr="00561F65">
        <w:rPr>
          <w:rFonts w:ascii="Arial" w:hAnsi="Arial" w:cs="Arial"/>
        </w:rPr>
        <w:t> </w:t>
      </w:r>
      <w:r w:rsidRPr="00561F65">
        <w:rPr>
          <w:rFonts w:cs="Aptos"/>
        </w:rPr>
        <w:t>»</w:t>
      </w:r>
      <w:r w:rsidRPr="00561F65">
        <w:t xml:space="preserve"> (2025) 7:2 Revue Jeunes et Soci</w:t>
      </w:r>
      <w:r w:rsidRPr="00561F65">
        <w:rPr>
          <w:rFonts w:cs="Aptos"/>
        </w:rPr>
        <w:t>é</w:t>
      </w:r>
      <w:r w:rsidRPr="00561F65">
        <w:t>t</w:t>
      </w:r>
      <w:r w:rsidRPr="00561F65">
        <w:rPr>
          <w:rFonts w:cs="Aptos"/>
        </w:rPr>
        <w:t>é</w:t>
      </w:r>
      <w:r w:rsidR="005C5B01" w:rsidRPr="00561F65">
        <w:t> </w:t>
      </w:r>
      <w:r w:rsidRPr="00561F65">
        <w:t>58</w:t>
      </w:r>
      <w:r w:rsidRPr="00561F65">
        <w:noBreakHyphen/>
        <w:t>80, p.</w:t>
      </w:r>
      <w:r w:rsidR="005C5B01" w:rsidRPr="00561F65">
        <w:t> </w:t>
      </w:r>
      <w:r w:rsidRPr="00561F65">
        <w:t xml:space="preserve">75, </w:t>
      </w:r>
      <w:r w:rsidR="00A56001" w:rsidRPr="00561F65">
        <w:t>[En ligne].</w:t>
      </w:r>
      <w:r w:rsidRPr="00561F65">
        <w:t xml:space="preserve"> </w:t>
      </w:r>
      <w:hyperlink r:id="rId81" w:history="1">
        <w:r w:rsidR="00812D92" w:rsidRPr="007912CF">
          <w:rPr>
            <w:rStyle w:val="Lienhypertexte"/>
          </w:rPr>
          <w:t>https://www.erudit.org/fr/revues/rjs/2024-v7-n2-rjs09880/1116498ar/</w:t>
        </w:r>
      </w:hyperlink>
    </w:p>
  </w:footnote>
  <w:footnote w:id="109">
    <w:p w14:paraId="3F4C71DB" w14:textId="7AE3F853" w:rsidR="00D17429" w:rsidRPr="00561F65" w:rsidRDefault="00A57F37" w:rsidP="004E4354">
      <w:pPr>
        <w:pStyle w:val="NotesBasPage"/>
      </w:pPr>
      <w:r w:rsidRPr="00561F65">
        <w:rPr>
          <w:rStyle w:val="Appelnotedebasdep"/>
        </w:rPr>
        <w:footnoteRef/>
      </w:r>
      <w:r w:rsidRPr="00561F65">
        <w:t xml:space="preserve"> </w:t>
      </w:r>
      <w:r w:rsidRPr="00561F65">
        <w:tab/>
      </w:r>
      <w:r w:rsidR="00302C4D" w:rsidRPr="00561F65">
        <w:t>L.</w:t>
      </w:r>
      <w:r w:rsidR="00E328B0">
        <w:t> </w:t>
      </w:r>
      <w:r w:rsidRPr="00561F65">
        <w:rPr>
          <w:smallCaps/>
        </w:rPr>
        <w:t>Chamberland</w:t>
      </w:r>
      <w:r w:rsidRPr="00561F65">
        <w:t>, M.</w:t>
      </w:r>
      <w:r w:rsidR="00BC48F0">
        <w:t> </w:t>
      </w:r>
      <w:r w:rsidRPr="00561F65">
        <w:rPr>
          <w:smallCaps/>
        </w:rPr>
        <w:t>Bernier,</w:t>
      </w:r>
      <w:r w:rsidRPr="00561F65">
        <w:t xml:space="preserve"> C.</w:t>
      </w:r>
      <w:r w:rsidR="00E328B0">
        <w:t> </w:t>
      </w:r>
      <w:r w:rsidRPr="00561F65">
        <w:rPr>
          <w:smallCaps/>
        </w:rPr>
        <w:t>Lebreton</w:t>
      </w:r>
      <w:r w:rsidRPr="00561F65">
        <w:rPr>
          <w:i/>
          <w:smallCaps/>
        </w:rPr>
        <w:t>,</w:t>
      </w:r>
      <w:r w:rsidRPr="00561F65">
        <w:t xml:space="preserve"> G.</w:t>
      </w:r>
      <w:r w:rsidR="00E328B0">
        <w:t> </w:t>
      </w:r>
      <w:r w:rsidRPr="00561F65">
        <w:rPr>
          <w:smallCaps/>
        </w:rPr>
        <w:t>Richard</w:t>
      </w:r>
      <w:r w:rsidRPr="00561F65">
        <w:t xml:space="preserve"> et J.</w:t>
      </w:r>
      <w:r w:rsidR="00E328B0">
        <w:t> </w:t>
      </w:r>
      <w:r w:rsidRPr="00561F65">
        <w:t>T</w:t>
      </w:r>
      <w:r w:rsidR="00D775A6" w:rsidRPr="00561F65">
        <w:t>.</w:t>
      </w:r>
      <w:r w:rsidR="005A5071">
        <w:t xml:space="preserve"> </w:t>
      </w:r>
      <w:r w:rsidRPr="00561F65">
        <w:rPr>
          <w:smallCaps/>
        </w:rPr>
        <w:t>Séguin</w:t>
      </w:r>
      <w:r w:rsidRPr="00561F65">
        <w:t>,</w:t>
      </w:r>
      <w:r w:rsidR="00B456AE"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FE0519" w:rsidRPr="00561F65">
        <w:instrText xml:space="preserve"> \* MERGEFORMAT </w:instrText>
      </w:r>
      <w:r w:rsidR="00B456AE" w:rsidRPr="00561F65">
        <w:fldChar w:fldCharType="separate"/>
      </w:r>
      <w:r w:rsidR="000374E3" w:rsidRPr="00561F65">
        <w:t>46</w:t>
      </w:r>
      <w:r w:rsidR="00B456AE" w:rsidRPr="00561F65">
        <w:fldChar w:fldCharType="end"/>
      </w:r>
      <w:r w:rsidR="00BD6329" w:rsidRPr="00561F65">
        <w:rPr>
          <w:rFonts w:ascii="Arial" w:hAnsi="Arial" w:cs="Arial"/>
        </w:rPr>
        <w:t> </w:t>
      </w:r>
      <w:r w:rsidRPr="00561F65">
        <w:t>; K</w:t>
      </w:r>
      <w:r w:rsidR="00A7601E" w:rsidRPr="00561F65">
        <w:t>.</w:t>
      </w:r>
      <w:r w:rsidR="00E328B0">
        <w:t> </w:t>
      </w:r>
      <w:r w:rsidRPr="00561F65">
        <w:rPr>
          <w:smallCaps/>
        </w:rPr>
        <w:t>Brennan</w:t>
      </w:r>
      <w:r w:rsidRPr="00561F65">
        <w:t>, C</w:t>
      </w:r>
      <w:r w:rsidR="00A7601E" w:rsidRPr="00561F65">
        <w:t>.</w:t>
      </w:r>
      <w:r w:rsidR="00E328B0">
        <w:t> </w:t>
      </w:r>
      <w:r w:rsidRPr="00561F65">
        <w:rPr>
          <w:smallCaps/>
        </w:rPr>
        <w:t>Halpenny</w:t>
      </w:r>
      <w:r w:rsidRPr="00561F65">
        <w:t xml:space="preserve"> et B</w:t>
      </w:r>
      <w:r w:rsidR="00A7601E" w:rsidRPr="00561F65">
        <w:t>.</w:t>
      </w:r>
      <w:r w:rsidR="00E328B0">
        <w:t> </w:t>
      </w:r>
      <w:r w:rsidRPr="00561F65">
        <w:rPr>
          <w:smallCaps/>
        </w:rPr>
        <w:t>Pakula</w:t>
      </w:r>
      <w:r w:rsidRPr="00561F65">
        <w:t xml:space="preserve">, </w:t>
      </w:r>
      <w:proofErr w:type="spellStart"/>
      <w:r w:rsidR="00B94DDD" w:rsidRPr="00561F65">
        <w:t>préc</w:t>
      </w:r>
      <w:proofErr w:type="spellEnd"/>
      <w:r w:rsidR="00B94DDD" w:rsidRPr="00561F65">
        <w:t xml:space="preserve">., note </w:t>
      </w:r>
      <w:r w:rsidR="00B94DDD" w:rsidRPr="00561F65">
        <w:fldChar w:fldCharType="begin"/>
      </w:r>
      <w:r w:rsidR="00B94DDD" w:rsidRPr="00561F65">
        <w:instrText xml:space="preserve"> NOTEREF _Ref219211343 \h </w:instrText>
      </w:r>
      <w:r w:rsidR="007017CF" w:rsidRPr="00561F65">
        <w:instrText xml:space="preserve"> \* MERGEFORMAT </w:instrText>
      </w:r>
      <w:r w:rsidR="00B94DDD" w:rsidRPr="00561F65">
        <w:fldChar w:fldCharType="separate"/>
      </w:r>
      <w:r w:rsidR="000374E3" w:rsidRPr="00561F65">
        <w:t>102</w:t>
      </w:r>
      <w:r w:rsidR="00B94DDD" w:rsidRPr="00561F65">
        <w:fldChar w:fldCharType="end"/>
      </w:r>
      <w:r w:rsidR="005C293F" w:rsidRPr="00561F65">
        <w:rPr>
          <w:rFonts w:ascii="Arial" w:hAnsi="Arial" w:cs="Arial"/>
        </w:rPr>
        <w:t> </w:t>
      </w:r>
      <w:r w:rsidR="00911F76" w:rsidRPr="00561F65">
        <w:t>;</w:t>
      </w:r>
      <w:r w:rsidR="00B94DDD" w:rsidRPr="00561F65">
        <w:t xml:space="preserve"> </w:t>
      </w:r>
      <w:r w:rsidR="00A56001" w:rsidRPr="00561F65">
        <w:t>M</w:t>
      </w:r>
      <w:r w:rsidR="002D77B0" w:rsidRPr="00561F65">
        <w:t xml:space="preserve">. </w:t>
      </w:r>
      <w:r w:rsidRPr="00561F65">
        <w:rPr>
          <w:smallCaps/>
        </w:rPr>
        <w:t>Geoffroy</w:t>
      </w:r>
      <w:r w:rsidRPr="00561F65">
        <w:t xml:space="preserve">, </w:t>
      </w:r>
      <w:proofErr w:type="spellStart"/>
      <w:r w:rsidR="002D77B0" w:rsidRPr="00561F65">
        <w:t>préc</w:t>
      </w:r>
      <w:proofErr w:type="spellEnd"/>
      <w:r w:rsidR="002D77B0" w:rsidRPr="00561F65">
        <w:t xml:space="preserve">., note </w:t>
      </w:r>
      <w:r w:rsidR="002D77B0" w:rsidRPr="00561F65">
        <w:fldChar w:fldCharType="begin"/>
      </w:r>
      <w:r w:rsidR="002D77B0" w:rsidRPr="00561F65">
        <w:instrText xml:space="preserve"> NOTEREF _Ref219211343 \h </w:instrText>
      </w:r>
      <w:r w:rsidR="004E4354">
        <w:instrText xml:space="preserve"> \* MERGEFORMAT </w:instrText>
      </w:r>
      <w:r w:rsidR="002D77B0" w:rsidRPr="00561F65">
        <w:fldChar w:fldCharType="separate"/>
      </w:r>
      <w:r w:rsidR="002D77B0" w:rsidRPr="00561F65">
        <w:t>102</w:t>
      </w:r>
      <w:r w:rsidR="002D77B0" w:rsidRPr="00561F65">
        <w:fldChar w:fldCharType="end"/>
      </w:r>
      <w:r w:rsidR="002D77B0" w:rsidRPr="00561F65">
        <w:t>.</w:t>
      </w:r>
    </w:p>
  </w:footnote>
  <w:footnote w:id="110">
    <w:p w14:paraId="2D38315C" w14:textId="51BFFF0F" w:rsidR="00457452" w:rsidRPr="00561F65" w:rsidRDefault="00A57F37" w:rsidP="004E4354">
      <w:pPr>
        <w:pStyle w:val="NotesBasPage"/>
      </w:pPr>
      <w:r w:rsidRPr="00561F65">
        <w:rPr>
          <w:rStyle w:val="Appelnotedebasdep"/>
        </w:rPr>
        <w:footnoteRef/>
      </w:r>
      <w:r w:rsidRPr="00561F65">
        <w:t xml:space="preserve"> </w:t>
      </w:r>
      <w:r w:rsidRPr="00561F65">
        <w:tab/>
        <w:t xml:space="preserve">Brianna </w:t>
      </w:r>
      <w:r w:rsidRPr="00561F65">
        <w:rPr>
          <w:smallCaps/>
        </w:rPr>
        <w:t>Jaffray</w:t>
      </w:r>
      <w:r w:rsidRPr="00561F65">
        <w:t xml:space="preserve">, Les expériences de victimisation avec violence et de comportements sexuels non désirés vécues par les personnes gaies, lesbiennes, bisexuelles et d’une autre minorité sexuelle, et les personnes transgenres, N° 85-002-X au catalogue de Statistique Canada, 2020, [En ligne]. </w:t>
      </w:r>
      <w:hyperlink r:id="rId82" w:history="1">
        <w:r w:rsidR="00457452" w:rsidRPr="007912CF">
          <w:rPr>
            <w:rStyle w:val="Lienhypertexte"/>
          </w:rPr>
          <w:t>https://www150.statcan.gc.ca/n1/fr/pub/85-002-x/2020001/article/00009-fra.pdf?st=kO70nVrK</w:t>
        </w:r>
      </w:hyperlink>
    </w:p>
  </w:footnote>
  <w:footnote w:id="111">
    <w:p w14:paraId="57EBC19A" w14:textId="77777777" w:rsidR="00A57F37" w:rsidRPr="00561F65" w:rsidRDefault="00A57F37"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Pr="00561F65">
        <w:rPr>
          <w:i/>
          <w:lang w:val="en-CA"/>
        </w:rPr>
        <w:t>Id.</w:t>
      </w:r>
      <w:r w:rsidRPr="00561F65">
        <w:rPr>
          <w:lang w:val="en-CA"/>
        </w:rPr>
        <w:t>, p. 26.</w:t>
      </w:r>
    </w:p>
  </w:footnote>
  <w:footnote w:id="112">
    <w:p w14:paraId="0A6F18B9" w14:textId="77777777" w:rsidR="00A57F37" w:rsidRPr="00561F65" w:rsidRDefault="00A57F37"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Pr="00561F65">
        <w:rPr>
          <w:i/>
          <w:lang w:val="en-CA"/>
        </w:rPr>
        <w:t>Id.</w:t>
      </w:r>
    </w:p>
  </w:footnote>
  <w:footnote w:id="113">
    <w:p w14:paraId="63143AA3" w14:textId="77777777" w:rsidR="00A57F37" w:rsidRPr="00561F65" w:rsidRDefault="00A57F37"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Pr="00561F65">
        <w:rPr>
          <w:i/>
          <w:lang w:val="en-CA"/>
        </w:rPr>
        <w:t>Id.</w:t>
      </w:r>
      <w:r w:rsidRPr="00561F65">
        <w:rPr>
          <w:lang w:val="en-CA"/>
        </w:rPr>
        <w:t>, p. 29.</w:t>
      </w:r>
    </w:p>
  </w:footnote>
  <w:footnote w:id="114">
    <w:p w14:paraId="570D5DDC" w14:textId="67C6E28A" w:rsidR="00635043" w:rsidRPr="00561F65" w:rsidRDefault="00A57F37" w:rsidP="004E4354">
      <w:pPr>
        <w:pStyle w:val="NotesBasPage"/>
      </w:pPr>
      <w:r w:rsidRPr="00561F65">
        <w:rPr>
          <w:rStyle w:val="Appelnotedebasdep"/>
        </w:rPr>
        <w:footnoteRef/>
      </w:r>
      <w:r w:rsidRPr="00561F65">
        <w:rPr>
          <w:lang w:val="en-CA"/>
        </w:rPr>
        <w:t xml:space="preserve"> </w:t>
      </w:r>
      <w:r w:rsidRPr="00561F65">
        <w:rPr>
          <w:lang w:val="en-CA"/>
        </w:rPr>
        <w:tab/>
      </w:r>
      <w:r w:rsidR="00B24310" w:rsidRPr="00561F65">
        <w:rPr>
          <w:lang w:val="en-CA"/>
        </w:rPr>
        <w:t>K</w:t>
      </w:r>
      <w:r w:rsidR="00D775A6" w:rsidRPr="00561F65">
        <w:rPr>
          <w:lang w:val="en-CA"/>
        </w:rPr>
        <w:t>.</w:t>
      </w:r>
      <w:r w:rsidR="00E328B0">
        <w:rPr>
          <w:lang w:val="en-CA"/>
        </w:rPr>
        <w:t> </w:t>
      </w:r>
      <w:r w:rsidRPr="00561F65">
        <w:rPr>
          <w:smallCaps/>
          <w:lang w:val="en-CA"/>
        </w:rPr>
        <w:t>Schilt</w:t>
      </w:r>
      <w:r w:rsidRPr="00561F65">
        <w:rPr>
          <w:lang w:val="en-CA"/>
        </w:rPr>
        <w:t xml:space="preserve">, </w:t>
      </w:r>
      <w:proofErr w:type="spellStart"/>
      <w:r w:rsidR="000B40CC" w:rsidRPr="00561F65">
        <w:rPr>
          <w:lang w:val="en-CA"/>
        </w:rPr>
        <w:t>préc</w:t>
      </w:r>
      <w:proofErr w:type="spellEnd"/>
      <w:r w:rsidR="000B40CC" w:rsidRPr="00561F65">
        <w:rPr>
          <w:lang w:val="en-CA"/>
        </w:rPr>
        <w:t xml:space="preserve">., note </w:t>
      </w:r>
      <w:r w:rsidR="000B40CC" w:rsidRPr="00561F65">
        <w:fldChar w:fldCharType="begin"/>
      </w:r>
      <w:r w:rsidR="000B40CC" w:rsidRPr="00561F65">
        <w:rPr>
          <w:lang w:val="en-CA"/>
        </w:rPr>
        <w:instrText xml:space="preserve"> NOTEREF _Ref216953778 \h  \* MERGEFORMAT </w:instrText>
      </w:r>
      <w:r w:rsidR="000B40CC" w:rsidRPr="00561F65">
        <w:fldChar w:fldCharType="separate"/>
      </w:r>
      <w:r w:rsidR="000374E3" w:rsidRPr="00561F65">
        <w:rPr>
          <w:lang w:val="en-CA"/>
        </w:rPr>
        <w:t>91</w:t>
      </w:r>
      <w:r w:rsidR="000B40CC" w:rsidRPr="00561F65">
        <w:fldChar w:fldCharType="end"/>
      </w:r>
      <w:r w:rsidR="0046630A" w:rsidRPr="00561F65">
        <w:rPr>
          <w:rFonts w:ascii="Arial" w:hAnsi="Arial" w:cs="Arial"/>
          <w:smallCaps/>
          <w:lang w:val="en-CA"/>
        </w:rPr>
        <w:t> </w:t>
      </w:r>
      <w:r w:rsidRPr="00561F65">
        <w:rPr>
          <w:smallCaps/>
          <w:lang w:val="en-CA"/>
        </w:rPr>
        <w:t xml:space="preserve">; </w:t>
      </w:r>
      <w:r w:rsidR="00B263DF" w:rsidRPr="00561F65">
        <w:rPr>
          <w:lang w:val="en-CA"/>
        </w:rPr>
        <w:t xml:space="preserve">Kristen </w:t>
      </w:r>
      <w:r w:rsidRPr="00561F65">
        <w:rPr>
          <w:smallCaps/>
          <w:lang w:val="en-CA"/>
        </w:rPr>
        <w:t xml:space="preserve">Schilt, </w:t>
      </w:r>
      <w:r w:rsidR="00B263DF" w:rsidRPr="00561F65">
        <w:rPr>
          <w:lang w:val="en-CA"/>
        </w:rPr>
        <w:t>Ma</w:t>
      </w:r>
      <w:r w:rsidR="0060696A" w:rsidRPr="00561F65">
        <w:rPr>
          <w:lang w:val="en-CA"/>
        </w:rPr>
        <w:t>tthew</w:t>
      </w:r>
      <w:r w:rsidR="0060696A" w:rsidRPr="00561F65">
        <w:rPr>
          <w:smallCaps/>
          <w:lang w:val="en-CA"/>
        </w:rPr>
        <w:t xml:space="preserve"> </w:t>
      </w:r>
      <w:r w:rsidR="001D1A4D" w:rsidRPr="00561F65">
        <w:rPr>
          <w:smallCaps/>
          <w:lang w:val="en-CA"/>
        </w:rPr>
        <w:t>W</w:t>
      </w:r>
      <w:r w:rsidR="00302C4D" w:rsidRPr="00561F65">
        <w:rPr>
          <w:smallCaps/>
          <w:lang w:val="en-CA"/>
        </w:rPr>
        <w:t>iswall</w:t>
      </w:r>
      <w:r w:rsidR="001D1A4D" w:rsidRPr="00561F65">
        <w:rPr>
          <w:smallCaps/>
          <w:lang w:val="en-CA"/>
        </w:rPr>
        <w:t xml:space="preserve">, </w:t>
      </w:r>
      <w:r w:rsidR="00A839DD" w:rsidRPr="00561F65">
        <w:rPr>
          <w:smallCaps/>
          <w:lang w:val="en-CA"/>
        </w:rPr>
        <w:t>« </w:t>
      </w:r>
      <w:r w:rsidR="001D1A4D" w:rsidRPr="00561F65">
        <w:rPr>
          <w:lang w:val="en-CA"/>
        </w:rPr>
        <w:t>Before</w:t>
      </w:r>
      <w:r w:rsidRPr="00561F65">
        <w:rPr>
          <w:lang w:val="en-CA"/>
        </w:rPr>
        <w:t xml:space="preserve"> and </w:t>
      </w:r>
      <w:proofErr w:type="gramStart"/>
      <w:r w:rsidR="00DB41C2" w:rsidRPr="00561F65">
        <w:rPr>
          <w:lang w:val="en-CA"/>
        </w:rPr>
        <w:t>after:</w:t>
      </w:r>
      <w:proofErr w:type="gramEnd"/>
      <w:r w:rsidR="00DB41C2" w:rsidRPr="00561F65">
        <w:rPr>
          <w:lang w:val="en-CA"/>
        </w:rPr>
        <w:t xml:space="preserve"> </w:t>
      </w:r>
      <w:r w:rsidRPr="00561F65">
        <w:rPr>
          <w:lang w:val="en-CA"/>
        </w:rPr>
        <w:t xml:space="preserve">gender transitions, human capital, and workplace </w:t>
      </w:r>
      <w:r w:rsidR="00A839DD" w:rsidRPr="00561F65">
        <w:rPr>
          <w:lang w:val="en-CA"/>
        </w:rPr>
        <w:t>exp</w:t>
      </w:r>
      <w:r w:rsidR="005B396A">
        <w:rPr>
          <w:lang w:val="en-CA"/>
        </w:rPr>
        <w:t>e</w:t>
      </w:r>
      <w:r w:rsidR="00A839DD" w:rsidRPr="00561F65">
        <w:rPr>
          <w:lang w:val="en-CA"/>
        </w:rPr>
        <w:t>riences »</w:t>
      </w:r>
      <w:r w:rsidR="0060696A" w:rsidRPr="00561F65">
        <w:rPr>
          <w:smallCaps/>
          <w:lang w:val="en-CA"/>
        </w:rPr>
        <w:t xml:space="preserve"> (2008)</w:t>
      </w:r>
      <w:r w:rsidR="00785B19" w:rsidRPr="00561F65">
        <w:rPr>
          <w:smallCaps/>
          <w:lang w:val="en-CA"/>
        </w:rPr>
        <w:t xml:space="preserve"> 8-1</w:t>
      </w:r>
      <w:r w:rsidRPr="00561F65">
        <w:rPr>
          <w:smallCaps/>
          <w:lang w:val="en-CA"/>
        </w:rPr>
        <w:t xml:space="preserve"> </w:t>
      </w:r>
      <w:r w:rsidRPr="00561F65">
        <w:rPr>
          <w:i/>
          <w:lang w:val="en-CA"/>
        </w:rPr>
        <w:t xml:space="preserve">BE J. Econ. </w:t>
      </w:r>
      <w:r w:rsidRPr="00561F65">
        <w:rPr>
          <w:i/>
        </w:rPr>
        <w:t xml:space="preserve">Anal. </w:t>
      </w:r>
      <w:r w:rsidR="00283D6D" w:rsidRPr="00561F65">
        <w:rPr>
          <w:i/>
        </w:rPr>
        <w:t>POLICY</w:t>
      </w:r>
      <w:r w:rsidR="00AB1B44">
        <w:rPr>
          <w:i/>
        </w:rPr>
        <w:t> </w:t>
      </w:r>
      <w:r w:rsidR="00283D6D" w:rsidRPr="00561F65">
        <w:t xml:space="preserve">39, </w:t>
      </w:r>
      <w:r w:rsidR="00EE3E40" w:rsidRPr="00561F65">
        <w:t xml:space="preserve">[En ligne]. </w:t>
      </w:r>
      <w:hyperlink r:id="rId83" w:history="1">
        <w:r w:rsidR="00635043" w:rsidRPr="007912CF">
          <w:rPr>
            <w:rStyle w:val="Lienhypertexte"/>
          </w:rPr>
          <w:t>https://www.degruyterbrill.com/document/doi/10.2202/1935-1682.1862/html</w:t>
        </w:r>
      </w:hyperlink>
    </w:p>
  </w:footnote>
  <w:footnote w:id="115">
    <w:p w14:paraId="60001D9B" w14:textId="03F87A4E" w:rsidR="00374A76" w:rsidRPr="00561F65" w:rsidRDefault="00A57F37" w:rsidP="004E4354">
      <w:pPr>
        <w:pStyle w:val="NotesBasPage"/>
      </w:pPr>
      <w:r w:rsidRPr="00561F65">
        <w:rPr>
          <w:rStyle w:val="Appelnotedebasdep"/>
        </w:rPr>
        <w:footnoteRef/>
      </w:r>
      <w:r w:rsidRPr="00561F65">
        <w:t xml:space="preserve"> </w:t>
      </w:r>
      <w:r w:rsidRPr="00561F65">
        <w:tab/>
      </w:r>
      <w:r w:rsidRPr="00561F65">
        <w:rPr>
          <w:smallCaps/>
        </w:rPr>
        <w:t>Institut de la statistique du Québec</w:t>
      </w:r>
      <w:r w:rsidR="001D1A4D" w:rsidRPr="00561F65">
        <w:t xml:space="preserve">, </w:t>
      </w:r>
      <w:r w:rsidRPr="006E44B2">
        <w:rPr>
          <w:i/>
          <w:iCs/>
        </w:rPr>
        <w:t>L’intimidation et la cyberintimidation au Québec</w:t>
      </w:r>
      <w:r w:rsidR="00F01F5E" w:rsidRPr="006E44B2">
        <w:rPr>
          <w:i/>
          <w:iCs/>
        </w:rPr>
        <w:t> </w:t>
      </w:r>
      <w:r w:rsidRPr="006E44B2">
        <w:rPr>
          <w:i/>
          <w:iCs/>
        </w:rPr>
        <w:t>: Portrait à partir de l’Étude québécoise sur les rapports sociaux dans un contexte scolaire, de travail et dans la communauté</w:t>
      </w:r>
      <w:r w:rsidR="005C5B01" w:rsidRPr="006E44B2">
        <w:rPr>
          <w:i/>
          <w:iCs/>
        </w:rPr>
        <w:t> </w:t>
      </w:r>
      <w:r w:rsidRPr="006E44B2">
        <w:rPr>
          <w:i/>
          <w:iCs/>
        </w:rPr>
        <w:t>2022</w:t>
      </w:r>
      <w:r w:rsidR="00410A8C" w:rsidRPr="00561F65">
        <w:t>, 2024</w:t>
      </w:r>
      <w:r w:rsidR="00DB41C2" w:rsidRPr="00561F65">
        <w:t>,</w:t>
      </w:r>
      <w:r w:rsidRPr="00561F65">
        <w:t xml:space="preserve"> p.166</w:t>
      </w:r>
      <w:r w:rsidR="00CE44A8">
        <w:t xml:space="preserve">, </w:t>
      </w:r>
      <w:r w:rsidR="00EE3E40" w:rsidRPr="00561F65">
        <w:t xml:space="preserve">[En ligne]. </w:t>
      </w:r>
      <w:hyperlink r:id="rId84" w:history="1">
        <w:r w:rsidR="00374A76" w:rsidRPr="007912CF">
          <w:rPr>
            <w:rStyle w:val="Lienhypertexte"/>
          </w:rPr>
          <w:t>https://numerique.banq.qc.ca/patrimoine/details/52327/4791308</w:t>
        </w:r>
      </w:hyperlink>
    </w:p>
  </w:footnote>
  <w:footnote w:id="116">
    <w:p w14:paraId="1512228C" w14:textId="035E41EA" w:rsidR="002E567F" w:rsidRPr="00561F65" w:rsidRDefault="00A57F37" w:rsidP="004E4354">
      <w:pPr>
        <w:pStyle w:val="NotesBasPage"/>
      </w:pPr>
      <w:r w:rsidRPr="00561F65">
        <w:rPr>
          <w:rStyle w:val="Appelnotedebasdep"/>
        </w:rPr>
        <w:footnoteRef/>
      </w:r>
      <w:r w:rsidRPr="00561F65">
        <w:t xml:space="preserve"> </w:t>
      </w:r>
      <w:r w:rsidRPr="00561F65">
        <w:tab/>
      </w:r>
      <w:r w:rsidR="00E26EF7" w:rsidRPr="00561F65">
        <w:rPr>
          <w:smallCaps/>
        </w:rPr>
        <w:t>Chaire de recherche sur la diversité sexuelle et la pluralité des genres</w:t>
      </w:r>
      <w:r w:rsidR="002525C8" w:rsidRPr="00561F65">
        <w:t xml:space="preserve">, </w:t>
      </w:r>
      <w:r w:rsidRPr="00CC0AE9">
        <w:rPr>
          <w:i/>
          <w:iCs/>
        </w:rPr>
        <w:t>L’intimidation vécue par les personnes LGBTQ+ au Québec —</w:t>
      </w:r>
      <w:r w:rsidR="00B30485" w:rsidRPr="00CC0AE9">
        <w:rPr>
          <w:rFonts w:ascii="Arial" w:hAnsi="Arial" w:cs="Arial"/>
          <w:i/>
          <w:iCs/>
        </w:rPr>
        <w:t> </w:t>
      </w:r>
      <w:r w:rsidRPr="00CC0AE9">
        <w:rPr>
          <w:i/>
          <w:iCs/>
        </w:rPr>
        <w:t>Rapport de l’étude québécoise sur les relations sociales des personnes LGBTQ+ de 14</w:t>
      </w:r>
      <w:r w:rsidR="005516C0" w:rsidRPr="00CC0AE9">
        <w:rPr>
          <w:i/>
          <w:iCs/>
        </w:rPr>
        <w:t> </w:t>
      </w:r>
      <w:r w:rsidRPr="00CC0AE9">
        <w:rPr>
          <w:i/>
          <w:iCs/>
        </w:rPr>
        <w:t>ans et plus dans un contexte scolaire, de travail et dans la communauté</w:t>
      </w:r>
      <w:r w:rsidRPr="00561F65">
        <w:t xml:space="preserve">, </w:t>
      </w:r>
      <w:r w:rsidR="00E26EF7" w:rsidRPr="00561F65">
        <w:t xml:space="preserve">Martin </w:t>
      </w:r>
      <w:r w:rsidR="00E26EF7" w:rsidRPr="00561F65">
        <w:rPr>
          <w:smallCaps/>
        </w:rPr>
        <w:t>Blais</w:t>
      </w:r>
      <w:r w:rsidR="00E26EF7" w:rsidRPr="00561F65">
        <w:t xml:space="preserve">, Fred L. </w:t>
      </w:r>
      <w:r w:rsidR="00E26EF7" w:rsidRPr="00561F65">
        <w:rPr>
          <w:smallCaps/>
        </w:rPr>
        <w:t xml:space="preserve">Dion </w:t>
      </w:r>
      <w:r w:rsidR="00E26EF7" w:rsidRPr="00561F65">
        <w:t xml:space="preserve">et Mathieu Joël </w:t>
      </w:r>
      <w:r w:rsidR="00E26EF7" w:rsidRPr="00561F65">
        <w:rPr>
          <w:smallCaps/>
        </w:rPr>
        <w:t>Gervais</w:t>
      </w:r>
      <w:r w:rsidR="00E26EF7" w:rsidRPr="00561F65">
        <w:t xml:space="preserve">, </w:t>
      </w:r>
      <w:r w:rsidRPr="00561F65">
        <w:t>Université du Québec à Montréal</w:t>
      </w:r>
      <w:r w:rsidR="006917E8" w:rsidRPr="00561F65">
        <w:t>, 2024</w:t>
      </w:r>
      <w:r w:rsidR="00061960" w:rsidRPr="00561F65">
        <w:t>, [En ligne</w:t>
      </w:r>
      <w:r w:rsidR="00C904BF" w:rsidRPr="00561F65">
        <w:t xml:space="preserve">]. </w:t>
      </w:r>
      <w:hyperlink r:id="rId85" w:history="1">
        <w:r w:rsidR="002E567F" w:rsidRPr="007912CF">
          <w:rPr>
            <w:rStyle w:val="Lienhypertexte"/>
          </w:rPr>
          <w:t>https://numerique.banq.qc.ca/patrimoine/details/52327/5072185</w:t>
        </w:r>
      </w:hyperlink>
    </w:p>
  </w:footnote>
  <w:footnote w:id="117">
    <w:p w14:paraId="3661D31C" w14:textId="617E1D9F" w:rsidR="0052060B" w:rsidRPr="00561F65" w:rsidRDefault="00A57F37" w:rsidP="004E4354">
      <w:pPr>
        <w:pStyle w:val="NotesBasPage"/>
      </w:pPr>
      <w:r w:rsidRPr="00561F65">
        <w:rPr>
          <w:rStyle w:val="Appelnotedebasdep"/>
        </w:rPr>
        <w:footnoteRef/>
      </w:r>
      <w:r w:rsidRPr="00561F65">
        <w:t xml:space="preserve"> </w:t>
      </w:r>
      <w:r w:rsidRPr="00561F65">
        <w:tab/>
      </w:r>
      <w:r w:rsidR="00D858C6" w:rsidRPr="00561F65">
        <w:t>L.</w:t>
      </w:r>
      <w:r w:rsidR="00E328B0">
        <w:t> </w:t>
      </w:r>
      <w:r w:rsidRPr="00561F65">
        <w:rPr>
          <w:smallCaps/>
        </w:rPr>
        <w:t>Chamberland</w:t>
      </w:r>
      <w:r w:rsidRPr="00561F65">
        <w:t>, L., M.</w:t>
      </w:r>
      <w:r w:rsidR="00BC48F0">
        <w:t> </w:t>
      </w:r>
      <w:r w:rsidRPr="00561F65">
        <w:rPr>
          <w:smallCaps/>
        </w:rPr>
        <w:t>Bernier</w:t>
      </w:r>
      <w:r w:rsidRPr="00561F65">
        <w:t>, C.</w:t>
      </w:r>
      <w:r w:rsidR="00E328B0">
        <w:t> </w:t>
      </w:r>
      <w:r w:rsidRPr="00561F65">
        <w:rPr>
          <w:smallCaps/>
        </w:rPr>
        <w:t>Lebreton</w:t>
      </w:r>
      <w:r w:rsidRPr="00561F65">
        <w:t>, G.</w:t>
      </w:r>
      <w:r w:rsidR="00E328B0">
        <w:t> </w:t>
      </w:r>
      <w:r w:rsidRPr="00561F65">
        <w:rPr>
          <w:smallCaps/>
        </w:rPr>
        <w:t>Richard</w:t>
      </w:r>
      <w:r w:rsidRPr="00561F65">
        <w:t xml:space="preserve"> et J.</w:t>
      </w:r>
      <w:r w:rsidR="00E328B0">
        <w:t> </w:t>
      </w:r>
      <w:r w:rsidRPr="00561F65">
        <w:rPr>
          <w:smallCaps/>
        </w:rPr>
        <w:t>Théroux-Séguin</w:t>
      </w:r>
      <w:r w:rsidR="00B456AE"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302C4D" w:rsidRPr="00561F65">
        <w:instrText xml:space="preserve"> \* MERGEFORMAT </w:instrText>
      </w:r>
      <w:r w:rsidR="00B456AE" w:rsidRPr="00561F65">
        <w:fldChar w:fldCharType="separate"/>
      </w:r>
      <w:r w:rsidR="000374E3" w:rsidRPr="00561F65">
        <w:t>46</w:t>
      </w:r>
      <w:r w:rsidR="00B456AE" w:rsidRPr="00561F65">
        <w:fldChar w:fldCharType="end"/>
      </w:r>
      <w:r w:rsidR="00BD6329" w:rsidRPr="00561F65">
        <w:rPr>
          <w:rFonts w:ascii="Arial" w:hAnsi="Arial" w:cs="Arial"/>
        </w:rPr>
        <w:t> </w:t>
      </w:r>
      <w:r w:rsidRPr="00561F65">
        <w:t>;</w:t>
      </w:r>
      <w:r w:rsidR="00EA6BD2" w:rsidRPr="00561F65">
        <w:t xml:space="preserve"> </w:t>
      </w:r>
      <w:r w:rsidR="00DA6B84" w:rsidRPr="00561F65">
        <w:t xml:space="preserve">É. </w:t>
      </w:r>
      <w:r w:rsidR="00DA6B84" w:rsidRPr="00561F65">
        <w:rPr>
          <w:smallCaps/>
        </w:rPr>
        <w:t>Morand</w:t>
      </w:r>
      <w:r w:rsidR="00DA6B84" w:rsidRPr="00561F65">
        <w:t xml:space="preserve">, M. </w:t>
      </w:r>
      <w:r w:rsidR="00DA6B84" w:rsidRPr="00561F65">
        <w:rPr>
          <w:smallCaps/>
        </w:rPr>
        <w:t>Blais</w:t>
      </w:r>
      <w:r w:rsidR="00DA6B84" w:rsidRPr="00561F65">
        <w:t>, I.</w:t>
      </w:r>
      <w:r w:rsidR="00E328B0">
        <w:t> </w:t>
      </w:r>
      <w:r w:rsidR="00DA6B84" w:rsidRPr="00561F65">
        <w:rPr>
          <w:smallCaps/>
        </w:rPr>
        <w:t>Côté</w:t>
      </w:r>
      <w:r w:rsidR="00DA6B84" w:rsidRPr="00561F65">
        <w:t>, L.</w:t>
      </w:r>
      <w:r w:rsidR="00E328B0">
        <w:t> </w:t>
      </w:r>
      <w:r w:rsidR="00DA6B84" w:rsidRPr="00561F65">
        <w:rPr>
          <w:smallCaps/>
        </w:rPr>
        <w:t>Chamberland</w:t>
      </w:r>
      <w:r w:rsidR="00DA6B84" w:rsidRPr="00561F65">
        <w:t>, M.</w:t>
      </w:r>
      <w:r w:rsidR="00BC48F0">
        <w:t> </w:t>
      </w:r>
      <w:r w:rsidR="00DA6B84" w:rsidRPr="00561F65">
        <w:rPr>
          <w:smallCaps/>
        </w:rPr>
        <w:t>Baiocco</w:t>
      </w:r>
      <w:r w:rsidR="00DA6B84" w:rsidRPr="00561F65">
        <w:t xml:space="preserve"> et M.</w:t>
      </w:r>
      <w:r w:rsidR="00BC48F0">
        <w:t> </w:t>
      </w:r>
      <w:r w:rsidR="00DA6B84" w:rsidRPr="00561F65">
        <w:rPr>
          <w:smallCaps/>
        </w:rPr>
        <w:t>Samoilenko</w:t>
      </w:r>
      <w:r w:rsidR="0052060B" w:rsidRPr="00561F65">
        <w:t>.</w:t>
      </w:r>
      <w:r w:rsidRPr="00561F65">
        <w:t xml:space="preserve">, </w:t>
      </w:r>
      <w:proofErr w:type="spellStart"/>
      <w:r w:rsidR="00DA6B84" w:rsidRPr="00561F65">
        <w:t>préc</w:t>
      </w:r>
      <w:proofErr w:type="spellEnd"/>
      <w:r w:rsidR="00DA6B84" w:rsidRPr="00561F65">
        <w:t xml:space="preserve">., note </w:t>
      </w:r>
      <w:r w:rsidR="00DA6B84" w:rsidRPr="00561F65">
        <w:fldChar w:fldCharType="begin"/>
      </w:r>
      <w:r w:rsidR="00DA6B84" w:rsidRPr="00561F65">
        <w:instrText xml:space="preserve"> NOTEREF _Ref216856817 \h </w:instrText>
      </w:r>
      <w:r w:rsidR="007017CF" w:rsidRPr="00561F65">
        <w:instrText xml:space="preserve"> \* MERGEFORMAT </w:instrText>
      </w:r>
      <w:r w:rsidR="00DA6B84" w:rsidRPr="00561F65">
        <w:fldChar w:fldCharType="separate"/>
      </w:r>
      <w:r w:rsidR="000374E3" w:rsidRPr="00561F65">
        <w:t>49</w:t>
      </w:r>
      <w:r w:rsidR="00DA6B84" w:rsidRPr="00561F65">
        <w:fldChar w:fldCharType="end"/>
      </w:r>
      <w:r w:rsidR="00DA6B84" w:rsidRPr="00561F65">
        <w:t>.</w:t>
      </w:r>
    </w:p>
  </w:footnote>
  <w:footnote w:id="118">
    <w:p w14:paraId="32EC2A2E" w14:textId="3760F7C7" w:rsidR="00AF31ED" w:rsidRPr="00561F65" w:rsidRDefault="00A57F37" w:rsidP="004E4354">
      <w:pPr>
        <w:pStyle w:val="NotesBasPage"/>
      </w:pPr>
      <w:r w:rsidRPr="00561F65">
        <w:rPr>
          <w:rStyle w:val="Appelnotedebasdep"/>
        </w:rPr>
        <w:footnoteRef/>
      </w:r>
      <w:r w:rsidRPr="00561F65">
        <w:t xml:space="preserve"> </w:t>
      </w:r>
      <w:r w:rsidRPr="00561F65">
        <w:tab/>
      </w:r>
      <w:r w:rsidR="00EA43AF" w:rsidRPr="004054D1">
        <w:rPr>
          <w:smallCaps/>
        </w:rPr>
        <w:t>Chaire de recherche sur la diversité sexuelle et la pluralité des genres</w:t>
      </w:r>
      <w:r w:rsidR="00EA43AF" w:rsidRPr="00561F65">
        <w:t xml:space="preserve">, </w:t>
      </w:r>
      <w:proofErr w:type="spellStart"/>
      <w:r w:rsidR="00EA43AF" w:rsidRPr="00561F65">
        <w:t>préc</w:t>
      </w:r>
      <w:proofErr w:type="spellEnd"/>
      <w:r w:rsidR="00EA43AF" w:rsidRPr="00561F65">
        <w:t xml:space="preserve">., note </w:t>
      </w:r>
      <w:r w:rsidR="00EA43AF" w:rsidRPr="00561F65">
        <w:fldChar w:fldCharType="begin"/>
      </w:r>
      <w:r w:rsidR="00EA43AF" w:rsidRPr="00561F65">
        <w:instrText xml:space="preserve"> NOTEREF _Ref218500043 \h </w:instrText>
      </w:r>
      <w:r w:rsidR="007017CF" w:rsidRPr="00561F65">
        <w:instrText xml:space="preserve"> \* MERGEFORMAT </w:instrText>
      </w:r>
      <w:r w:rsidR="00EA43AF" w:rsidRPr="00561F65">
        <w:fldChar w:fldCharType="separate"/>
      </w:r>
      <w:r w:rsidR="000374E3" w:rsidRPr="00561F65">
        <w:t>13</w:t>
      </w:r>
      <w:r w:rsidR="00EA43AF" w:rsidRPr="00561F65">
        <w:fldChar w:fldCharType="end"/>
      </w:r>
      <w:r w:rsidR="00DC7CCB" w:rsidRPr="00561F65">
        <w:t xml:space="preserve">. </w:t>
      </w:r>
    </w:p>
  </w:footnote>
  <w:footnote w:id="119">
    <w:p w14:paraId="068A247C" w14:textId="77777777" w:rsidR="00A57F37" w:rsidRPr="00561F65" w:rsidRDefault="00A57F37" w:rsidP="004E4354">
      <w:pPr>
        <w:pStyle w:val="NotesBasPage"/>
      </w:pPr>
      <w:r w:rsidRPr="00561F65">
        <w:rPr>
          <w:rStyle w:val="Appelnotedebasdep"/>
        </w:rPr>
        <w:footnoteRef/>
      </w:r>
      <w:r w:rsidRPr="00561F65">
        <w:t xml:space="preserve"> </w:t>
      </w:r>
      <w:r w:rsidRPr="00561F65">
        <w:tab/>
      </w:r>
      <w:r w:rsidRPr="00561F65">
        <w:rPr>
          <w:i/>
        </w:rPr>
        <w:t>Id</w:t>
      </w:r>
      <w:r w:rsidRPr="00561F65">
        <w:t>.</w:t>
      </w:r>
    </w:p>
  </w:footnote>
  <w:footnote w:id="120">
    <w:p w14:paraId="409BFC09" w14:textId="2721D159" w:rsidR="00DF238C" w:rsidRPr="00561F65" w:rsidRDefault="00DF238C" w:rsidP="004E4354">
      <w:pPr>
        <w:pStyle w:val="NotesBasPage"/>
      </w:pPr>
      <w:r w:rsidRPr="00561F65">
        <w:rPr>
          <w:rStyle w:val="Appelnotedebasdep"/>
        </w:rPr>
        <w:footnoteRef/>
      </w:r>
      <w:r w:rsidRPr="00561F65">
        <w:t xml:space="preserve"> </w:t>
      </w:r>
      <w:r w:rsidRPr="00561F65">
        <w:tab/>
        <w:t>K</w:t>
      </w:r>
      <w:r w:rsidR="00B94DDD" w:rsidRPr="00561F65">
        <w:t>.</w:t>
      </w:r>
      <w:r w:rsidR="00E328B0">
        <w:t> </w:t>
      </w:r>
      <w:r w:rsidRPr="00561F65">
        <w:rPr>
          <w:smallCaps/>
        </w:rPr>
        <w:t>Brennan</w:t>
      </w:r>
      <w:r w:rsidRPr="00561F65">
        <w:t>, C</w:t>
      </w:r>
      <w:r w:rsidR="00B94DDD" w:rsidRPr="00561F65">
        <w:t>.</w:t>
      </w:r>
      <w:r w:rsidR="00E328B0">
        <w:t> </w:t>
      </w:r>
      <w:r w:rsidRPr="00561F65">
        <w:rPr>
          <w:smallCaps/>
        </w:rPr>
        <w:t>Halpenny</w:t>
      </w:r>
      <w:r w:rsidRPr="00561F65">
        <w:t xml:space="preserve"> et B</w:t>
      </w:r>
      <w:r w:rsidR="00B94DDD" w:rsidRPr="00561F65">
        <w:t>.</w:t>
      </w:r>
      <w:r w:rsidR="00E328B0">
        <w:t> </w:t>
      </w:r>
      <w:r w:rsidRPr="00561F65">
        <w:rPr>
          <w:smallCaps/>
        </w:rPr>
        <w:t>Pakula</w:t>
      </w:r>
      <w:r w:rsidRPr="00561F65">
        <w:rPr>
          <w:i/>
        </w:rPr>
        <w:t xml:space="preserve">, </w:t>
      </w:r>
      <w:proofErr w:type="spellStart"/>
      <w:r w:rsidR="00B94DDD" w:rsidRPr="00561F65">
        <w:t>préc</w:t>
      </w:r>
      <w:proofErr w:type="spellEnd"/>
      <w:r w:rsidR="00B94DDD" w:rsidRPr="00561F65">
        <w:t>., note</w:t>
      </w:r>
      <w:r w:rsidR="00B94DDD" w:rsidRPr="00561F65">
        <w:rPr>
          <w:i/>
        </w:rPr>
        <w:t xml:space="preserve"> </w:t>
      </w:r>
      <w:r w:rsidR="00B94DDD" w:rsidRPr="00561F65">
        <w:fldChar w:fldCharType="begin"/>
      </w:r>
      <w:r w:rsidR="00B94DDD" w:rsidRPr="00561F65">
        <w:instrText xml:space="preserve"> NOTEREF _Ref219211343 \h  \* MERGEFORMAT </w:instrText>
      </w:r>
      <w:r w:rsidR="00B94DDD" w:rsidRPr="00561F65">
        <w:fldChar w:fldCharType="separate"/>
      </w:r>
      <w:r w:rsidR="000374E3" w:rsidRPr="00561F65">
        <w:t>102</w:t>
      </w:r>
      <w:r w:rsidR="00B94DDD" w:rsidRPr="00561F65">
        <w:fldChar w:fldCharType="end"/>
      </w:r>
      <w:r w:rsidR="00B94DDD" w:rsidRPr="00561F65">
        <w:t>.</w:t>
      </w:r>
    </w:p>
  </w:footnote>
  <w:footnote w:id="121">
    <w:p w14:paraId="3B20B059" w14:textId="42117FED" w:rsidR="00DF238C" w:rsidRPr="00561F65" w:rsidRDefault="00DF238C" w:rsidP="004E4354">
      <w:pPr>
        <w:pStyle w:val="NotesBasPage"/>
      </w:pPr>
      <w:r w:rsidRPr="00561F65">
        <w:rPr>
          <w:rStyle w:val="Appelnotedebasdep"/>
        </w:rPr>
        <w:footnoteRef/>
      </w:r>
      <w:r w:rsidRPr="00561F65">
        <w:t xml:space="preserve"> </w:t>
      </w:r>
      <w:r w:rsidRPr="00561F65">
        <w:tab/>
      </w:r>
      <w:r w:rsidRPr="00561F65">
        <w:rPr>
          <w:i/>
        </w:rPr>
        <w:t>Id</w:t>
      </w:r>
      <w:r w:rsidRPr="00561F65">
        <w:t>., p.</w:t>
      </w:r>
      <w:r w:rsidR="005C5B01" w:rsidRPr="00561F65">
        <w:t> </w:t>
      </w:r>
      <w:r w:rsidRPr="00561F65">
        <w:t>46-48.</w:t>
      </w:r>
    </w:p>
  </w:footnote>
  <w:footnote w:id="122">
    <w:p w14:paraId="2F37A882" w14:textId="79F7C625" w:rsidR="001452DD" w:rsidRPr="00561F65" w:rsidRDefault="00DF238C" w:rsidP="004E4354">
      <w:pPr>
        <w:pStyle w:val="NotesBasPage"/>
      </w:pPr>
      <w:r w:rsidRPr="00561F65">
        <w:rPr>
          <w:rStyle w:val="Appelnotedebasdep"/>
        </w:rPr>
        <w:footnoteRef/>
      </w:r>
      <w:r w:rsidRPr="00561F65">
        <w:t xml:space="preserve"> </w:t>
      </w:r>
      <w:r w:rsidRPr="00561F65">
        <w:tab/>
      </w:r>
      <w:r w:rsidR="009A0E7D" w:rsidRPr="00561F65">
        <w:rPr>
          <w:i/>
        </w:rPr>
        <w:t>Id</w:t>
      </w:r>
      <w:r w:rsidR="009A0E7D" w:rsidRPr="00561F65">
        <w:t>.</w:t>
      </w:r>
      <w:r w:rsidR="005C293F" w:rsidRPr="00561F65">
        <w:rPr>
          <w:rFonts w:ascii="Arial" w:hAnsi="Arial" w:cs="Arial"/>
        </w:rPr>
        <w:t> </w:t>
      </w:r>
      <w:r w:rsidR="00DC7CCB" w:rsidRPr="00561F65">
        <w:t>;</w:t>
      </w:r>
      <w:r w:rsidRPr="00561F65">
        <w:t xml:space="preserve"> B</w:t>
      </w:r>
      <w:r w:rsidR="00F13C19" w:rsidRPr="00561F65">
        <w:t>.</w:t>
      </w:r>
      <w:r w:rsidR="00E328B0">
        <w:t> </w:t>
      </w:r>
      <w:r w:rsidRPr="00561F65">
        <w:rPr>
          <w:smallCaps/>
        </w:rPr>
        <w:t>Jaffray</w:t>
      </w:r>
      <w:r w:rsidRPr="00561F65">
        <w:t xml:space="preserve">, </w:t>
      </w:r>
      <w:proofErr w:type="spellStart"/>
      <w:r w:rsidR="00F13C19" w:rsidRPr="00561F65">
        <w:t>préc</w:t>
      </w:r>
      <w:proofErr w:type="spellEnd"/>
      <w:r w:rsidR="00F13C19" w:rsidRPr="00561F65">
        <w:t xml:space="preserve">., note </w:t>
      </w:r>
      <w:r w:rsidR="00F13C19" w:rsidRPr="00561F65">
        <w:fldChar w:fldCharType="begin"/>
      </w:r>
      <w:r w:rsidR="00F13C19" w:rsidRPr="00561F65">
        <w:instrText xml:space="preserve"> NOTEREF _Ref219712614 \h </w:instrText>
      </w:r>
      <w:r w:rsidR="007017CF" w:rsidRPr="00561F65">
        <w:instrText xml:space="preserve"> \* MERGEFORMAT </w:instrText>
      </w:r>
      <w:r w:rsidR="00F13C19" w:rsidRPr="00561F65">
        <w:fldChar w:fldCharType="separate"/>
      </w:r>
      <w:r w:rsidR="000374E3" w:rsidRPr="00561F65">
        <w:t>109</w:t>
      </w:r>
      <w:r w:rsidR="00F13C19" w:rsidRPr="00561F65">
        <w:fldChar w:fldCharType="end"/>
      </w:r>
      <w:r w:rsidR="005C293F" w:rsidRPr="00561F65">
        <w:rPr>
          <w:rFonts w:ascii="Arial" w:hAnsi="Arial" w:cs="Arial"/>
        </w:rPr>
        <w:t> </w:t>
      </w:r>
      <w:r w:rsidR="00F13C19" w:rsidRPr="00561F65">
        <w:t>;</w:t>
      </w:r>
      <w:r w:rsidRPr="00561F65">
        <w:t xml:space="preserve"> </w:t>
      </w:r>
      <w:r w:rsidRPr="00561F65">
        <w:rPr>
          <w:smallCaps/>
        </w:rPr>
        <w:t>Statistique Canada</w:t>
      </w:r>
      <w:r w:rsidRPr="00561F65">
        <w:t xml:space="preserve">, </w:t>
      </w:r>
      <w:r w:rsidRPr="00663732">
        <w:rPr>
          <w:i/>
          <w:iCs/>
        </w:rPr>
        <w:t>Caractéristiques du travail et caractéristiques économiques des personnes lesbiennes, gaies et bisexuelles au Canada</w:t>
      </w:r>
      <w:r w:rsidRPr="00561F65">
        <w:t>, 4</w:t>
      </w:r>
      <w:r w:rsidR="00937C69" w:rsidRPr="00561F65">
        <w:t> </w:t>
      </w:r>
      <w:r w:rsidRPr="00561F65">
        <w:t>octobre 2022, [En ligne].</w:t>
      </w:r>
      <w:r w:rsidR="0009056C" w:rsidRPr="0009056C">
        <w:t xml:space="preserve"> </w:t>
      </w:r>
      <w:hyperlink r:id="rId86" w:history="1">
        <w:r w:rsidR="0009056C" w:rsidRPr="007912CF">
          <w:rPr>
            <w:rStyle w:val="Lienhypertexte"/>
          </w:rPr>
          <w:t>https://www150.statcan.gc.ca/n1/pub/89-28-0001/2022001/article/00003-fra.htm</w:t>
        </w:r>
      </w:hyperlink>
      <w:r w:rsidR="00F21382">
        <w:rPr>
          <w:rFonts w:ascii="Arial" w:hAnsi="Arial" w:cs="Arial"/>
        </w:rPr>
        <w:t> </w:t>
      </w:r>
      <w:r w:rsidRPr="00561F65">
        <w:t xml:space="preserve">; </w:t>
      </w:r>
      <w:r w:rsidRPr="00561F65">
        <w:rPr>
          <w:smallCaps/>
        </w:rPr>
        <w:t>J.</w:t>
      </w:r>
      <w:r w:rsidR="00E328B0">
        <w:rPr>
          <w:smallCaps/>
        </w:rPr>
        <w:t> </w:t>
      </w:r>
      <w:r w:rsidRPr="00561F65">
        <w:rPr>
          <w:smallCaps/>
        </w:rPr>
        <w:t>Navarro, F.</w:t>
      </w:r>
      <w:r w:rsidR="00E328B0">
        <w:rPr>
          <w:smallCaps/>
        </w:rPr>
        <w:t> </w:t>
      </w:r>
      <w:r w:rsidRPr="00561F65">
        <w:rPr>
          <w:smallCaps/>
        </w:rPr>
        <w:t>Johnstone, J. Temple Newhook, M.</w:t>
      </w:r>
      <w:r w:rsidR="00421E33" w:rsidRPr="00561F65">
        <w:rPr>
          <w:smallCaps/>
        </w:rPr>
        <w:t> </w:t>
      </w:r>
      <w:r w:rsidRPr="00561F65">
        <w:rPr>
          <w:smallCaps/>
        </w:rPr>
        <w:t>Smith, j Wallace Skelton, K.</w:t>
      </w:r>
      <w:r w:rsidR="00E328B0">
        <w:rPr>
          <w:smallCaps/>
        </w:rPr>
        <w:t> </w:t>
      </w:r>
      <w:r w:rsidRPr="00561F65">
        <w:rPr>
          <w:smallCaps/>
        </w:rPr>
        <w:t>Prempeh, L.</w:t>
      </w:r>
      <w:r w:rsidR="00E328B0">
        <w:rPr>
          <w:smallCaps/>
        </w:rPr>
        <w:t> </w:t>
      </w:r>
      <w:r w:rsidRPr="00561F65">
        <w:rPr>
          <w:smallCaps/>
        </w:rPr>
        <w:t>S., C.</w:t>
      </w:r>
      <w:r w:rsidR="00E328B0">
        <w:rPr>
          <w:smallCaps/>
        </w:rPr>
        <w:t> </w:t>
      </w:r>
      <w:r w:rsidRPr="00561F65">
        <w:rPr>
          <w:smallCaps/>
        </w:rPr>
        <w:t>Lopez, A.</w:t>
      </w:r>
      <w:r w:rsidR="00E328B0">
        <w:rPr>
          <w:smallCaps/>
        </w:rPr>
        <w:t> </w:t>
      </w:r>
      <w:r w:rsidRPr="00561F65">
        <w:rPr>
          <w:smallCaps/>
        </w:rPr>
        <w:t>Scheim, G.</w:t>
      </w:r>
      <w:r w:rsidR="00E328B0">
        <w:rPr>
          <w:smallCaps/>
        </w:rPr>
        <w:t> </w:t>
      </w:r>
      <w:r w:rsidRPr="00561F65">
        <w:rPr>
          <w:smallCaps/>
        </w:rPr>
        <w:t xml:space="preserve">Bauer, au nom de l’équipe Trans PULSE Canada. </w:t>
      </w:r>
      <w:r w:rsidR="00E42083" w:rsidRPr="00E42083">
        <w:rPr>
          <w:i/>
          <w:iCs/>
        </w:rPr>
        <w:t>Rapport</w:t>
      </w:r>
      <w:r w:rsidR="00E42083">
        <w:rPr>
          <w:i/>
          <w:iCs/>
        </w:rPr>
        <w:t xml:space="preserve"> - </w:t>
      </w:r>
      <w:r w:rsidRPr="00561F65">
        <w:rPr>
          <w:i/>
        </w:rPr>
        <w:t>Santé et bien-être chez les jeunes trans et non binaires</w:t>
      </w:r>
      <w:r w:rsidRPr="00561F65">
        <w:rPr>
          <w:smallCaps/>
        </w:rPr>
        <w:t>, 2021, [</w:t>
      </w:r>
      <w:r w:rsidRPr="00561F65">
        <w:t xml:space="preserve">En ligne]. </w:t>
      </w:r>
      <w:hyperlink r:id="rId87" w:history="1">
        <w:r w:rsidR="001452DD" w:rsidRPr="007912CF">
          <w:rPr>
            <w:rStyle w:val="Lienhypertexte"/>
          </w:rPr>
          <w:t>https://transpulsecanada.ca/fr/results/rapport-sante-et-bien-etre-chez-les-jeunes-trans-et-non-binaires/</w:t>
        </w:r>
      </w:hyperlink>
    </w:p>
  </w:footnote>
  <w:footnote w:id="123">
    <w:p w14:paraId="3556C966" w14:textId="189D445E" w:rsidR="00DF238C" w:rsidRPr="00561F65" w:rsidRDefault="00DF238C" w:rsidP="004E4354">
      <w:pPr>
        <w:pStyle w:val="NotesBasPage"/>
        <w:rPr>
          <w:lang w:val="en-CA"/>
        </w:rPr>
      </w:pPr>
      <w:r w:rsidRPr="00561F65">
        <w:rPr>
          <w:rStyle w:val="Appelnotedebasdep"/>
        </w:rPr>
        <w:footnoteRef/>
      </w:r>
      <w:r w:rsidRPr="00561F65">
        <w:rPr>
          <w:lang w:val="en-CA"/>
        </w:rPr>
        <w:t xml:space="preserve"> </w:t>
      </w:r>
      <w:r w:rsidRPr="00561F65">
        <w:rPr>
          <w:lang w:val="en-CA"/>
        </w:rPr>
        <w:tab/>
        <w:t>K</w:t>
      </w:r>
      <w:r w:rsidR="001C7AE4" w:rsidRPr="00561F65">
        <w:rPr>
          <w:lang w:val="en-CA"/>
        </w:rPr>
        <w:t>.</w:t>
      </w:r>
      <w:r w:rsidR="00E328B0">
        <w:rPr>
          <w:lang w:val="en-CA"/>
        </w:rPr>
        <w:t> </w:t>
      </w:r>
      <w:r w:rsidRPr="00561F65">
        <w:rPr>
          <w:smallCaps/>
          <w:lang w:val="en-CA"/>
        </w:rPr>
        <w:t>Brennan</w:t>
      </w:r>
      <w:r w:rsidRPr="00561F65">
        <w:rPr>
          <w:lang w:val="en-CA"/>
        </w:rPr>
        <w:t>, C</w:t>
      </w:r>
      <w:r w:rsidR="001C7AE4" w:rsidRPr="00561F65">
        <w:rPr>
          <w:lang w:val="en-CA"/>
        </w:rPr>
        <w:t>.</w:t>
      </w:r>
      <w:r w:rsidR="00E328B0">
        <w:rPr>
          <w:lang w:val="en-CA"/>
        </w:rPr>
        <w:t> </w:t>
      </w:r>
      <w:r w:rsidRPr="00561F65">
        <w:rPr>
          <w:smallCaps/>
          <w:lang w:val="en-CA"/>
        </w:rPr>
        <w:t>Halpenny</w:t>
      </w:r>
      <w:r w:rsidRPr="00561F65">
        <w:rPr>
          <w:lang w:val="en-CA"/>
        </w:rPr>
        <w:t xml:space="preserve"> et B</w:t>
      </w:r>
      <w:r w:rsidR="001C7AE4" w:rsidRPr="00561F65">
        <w:rPr>
          <w:lang w:val="en-CA"/>
        </w:rPr>
        <w:t>.</w:t>
      </w:r>
      <w:r w:rsidR="00E328B0">
        <w:rPr>
          <w:lang w:val="en-CA"/>
        </w:rPr>
        <w:t> </w:t>
      </w:r>
      <w:r w:rsidRPr="00561F65">
        <w:rPr>
          <w:smallCaps/>
          <w:lang w:val="en-CA"/>
        </w:rPr>
        <w:t>Pakula</w:t>
      </w:r>
      <w:r w:rsidRPr="00561F65">
        <w:rPr>
          <w:lang w:val="en-CA"/>
        </w:rPr>
        <w:t xml:space="preserve">, </w:t>
      </w:r>
      <w:proofErr w:type="spellStart"/>
      <w:r w:rsidR="001C7AE4" w:rsidRPr="00561F65">
        <w:rPr>
          <w:lang w:val="en-CA"/>
        </w:rPr>
        <w:t>préc</w:t>
      </w:r>
      <w:proofErr w:type="spellEnd"/>
      <w:r w:rsidR="001C7AE4" w:rsidRPr="00561F65">
        <w:rPr>
          <w:lang w:val="en-CA"/>
        </w:rPr>
        <w:t xml:space="preserve">., note </w:t>
      </w:r>
      <w:r w:rsidR="001C7AE4" w:rsidRPr="00561F65">
        <w:fldChar w:fldCharType="begin"/>
      </w:r>
      <w:r w:rsidR="001C7AE4" w:rsidRPr="00561F65">
        <w:rPr>
          <w:lang w:val="en-CA"/>
        </w:rPr>
        <w:instrText xml:space="preserve"> NOTEREF _Ref219211343 \h </w:instrText>
      </w:r>
      <w:r w:rsidR="007017CF" w:rsidRPr="00561F65">
        <w:rPr>
          <w:lang w:val="en-CA"/>
        </w:rPr>
        <w:instrText xml:space="preserve"> \* MERGEFORMAT </w:instrText>
      </w:r>
      <w:r w:rsidR="001C7AE4" w:rsidRPr="00561F65">
        <w:fldChar w:fldCharType="separate"/>
      </w:r>
      <w:r w:rsidR="000374E3" w:rsidRPr="00561F65">
        <w:rPr>
          <w:lang w:val="en-CA"/>
        </w:rPr>
        <w:t>102</w:t>
      </w:r>
      <w:r w:rsidR="001C7AE4" w:rsidRPr="00561F65">
        <w:fldChar w:fldCharType="end"/>
      </w:r>
      <w:r w:rsidR="005C293F" w:rsidRPr="00561F65">
        <w:rPr>
          <w:rFonts w:ascii="Arial" w:hAnsi="Arial" w:cs="Arial"/>
          <w:lang w:val="en-CA"/>
        </w:rPr>
        <w:t> </w:t>
      </w:r>
      <w:r w:rsidR="001C7AE4" w:rsidRPr="00561F65">
        <w:rPr>
          <w:lang w:val="en-CA"/>
        </w:rPr>
        <w:t xml:space="preserve">; </w:t>
      </w:r>
      <w:r w:rsidR="00AD4035" w:rsidRPr="00561F65">
        <w:rPr>
          <w:lang w:val="en-CA"/>
        </w:rPr>
        <w:t>Margaret S</w:t>
      </w:r>
      <w:r w:rsidR="00135B4F">
        <w:rPr>
          <w:lang w:val="en-CA"/>
        </w:rPr>
        <w:t> </w:t>
      </w:r>
      <w:r w:rsidRPr="00561F65">
        <w:rPr>
          <w:smallCaps/>
          <w:lang w:val="en-CA"/>
        </w:rPr>
        <w:t>Schneider</w:t>
      </w:r>
      <w:r w:rsidRPr="00561F65">
        <w:rPr>
          <w:lang w:val="en-CA"/>
        </w:rPr>
        <w:t xml:space="preserve"> &amp; Anne </w:t>
      </w:r>
      <w:r w:rsidRPr="00561F65">
        <w:rPr>
          <w:smallCaps/>
          <w:lang w:val="en-CA"/>
        </w:rPr>
        <w:t>Dimito</w:t>
      </w:r>
      <w:r w:rsidRPr="00561F65">
        <w:rPr>
          <w:lang w:val="en-CA"/>
        </w:rPr>
        <w:t>, « Factors influencing the career and academic choices of lesbian, gay, bisexual, and transgender people » (2010) 57:10 Journal of Homosexuality</w:t>
      </w:r>
      <w:r w:rsidR="00AB1B44">
        <w:rPr>
          <w:lang w:val="en-CA"/>
        </w:rPr>
        <w:t> </w:t>
      </w:r>
      <w:r w:rsidRPr="00561F65">
        <w:rPr>
          <w:lang w:val="en-CA"/>
        </w:rPr>
        <w:t>1355</w:t>
      </w:r>
      <w:r w:rsidRPr="00561F65">
        <w:rPr>
          <w:lang w:val="en-CA"/>
        </w:rPr>
        <w:noBreakHyphen/>
        <w:t xml:space="preserve">1369; Wright, Tessa, « A “lesbian advantage”? » (2011) 30:8 </w:t>
      </w:r>
      <w:r w:rsidRPr="001452DD">
        <w:rPr>
          <w:i/>
          <w:iCs/>
          <w:lang w:val="en-CA"/>
        </w:rPr>
        <w:t>Equality, Diversity and Inclusion</w:t>
      </w:r>
      <w:r w:rsidRPr="00561F65">
        <w:rPr>
          <w:lang w:val="en-CA"/>
        </w:rPr>
        <w:t>: An International Journal</w:t>
      </w:r>
      <w:r w:rsidR="00AB1B44">
        <w:rPr>
          <w:lang w:val="en-CA"/>
        </w:rPr>
        <w:t> </w:t>
      </w:r>
      <w:r w:rsidRPr="00561F65">
        <w:rPr>
          <w:lang w:val="en-CA"/>
        </w:rPr>
        <w:t>686</w:t>
      </w:r>
      <w:r w:rsidRPr="00561F65">
        <w:rPr>
          <w:rFonts w:ascii="Cambria Math" w:hAnsi="Cambria Math" w:cs="Cambria Math"/>
          <w:lang w:val="en-CA"/>
        </w:rPr>
        <w:t>‑</w:t>
      </w:r>
      <w:r w:rsidRPr="00561F65">
        <w:rPr>
          <w:lang w:val="en-CA"/>
        </w:rPr>
        <w:t xml:space="preserve">701 </w:t>
      </w:r>
    </w:p>
  </w:footnote>
  <w:footnote w:id="124">
    <w:p w14:paraId="5D791F33" w14:textId="77777777" w:rsidR="00DF238C" w:rsidRPr="00561F65" w:rsidRDefault="00DF238C"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Pr="00561F65">
        <w:rPr>
          <w:i/>
          <w:lang w:val="en-CA"/>
        </w:rPr>
        <w:t>Id.</w:t>
      </w:r>
      <w:r w:rsidRPr="00561F65">
        <w:rPr>
          <w:lang w:val="en-CA"/>
        </w:rPr>
        <w:t xml:space="preserve"> </w:t>
      </w:r>
    </w:p>
  </w:footnote>
  <w:footnote w:id="125">
    <w:p w14:paraId="0AAEDCDE" w14:textId="1B4413B1" w:rsidR="00DF238C" w:rsidRPr="003041B3" w:rsidRDefault="00DF238C" w:rsidP="004E4354">
      <w:pPr>
        <w:pStyle w:val="NotesBasPage"/>
      </w:pPr>
      <w:r w:rsidRPr="00561F65">
        <w:rPr>
          <w:rStyle w:val="Appelnotedebasdep"/>
        </w:rPr>
        <w:footnoteRef/>
      </w:r>
      <w:r w:rsidRPr="003041B3">
        <w:t xml:space="preserve"> </w:t>
      </w:r>
      <w:r w:rsidRPr="003041B3">
        <w:tab/>
        <w:t>K</w:t>
      </w:r>
      <w:r w:rsidR="007929DD" w:rsidRPr="003041B3">
        <w:t>.</w:t>
      </w:r>
      <w:r w:rsidR="00E328B0" w:rsidRPr="003041B3">
        <w:t> </w:t>
      </w:r>
      <w:r w:rsidRPr="003041B3">
        <w:rPr>
          <w:smallCaps/>
        </w:rPr>
        <w:t>Brennan</w:t>
      </w:r>
      <w:r w:rsidRPr="003041B3">
        <w:t>, C</w:t>
      </w:r>
      <w:r w:rsidR="007929DD" w:rsidRPr="003041B3">
        <w:t>.</w:t>
      </w:r>
      <w:r w:rsidR="00E328B0" w:rsidRPr="003041B3">
        <w:t> </w:t>
      </w:r>
      <w:r w:rsidRPr="003041B3">
        <w:rPr>
          <w:smallCaps/>
        </w:rPr>
        <w:t>Halpenny</w:t>
      </w:r>
      <w:r w:rsidRPr="003041B3">
        <w:t xml:space="preserve"> et B</w:t>
      </w:r>
      <w:r w:rsidR="007929DD" w:rsidRPr="003041B3">
        <w:t>.</w:t>
      </w:r>
      <w:r w:rsidR="00E328B0" w:rsidRPr="003041B3">
        <w:t> </w:t>
      </w:r>
      <w:r w:rsidRPr="003041B3">
        <w:rPr>
          <w:smallCaps/>
        </w:rPr>
        <w:t>Pakula</w:t>
      </w:r>
      <w:r w:rsidRPr="003041B3">
        <w:t xml:space="preserve">, </w:t>
      </w:r>
      <w:r w:rsidR="00FF3379" w:rsidRPr="003041B3">
        <w:t xml:space="preserve">préc., note </w:t>
      </w:r>
      <w:r w:rsidR="00FF3379" w:rsidRPr="00561F65">
        <w:fldChar w:fldCharType="begin"/>
      </w:r>
      <w:r w:rsidR="00FF3379" w:rsidRPr="003041B3">
        <w:instrText xml:space="preserve"> NOTEREF _Ref218498381 \h  \* MERGEFORMAT </w:instrText>
      </w:r>
      <w:r w:rsidR="00FF3379" w:rsidRPr="00561F65">
        <w:fldChar w:fldCharType="separate"/>
      </w:r>
      <w:r w:rsidR="000374E3" w:rsidRPr="003041B3">
        <w:t>122</w:t>
      </w:r>
      <w:r w:rsidR="00FF3379" w:rsidRPr="00561F65">
        <w:fldChar w:fldCharType="end"/>
      </w:r>
      <w:r w:rsidR="007929DD" w:rsidRPr="003041B3">
        <w:rPr>
          <w:i/>
        </w:rPr>
        <w:t>.</w:t>
      </w:r>
    </w:p>
  </w:footnote>
  <w:footnote w:id="126">
    <w:p w14:paraId="2EB63C3C" w14:textId="2D1B2119" w:rsidR="00B63D7B" w:rsidRPr="006D7CBF" w:rsidRDefault="00DF238C" w:rsidP="004E4354">
      <w:pPr>
        <w:pStyle w:val="NotesBasPage"/>
        <w:rPr>
          <w:lang w:val="en-CA"/>
        </w:rPr>
      </w:pPr>
      <w:r w:rsidRPr="00561F65">
        <w:rPr>
          <w:rStyle w:val="Appelnotedebasdep"/>
        </w:rPr>
        <w:footnoteRef/>
      </w:r>
      <w:r w:rsidRPr="00C44ED8">
        <w:rPr>
          <w:lang w:val="en-CA"/>
        </w:rPr>
        <w:t xml:space="preserve"> </w:t>
      </w:r>
      <w:r w:rsidRPr="00C44ED8">
        <w:rPr>
          <w:lang w:val="en-CA"/>
        </w:rPr>
        <w:tab/>
      </w:r>
      <w:proofErr w:type="spellStart"/>
      <w:r w:rsidRPr="00C44ED8">
        <w:rPr>
          <w:smallCaps/>
          <w:lang w:val="en-CA"/>
        </w:rPr>
        <w:t>Statistique</w:t>
      </w:r>
      <w:proofErr w:type="spellEnd"/>
      <w:r w:rsidRPr="00C44ED8">
        <w:rPr>
          <w:smallCaps/>
          <w:lang w:val="en-CA"/>
        </w:rPr>
        <w:t xml:space="preserve"> Canada</w:t>
      </w:r>
      <w:r w:rsidRPr="00C44ED8">
        <w:rPr>
          <w:lang w:val="en-CA"/>
        </w:rPr>
        <w:t xml:space="preserve">, </w:t>
      </w:r>
      <w:proofErr w:type="spellStart"/>
      <w:r w:rsidR="006E7ACB" w:rsidRPr="00C44ED8">
        <w:rPr>
          <w:lang w:val="en-CA"/>
        </w:rPr>
        <w:t>préc</w:t>
      </w:r>
      <w:proofErr w:type="spellEnd"/>
      <w:r w:rsidR="006E7ACB" w:rsidRPr="00C44ED8">
        <w:rPr>
          <w:lang w:val="en-CA"/>
        </w:rPr>
        <w:t xml:space="preserve">., note </w:t>
      </w:r>
      <w:r w:rsidR="006E7ACB" w:rsidRPr="006E7ACB">
        <w:fldChar w:fldCharType="begin"/>
      </w:r>
      <w:r w:rsidR="006E7ACB" w:rsidRPr="00C44ED8">
        <w:rPr>
          <w:lang w:val="en-CA"/>
        </w:rPr>
        <w:instrText xml:space="preserve"> NOTEREF _Ref229144645 \h  \* MERGEFORMAT </w:instrText>
      </w:r>
      <w:r w:rsidR="006E7ACB" w:rsidRPr="006E7ACB">
        <w:fldChar w:fldCharType="separate"/>
      </w:r>
      <w:r w:rsidR="006E7ACB" w:rsidRPr="00C44ED8">
        <w:rPr>
          <w:lang w:val="en-CA"/>
        </w:rPr>
        <w:t>121</w:t>
      </w:r>
      <w:r w:rsidR="006E7ACB" w:rsidRPr="006E7ACB">
        <w:fldChar w:fldCharType="end"/>
      </w:r>
      <w:r w:rsidR="006E7ACB" w:rsidRPr="00C44ED8">
        <w:rPr>
          <w:lang w:val="en-CA"/>
        </w:rPr>
        <w:t>.</w:t>
      </w:r>
    </w:p>
  </w:footnote>
  <w:footnote w:id="127">
    <w:p w14:paraId="5468D880" w14:textId="16BA7061" w:rsidR="0009502F" w:rsidRPr="00B63D7B" w:rsidRDefault="00BA797E" w:rsidP="004E4354">
      <w:pPr>
        <w:pStyle w:val="NotesBasPage"/>
        <w:rPr>
          <w:lang w:val="en-CA"/>
        </w:rPr>
      </w:pPr>
      <w:r w:rsidRPr="00561F65">
        <w:rPr>
          <w:rStyle w:val="Appelnotedebasdep"/>
          <w:sz w:val="20"/>
          <w:szCs w:val="20"/>
        </w:rPr>
        <w:footnoteRef/>
      </w:r>
      <w:r w:rsidR="0009502F" w:rsidRPr="00561F65">
        <w:rPr>
          <w:lang w:val="en-CA"/>
        </w:rPr>
        <w:t xml:space="preserve"> </w:t>
      </w:r>
      <w:r w:rsidR="0009502F" w:rsidRPr="00561F65">
        <w:rPr>
          <w:lang w:val="en-CA"/>
        </w:rPr>
        <w:tab/>
        <w:t xml:space="preserve">Audrey </w:t>
      </w:r>
      <w:r w:rsidR="0009502F" w:rsidRPr="00561F65">
        <w:rPr>
          <w:smallCaps/>
          <w:lang w:val="en-CA"/>
        </w:rPr>
        <w:t>Appiah</w:t>
      </w:r>
      <w:r w:rsidR="0009502F" w:rsidRPr="00561F65">
        <w:rPr>
          <w:lang w:val="en-CA"/>
        </w:rPr>
        <w:t xml:space="preserve">, Kelsey </w:t>
      </w:r>
      <w:r w:rsidR="0009502F" w:rsidRPr="00561F65">
        <w:rPr>
          <w:smallCaps/>
          <w:lang w:val="en-CA"/>
        </w:rPr>
        <w:t>Brennan</w:t>
      </w:r>
      <w:r w:rsidR="0009502F" w:rsidRPr="00561F65">
        <w:rPr>
          <w:lang w:val="en-CA"/>
        </w:rPr>
        <w:t xml:space="preserve">, Chloe </w:t>
      </w:r>
      <w:r w:rsidR="0009502F" w:rsidRPr="00561F65">
        <w:rPr>
          <w:smallCaps/>
          <w:lang w:val="en-CA"/>
        </w:rPr>
        <w:t>Halpenny</w:t>
      </w:r>
      <w:r w:rsidR="0009502F" w:rsidRPr="00561F65">
        <w:rPr>
          <w:lang w:val="en-CA"/>
        </w:rPr>
        <w:t xml:space="preserve">, Basia </w:t>
      </w:r>
      <w:r w:rsidR="0009502F" w:rsidRPr="00561F65">
        <w:rPr>
          <w:smallCaps/>
          <w:lang w:val="en-CA"/>
        </w:rPr>
        <w:t>Pakula</w:t>
      </w:r>
      <w:r w:rsidR="0009502F" w:rsidRPr="00561F65">
        <w:rPr>
          <w:lang w:val="en-CA"/>
        </w:rPr>
        <w:t xml:space="preserve"> et Sean </w:t>
      </w:r>
      <w:r w:rsidR="0009502F" w:rsidRPr="00561F65">
        <w:rPr>
          <w:smallCaps/>
          <w:lang w:val="en-CA"/>
        </w:rPr>
        <w:t>Waite</w:t>
      </w:r>
      <w:r w:rsidR="0009502F" w:rsidRPr="00561F65">
        <w:rPr>
          <w:lang w:val="en-CA"/>
        </w:rPr>
        <w:t xml:space="preserve">, </w:t>
      </w:r>
      <w:r w:rsidR="00C44ED8">
        <w:rPr>
          <w:lang w:val="en-CA"/>
        </w:rPr>
        <w:t>«</w:t>
      </w:r>
      <w:r w:rsidR="00C44ED8">
        <w:rPr>
          <w:rFonts w:ascii="Arial" w:hAnsi="Arial" w:cs="Arial"/>
          <w:lang w:val="en-CA"/>
        </w:rPr>
        <w:t> </w:t>
      </w:r>
      <w:r w:rsidR="0009502F" w:rsidRPr="00561F65">
        <w:rPr>
          <w:lang w:val="en-CA"/>
        </w:rPr>
        <w:t>Building the evidence base about economic, health, and social inequities faced by LGBTQ2S+ individuals in Canada: Phase 2 Final Report</w:t>
      </w:r>
      <w:r w:rsidR="00C44ED8">
        <w:rPr>
          <w:rFonts w:ascii="Arial" w:hAnsi="Arial" w:cs="Arial"/>
          <w:lang w:val="en-CA"/>
        </w:rPr>
        <w:t> </w:t>
      </w:r>
      <w:r w:rsidR="00C44ED8">
        <w:rPr>
          <w:rFonts w:ascii="Walbaum Heading" w:hAnsi="Walbaum Heading"/>
          <w:lang w:val="en-CA"/>
        </w:rPr>
        <w:t>»</w:t>
      </w:r>
      <w:r w:rsidR="0009502F" w:rsidRPr="00561F65">
        <w:rPr>
          <w:lang w:val="en-CA"/>
        </w:rPr>
        <w:t>, 2021,</w:t>
      </w:r>
      <w:r w:rsidR="004D4A3C" w:rsidRPr="00561F65">
        <w:rPr>
          <w:lang w:val="en-CA"/>
        </w:rPr>
        <w:t xml:space="preserve"> Social Research and Demonstration Corporation</w:t>
      </w:r>
      <w:r w:rsidR="003F6F19" w:rsidRPr="00561F65">
        <w:rPr>
          <w:lang w:val="en-CA"/>
        </w:rPr>
        <w:t xml:space="preserve"> </w:t>
      </w:r>
      <w:r w:rsidR="004D4A3C" w:rsidRPr="00561F65">
        <w:rPr>
          <w:lang w:val="en-CA"/>
        </w:rPr>
        <w:t>(SRDC)</w:t>
      </w:r>
      <w:r w:rsidR="0009502F" w:rsidRPr="00561F65">
        <w:rPr>
          <w:lang w:val="en-CA"/>
        </w:rPr>
        <w:t xml:space="preserve"> [En </w:t>
      </w:r>
      <w:proofErr w:type="spellStart"/>
      <w:r w:rsidR="0009502F" w:rsidRPr="00561F65">
        <w:rPr>
          <w:lang w:val="en-CA"/>
        </w:rPr>
        <w:t>ligne</w:t>
      </w:r>
      <w:proofErr w:type="spellEnd"/>
      <w:r w:rsidR="0009502F">
        <w:fldChar w:fldCharType="begin"/>
      </w:r>
      <w:r w:rsidR="0009502F" w:rsidRPr="00B71578">
        <w:rPr>
          <w:lang w:val="en-CA"/>
        </w:rPr>
        <w:instrText>HYPERLINK "https://www.srdc.org/wp-content/uploads/2022/07/wage-phase-2-final-report.pdf"</w:instrText>
      </w:r>
      <w:r w:rsidR="0009502F">
        <w:fldChar w:fldCharType="separate"/>
      </w:r>
      <w:r w:rsidR="0009502F" w:rsidRPr="00B63D7B">
        <w:rPr>
          <w:rStyle w:val="Lienhypertexte"/>
          <w:lang w:val="en-CA"/>
        </w:rPr>
        <w:t>]. https://www.srdc.org/wp-content/uploads/2022/07/wage-phase-2-final-report.pdf</w:t>
      </w:r>
      <w:r w:rsidR="0009502F">
        <w:fldChar w:fldCharType="end"/>
      </w:r>
      <w:r w:rsidR="005C293F" w:rsidRPr="00B63D7B">
        <w:rPr>
          <w:rFonts w:ascii="Arial" w:hAnsi="Arial" w:cs="Arial"/>
          <w:lang w:val="en-CA"/>
        </w:rPr>
        <w:t> </w:t>
      </w:r>
      <w:r w:rsidR="0009502F" w:rsidRPr="00B63D7B">
        <w:rPr>
          <w:lang w:val="en-CA"/>
        </w:rPr>
        <w:t xml:space="preserve">; </w:t>
      </w:r>
      <w:r w:rsidR="00A6134C" w:rsidRPr="00B63D7B">
        <w:rPr>
          <w:lang w:val="en-CA"/>
        </w:rPr>
        <w:t>K</w:t>
      </w:r>
      <w:r w:rsidR="001C7AE4" w:rsidRPr="00B63D7B">
        <w:rPr>
          <w:lang w:val="en-CA"/>
        </w:rPr>
        <w:t>.</w:t>
      </w:r>
      <w:r w:rsidR="00E328B0" w:rsidRPr="00B63D7B">
        <w:rPr>
          <w:lang w:val="en-CA"/>
        </w:rPr>
        <w:t> </w:t>
      </w:r>
      <w:r w:rsidR="0009502F" w:rsidRPr="00B63D7B">
        <w:rPr>
          <w:smallCaps/>
          <w:lang w:val="en-CA"/>
        </w:rPr>
        <w:t>Brennan</w:t>
      </w:r>
      <w:r w:rsidR="0009502F" w:rsidRPr="00B63D7B">
        <w:rPr>
          <w:lang w:val="en-CA"/>
        </w:rPr>
        <w:t>, C</w:t>
      </w:r>
      <w:r w:rsidR="001C7AE4" w:rsidRPr="00B63D7B">
        <w:rPr>
          <w:lang w:val="en-CA"/>
        </w:rPr>
        <w:t>.</w:t>
      </w:r>
      <w:r w:rsidR="00E328B0" w:rsidRPr="00B63D7B">
        <w:rPr>
          <w:lang w:val="en-CA"/>
        </w:rPr>
        <w:t> </w:t>
      </w:r>
      <w:r w:rsidR="0009502F" w:rsidRPr="00B63D7B">
        <w:rPr>
          <w:smallCaps/>
          <w:lang w:val="en-CA"/>
        </w:rPr>
        <w:t>Halpenny</w:t>
      </w:r>
      <w:r w:rsidR="0009502F" w:rsidRPr="00B63D7B">
        <w:rPr>
          <w:lang w:val="en-CA"/>
        </w:rPr>
        <w:t xml:space="preserve"> et B</w:t>
      </w:r>
      <w:r w:rsidR="001C7AE4" w:rsidRPr="00B63D7B">
        <w:rPr>
          <w:lang w:val="en-CA"/>
        </w:rPr>
        <w:t>.</w:t>
      </w:r>
      <w:r w:rsidR="00E328B0" w:rsidRPr="00B63D7B">
        <w:rPr>
          <w:lang w:val="en-CA"/>
        </w:rPr>
        <w:t> </w:t>
      </w:r>
      <w:r w:rsidR="0009502F" w:rsidRPr="00B63D7B">
        <w:rPr>
          <w:smallCaps/>
          <w:lang w:val="en-CA"/>
        </w:rPr>
        <w:t>Pakula</w:t>
      </w:r>
      <w:r w:rsidR="0009502F" w:rsidRPr="00B63D7B">
        <w:rPr>
          <w:lang w:val="en-CA"/>
        </w:rPr>
        <w:t xml:space="preserve">, </w:t>
      </w:r>
      <w:proofErr w:type="spellStart"/>
      <w:r w:rsidR="001C7AE4" w:rsidRPr="00B63D7B">
        <w:rPr>
          <w:lang w:val="en-CA"/>
        </w:rPr>
        <w:t>préc</w:t>
      </w:r>
      <w:proofErr w:type="spellEnd"/>
      <w:r w:rsidR="001C7AE4" w:rsidRPr="00B63D7B">
        <w:rPr>
          <w:lang w:val="en-CA"/>
        </w:rPr>
        <w:t xml:space="preserve">., note </w:t>
      </w:r>
      <w:r w:rsidR="001C7AE4" w:rsidRPr="00561F65">
        <w:fldChar w:fldCharType="begin"/>
      </w:r>
      <w:r w:rsidR="001C7AE4" w:rsidRPr="00B63D7B">
        <w:rPr>
          <w:lang w:val="en-CA"/>
        </w:rPr>
        <w:instrText xml:space="preserve"> NOTEREF _Ref219211343 \h </w:instrText>
      </w:r>
      <w:r w:rsidR="007017CF" w:rsidRPr="00B63D7B">
        <w:rPr>
          <w:lang w:val="en-CA"/>
        </w:rPr>
        <w:instrText xml:space="preserve"> \* MERGEFORMAT </w:instrText>
      </w:r>
      <w:r w:rsidR="001C7AE4" w:rsidRPr="00561F65">
        <w:fldChar w:fldCharType="separate"/>
      </w:r>
      <w:r w:rsidR="000374E3" w:rsidRPr="00B63D7B">
        <w:rPr>
          <w:lang w:val="en-CA"/>
        </w:rPr>
        <w:t>102</w:t>
      </w:r>
      <w:r w:rsidR="001C7AE4" w:rsidRPr="00561F65">
        <w:fldChar w:fldCharType="end"/>
      </w:r>
      <w:r w:rsidR="0009502F" w:rsidRPr="00B63D7B">
        <w:rPr>
          <w:lang w:val="en-CA"/>
        </w:rPr>
        <w:t>, p. 56-59</w:t>
      </w:r>
      <w:r w:rsidR="005C293F" w:rsidRPr="00B63D7B">
        <w:rPr>
          <w:rFonts w:ascii="Arial" w:hAnsi="Arial" w:cs="Arial"/>
          <w:lang w:val="en-CA"/>
        </w:rPr>
        <w:t> </w:t>
      </w:r>
      <w:r w:rsidR="0009502F" w:rsidRPr="00B63D7B">
        <w:rPr>
          <w:lang w:val="en-CA"/>
        </w:rPr>
        <w:t xml:space="preserve">; </w:t>
      </w:r>
      <w:r w:rsidR="00634993" w:rsidRPr="00B63D7B">
        <w:rPr>
          <w:lang w:val="en-CA"/>
        </w:rPr>
        <w:t>S</w:t>
      </w:r>
      <w:r w:rsidRPr="00B63D7B">
        <w:rPr>
          <w:lang w:val="en-CA"/>
        </w:rPr>
        <w:t>.</w:t>
      </w:r>
      <w:r w:rsidR="00E328B0" w:rsidRPr="00B63D7B">
        <w:rPr>
          <w:lang w:val="en-CA"/>
        </w:rPr>
        <w:t> </w:t>
      </w:r>
      <w:r w:rsidR="0009502F" w:rsidRPr="00B63D7B">
        <w:rPr>
          <w:smallCaps/>
          <w:lang w:val="en-CA"/>
        </w:rPr>
        <w:t>Waite</w:t>
      </w:r>
      <w:r w:rsidR="0009502F" w:rsidRPr="00B63D7B">
        <w:rPr>
          <w:lang w:val="en-CA"/>
        </w:rPr>
        <w:t xml:space="preserve">, </w:t>
      </w:r>
      <w:proofErr w:type="spellStart"/>
      <w:r w:rsidRPr="00B63D7B">
        <w:rPr>
          <w:lang w:val="en-CA"/>
        </w:rPr>
        <w:t>préc</w:t>
      </w:r>
      <w:proofErr w:type="spellEnd"/>
      <w:r w:rsidRPr="00B63D7B">
        <w:rPr>
          <w:lang w:val="en-CA"/>
        </w:rPr>
        <w:t xml:space="preserve">., note </w:t>
      </w:r>
      <w:r w:rsidRPr="00561F65">
        <w:fldChar w:fldCharType="begin"/>
      </w:r>
      <w:r w:rsidRPr="00B63D7B">
        <w:rPr>
          <w:lang w:val="en-CA"/>
        </w:rPr>
        <w:instrText xml:space="preserve"> NOTEREF _Ref216864504 \h </w:instrText>
      </w:r>
      <w:r w:rsidR="004E4354" w:rsidRPr="004E4354">
        <w:rPr>
          <w:lang w:val="en-CA"/>
        </w:rPr>
        <w:instrText xml:space="preserve"> \* MERGEFORMAT </w:instrText>
      </w:r>
      <w:r w:rsidRPr="00561F65">
        <w:fldChar w:fldCharType="separate"/>
      </w:r>
      <w:r w:rsidR="000374E3" w:rsidRPr="00B63D7B">
        <w:rPr>
          <w:lang w:val="en-CA"/>
        </w:rPr>
        <w:t>39</w:t>
      </w:r>
      <w:r w:rsidRPr="00561F65">
        <w:fldChar w:fldCharType="end"/>
      </w:r>
      <w:r w:rsidR="005C293F" w:rsidRPr="00B63D7B">
        <w:rPr>
          <w:rFonts w:ascii="Arial" w:hAnsi="Arial" w:cs="Arial"/>
          <w:lang w:val="en-CA"/>
        </w:rPr>
        <w:t> </w:t>
      </w:r>
      <w:r w:rsidR="0009502F" w:rsidRPr="00B63D7B">
        <w:rPr>
          <w:lang w:val="en-CA"/>
        </w:rPr>
        <w:t xml:space="preserve">; </w:t>
      </w:r>
      <w:r w:rsidR="00BD515E" w:rsidRPr="00B63D7B">
        <w:rPr>
          <w:lang w:val="en-CA"/>
        </w:rPr>
        <w:t>D</w:t>
      </w:r>
      <w:r w:rsidR="00E26657" w:rsidRPr="00B63D7B">
        <w:rPr>
          <w:lang w:val="en-CA"/>
        </w:rPr>
        <w:t>.</w:t>
      </w:r>
      <w:r w:rsidR="00E328B0" w:rsidRPr="00B63D7B">
        <w:rPr>
          <w:lang w:val="en-CA"/>
        </w:rPr>
        <w:t> </w:t>
      </w:r>
      <w:r w:rsidR="0009502F" w:rsidRPr="00B63D7B">
        <w:rPr>
          <w:smallCaps/>
          <w:lang w:val="en-CA"/>
        </w:rPr>
        <w:t>Irving</w:t>
      </w:r>
      <w:r w:rsidR="0009502F" w:rsidRPr="00B63D7B">
        <w:rPr>
          <w:lang w:val="en-CA"/>
        </w:rPr>
        <w:t xml:space="preserve">, et </w:t>
      </w:r>
      <w:proofErr w:type="spellStart"/>
      <w:r w:rsidR="00BF502F" w:rsidRPr="00B63D7B">
        <w:rPr>
          <w:lang w:val="en-CA"/>
        </w:rPr>
        <w:t>et</w:t>
      </w:r>
      <w:proofErr w:type="spellEnd"/>
      <w:r w:rsidR="00BF502F" w:rsidRPr="00B63D7B">
        <w:rPr>
          <w:lang w:val="en-CA"/>
        </w:rPr>
        <w:t xml:space="preserve"> N</w:t>
      </w:r>
      <w:r w:rsidR="00E26657" w:rsidRPr="00B63D7B">
        <w:rPr>
          <w:lang w:val="en-CA"/>
        </w:rPr>
        <w:t>.</w:t>
      </w:r>
      <w:r w:rsidR="00E328B0" w:rsidRPr="00B63D7B">
        <w:rPr>
          <w:lang w:val="en-CA"/>
        </w:rPr>
        <w:t> </w:t>
      </w:r>
      <w:r w:rsidR="00BF502F" w:rsidRPr="00B63D7B">
        <w:rPr>
          <w:lang w:val="en-CA"/>
        </w:rPr>
        <w:t>HOO,</w:t>
      </w:r>
      <w:r w:rsidR="0009502F" w:rsidRPr="00B63D7B">
        <w:rPr>
          <w:lang w:val="en-CA"/>
        </w:rPr>
        <w:t xml:space="preserve"> </w:t>
      </w:r>
      <w:proofErr w:type="spellStart"/>
      <w:r w:rsidR="00BF502F" w:rsidRPr="00B63D7B">
        <w:rPr>
          <w:lang w:val="en-CA"/>
        </w:rPr>
        <w:t>préc</w:t>
      </w:r>
      <w:proofErr w:type="spellEnd"/>
      <w:r w:rsidR="00BF502F" w:rsidRPr="00B63D7B">
        <w:rPr>
          <w:lang w:val="en-CA"/>
        </w:rPr>
        <w:t>., note</w:t>
      </w:r>
      <w:r w:rsidR="00A56969" w:rsidRPr="00B63D7B">
        <w:rPr>
          <w:lang w:val="en-CA"/>
        </w:rPr>
        <w:t xml:space="preserve"> </w:t>
      </w:r>
      <w:r w:rsidR="00A56969" w:rsidRPr="00561F65">
        <w:fldChar w:fldCharType="begin"/>
      </w:r>
      <w:r w:rsidR="00A56969" w:rsidRPr="00B63D7B">
        <w:rPr>
          <w:lang w:val="en-CA"/>
        </w:rPr>
        <w:instrText xml:space="preserve"> NOTEREF _Ref216788212 \h </w:instrText>
      </w:r>
      <w:r w:rsidR="007017CF" w:rsidRPr="00B63D7B">
        <w:rPr>
          <w:lang w:val="en-CA"/>
        </w:rPr>
        <w:instrText xml:space="preserve"> \* MERGEFORMAT </w:instrText>
      </w:r>
      <w:r w:rsidR="00A56969" w:rsidRPr="00561F65">
        <w:fldChar w:fldCharType="separate"/>
      </w:r>
      <w:r w:rsidR="000374E3" w:rsidRPr="00B63D7B">
        <w:rPr>
          <w:lang w:val="en-CA"/>
        </w:rPr>
        <w:t>46</w:t>
      </w:r>
      <w:r w:rsidR="00A56969" w:rsidRPr="00561F65">
        <w:fldChar w:fldCharType="end"/>
      </w:r>
      <w:r w:rsidR="00A56969" w:rsidRPr="00B63D7B">
        <w:rPr>
          <w:lang w:val="en-CA"/>
        </w:rPr>
        <w:t>,</w:t>
      </w:r>
      <w:r w:rsidR="0009502F" w:rsidRPr="00B63D7B">
        <w:rPr>
          <w:lang w:val="en-CA"/>
        </w:rPr>
        <w:t xml:space="preserve"> 197</w:t>
      </w:r>
      <w:r w:rsidR="0009502F" w:rsidRPr="00B63D7B">
        <w:rPr>
          <w:lang w:val="en-CA"/>
        </w:rPr>
        <w:noBreakHyphen/>
        <w:t>220</w:t>
      </w:r>
      <w:r w:rsidR="00BD6329" w:rsidRPr="00B63D7B">
        <w:rPr>
          <w:rFonts w:ascii="Arial" w:hAnsi="Arial" w:cs="Arial"/>
          <w:lang w:val="en-CA"/>
        </w:rPr>
        <w:t> </w:t>
      </w:r>
      <w:r w:rsidR="0009502F" w:rsidRPr="00B63D7B">
        <w:rPr>
          <w:lang w:val="en-CA"/>
        </w:rPr>
        <w:t xml:space="preserve">; </w:t>
      </w:r>
      <w:r w:rsidR="0010433D" w:rsidRPr="00B63D7B">
        <w:rPr>
          <w:lang w:val="en-CA"/>
        </w:rPr>
        <w:t xml:space="preserve">L. </w:t>
      </w:r>
      <w:r w:rsidR="0009502F" w:rsidRPr="00B63D7B">
        <w:rPr>
          <w:smallCaps/>
          <w:lang w:val="en-CA"/>
        </w:rPr>
        <w:t>Chamberland</w:t>
      </w:r>
      <w:r w:rsidR="0009502F" w:rsidRPr="00B63D7B">
        <w:rPr>
          <w:lang w:val="en-CA"/>
        </w:rPr>
        <w:t>, M.</w:t>
      </w:r>
      <w:r w:rsidR="00BC48F0" w:rsidRPr="00B63D7B">
        <w:rPr>
          <w:lang w:val="en-CA"/>
        </w:rPr>
        <w:t> </w:t>
      </w:r>
      <w:r w:rsidR="0009502F" w:rsidRPr="00B63D7B">
        <w:rPr>
          <w:smallCaps/>
          <w:lang w:val="en-CA"/>
        </w:rPr>
        <w:t>Bernier</w:t>
      </w:r>
      <w:r w:rsidR="0009502F" w:rsidRPr="00B63D7B">
        <w:rPr>
          <w:lang w:val="en-CA"/>
        </w:rPr>
        <w:t>, C.</w:t>
      </w:r>
      <w:r w:rsidR="00E328B0" w:rsidRPr="00B63D7B">
        <w:rPr>
          <w:lang w:val="en-CA"/>
        </w:rPr>
        <w:t> </w:t>
      </w:r>
      <w:r w:rsidR="0009502F" w:rsidRPr="00B63D7B">
        <w:rPr>
          <w:smallCaps/>
          <w:lang w:val="en-CA"/>
        </w:rPr>
        <w:t>Lebreton</w:t>
      </w:r>
      <w:r w:rsidR="0009502F" w:rsidRPr="00B63D7B">
        <w:rPr>
          <w:lang w:val="en-CA"/>
        </w:rPr>
        <w:t>, G.</w:t>
      </w:r>
      <w:r w:rsidR="00E328B0" w:rsidRPr="00B63D7B">
        <w:rPr>
          <w:lang w:val="en-CA"/>
        </w:rPr>
        <w:t> </w:t>
      </w:r>
      <w:r w:rsidR="0009502F" w:rsidRPr="00B63D7B">
        <w:rPr>
          <w:smallCaps/>
          <w:lang w:val="en-CA"/>
        </w:rPr>
        <w:t>Richard</w:t>
      </w:r>
      <w:r w:rsidR="0009502F" w:rsidRPr="00B63D7B">
        <w:rPr>
          <w:lang w:val="en-CA"/>
        </w:rPr>
        <w:t xml:space="preserve"> et J.</w:t>
      </w:r>
      <w:r w:rsidR="00E328B0" w:rsidRPr="00B63D7B">
        <w:rPr>
          <w:lang w:val="en-CA"/>
        </w:rPr>
        <w:t> </w:t>
      </w:r>
      <w:r w:rsidR="0009502F" w:rsidRPr="00B63D7B">
        <w:rPr>
          <w:smallCaps/>
          <w:lang w:val="en-CA"/>
        </w:rPr>
        <w:t>Théroux-Séguin</w:t>
      </w:r>
      <w:r w:rsidR="0009502F" w:rsidRPr="00B63D7B">
        <w:rPr>
          <w:lang w:val="en-CA"/>
        </w:rPr>
        <w:t>,</w:t>
      </w:r>
      <w:r w:rsidR="007929DD" w:rsidRPr="00B63D7B">
        <w:rPr>
          <w:lang w:val="en-CA"/>
        </w:rPr>
        <w:t xml:space="preserve"> </w:t>
      </w:r>
      <w:proofErr w:type="spellStart"/>
      <w:r w:rsidR="00B31722" w:rsidRPr="00B63D7B">
        <w:rPr>
          <w:lang w:val="en-CA"/>
        </w:rPr>
        <w:t>préc</w:t>
      </w:r>
      <w:proofErr w:type="spellEnd"/>
      <w:r w:rsidR="00B31722" w:rsidRPr="00B63D7B">
        <w:rPr>
          <w:lang w:val="en-CA"/>
        </w:rPr>
        <w:t>., note</w:t>
      </w:r>
      <w:r w:rsidR="00B456AE" w:rsidRPr="00B63D7B">
        <w:rPr>
          <w:lang w:val="en-CA"/>
        </w:rPr>
        <w:t xml:space="preserve"> </w:t>
      </w:r>
      <w:r w:rsidR="00B456AE" w:rsidRPr="00561F65">
        <w:fldChar w:fldCharType="begin"/>
      </w:r>
      <w:r w:rsidR="00B456AE" w:rsidRPr="00B63D7B">
        <w:rPr>
          <w:lang w:val="en-CA"/>
        </w:rPr>
        <w:instrText xml:space="preserve"> NOTEREF _Ref216788212 \h </w:instrText>
      </w:r>
      <w:r w:rsidR="0010433D" w:rsidRPr="00B63D7B">
        <w:rPr>
          <w:lang w:val="en-CA"/>
        </w:rPr>
        <w:instrText xml:space="preserve"> \* MERGEFORMAT </w:instrText>
      </w:r>
      <w:r w:rsidR="00B456AE" w:rsidRPr="00561F65">
        <w:fldChar w:fldCharType="separate"/>
      </w:r>
      <w:r w:rsidR="000374E3" w:rsidRPr="00B63D7B">
        <w:rPr>
          <w:lang w:val="en-CA"/>
        </w:rPr>
        <w:t>46</w:t>
      </w:r>
      <w:r w:rsidR="00B456AE" w:rsidRPr="00561F65">
        <w:fldChar w:fldCharType="end"/>
      </w:r>
      <w:r w:rsidR="0027040E" w:rsidRPr="00B63D7B">
        <w:rPr>
          <w:lang w:val="en-CA"/>
        </w:rPr>
        <w:t>.</w:t>
      </w:r>
    </w:p>
  </w:footnote>
  <w:footnote w:id="128">
    <w:p w14:paraId="55468429" w14:textId="4F281F0E" w:rsidR="0009502F" w:rsidRPr="00561F65" w:rsidRDefault="0009502F"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0030689F" w:rsidRPr="00561F65">
        <w:rPr>
          <w:lang w:val="en-CA"/>
        </w:rPr>
        <w:t xml:space="preserve">Nicole </w:t>
      </w:r>
      <w:r w:rsidRPr="00561F65">
        <w:rPr>
          <w:smallCaps/>
          <w:lang w:val="en-CA"/>
        </w:rPr>
        <w:t>Denier</w:t>
      </w:r>
      <w:r w:rsidR="0030689F" w:rsidRPr="00561F65">
        <w:rPr>
          <w:lang w:val="en-CA"/>
        </w:rPr>
        <w:t xml:space="preserve"> et</w:t>
      </w:r>
      <w:r w:rsidRPr="00561F65">
        <w:rPr>
          <w:lang w:val="en-CA"/>
        </w:rPr>
        <w:t xml:space="preserve"> Sean </w:t>
      </w:r>
      <w:r w:rsidRPr="00561F65">
        <w:rPr>
          <w:smallCaps/>
          <w:lang w:val="en-CA"/>
        </w:rPr>
        <w:t>Waite</w:t>
      </w:r>
      <w:r w:rsidRPr="00561F65">
        <w:rPr>
          <w:lang w:val="en-CA"/>
        </w:rPr>
        <w:t>, « Sexual orientation at work: Documenting and understanding wage inequality »</w:t>
      </w:r>
      <w:r w:rsidR="000E1BB8" w:rsidRPr="00561F65">
        <w:rPr>
          <w:lang w:val="en-CA"/>
        </w:rPr>
        <w:t>,</w:t>
      </w:r>
      <w:r w:rsidR="00BE2B64" w:rsidRPr="00561F65">
        <w:rPr>
          <w:lang w:val="en-CA"/>
        </w:rPr>
        <w:t xml:space="preserve"> </w:t>
      </w:r>
      <w:r w:rsidRPr="00561F65">
        <w:rPr>
          <w:lang w:val="en-CA"/>
        </w:rPr>
        <w:t xml:space="preserve">(2019) 13:4 </w:t>
      </w:r>
      <w:r w:rsidRPr="00561F65">
        <w:rPr>
          <w:i/>
          <w:lang w:val="en-CA"/>
        </w:rPr>
        <w:t>Sociology Compass</w:t>
      </w:r>
      <w:r w:rsidR="00996C17">
        <w:rPr>
          <w:lang w:val="en-CA"/>
        </w:rPr>
        <w:t> </w:t>
      </w:r>
      <w:r w:rsidRPr="00561F65">
        <w:rPr>
          <w:lang w:val="en-CA"/>
        </w:rPr>
        <w:t>12667.</w:t>
      </w:r>
    </w:p>
  </w:footnote>
  <w:footnote w:id="129">
    <w:p w14:paraId="0D48F4AF" w14:textId="3A7A43E0" w:rsidR="0009502F" w:rsidRPr="00561F65" w:rsidRDefault="0009502F" w:rsidP="004E4354">
      <w:pPr>
        <w:pStyle w:val="NotesBasPage"/>
      </w:pPr>
      <w:r w:rsidRPr="00561F65">
        <w:rPr>
          <w:rStyle w:val="Appelnotedebasdep"/>
        </w:rPr>
        <w:footnoteRef/>
      </w:r>
      <w:r w:rsidRPr="00561F65">
        <w:t xml:space="preserve"> </w:t>
      </w:r>
      <w:r w:rsidRPr="00561F65">
        <w:tab/>
      </w:r>
      <w:r w:rsidR="0030689F" w:rsidRPr="00ED1758">
        <w:rPr>
          <w:smallCaps/>
        </w:rPr>
        <w:t>Chaire de recherche sur la diversité sexuelle et la pluralité des genres</w:t>
      </w:r>
      <w:r w:rsidR="0030689F" w:rsidRPr="00561F65">
        <w:t xml:space="preserve">, </w:t>
      </w:r>
      <w:proofErr w:type="spellStart"/>
      <w:r w:rsidR="00392DA6" w:rsidRPr="00561F65">
        <w:t>préc</w:t>
      </w:r>
      <w:proofErr w:type="spellEnd"/>
      <w:r w:rsidR="00392DA6" w:rsidRPr="00561F65">
        <w:t>.</w:t>
      </w:r>
      <w:r w:rsidR="00E60108">
        <w:t>,</w:t>
      </w:r>
      <w:r w:rsidR="00392DA6" w:rsidRPr="00561F65">
        <w:t xml:space="preserve"> note </w:t>
      </w:r>
      <w:r w:rsidR="00EA43AF" w:rsidRPr="00561F65">
        <w:fldChar w:fldCharType="begin"/>
      </w:r>
      <w:r w:rsidR="00EA43AF" w:rsidRPr="00561F65">
        <w:instrText xml:space="preserve"> NOTEREF _Ref218500043 \h  \* MERGEFORMAT </w:instrText>
      </w:r>
      <w:r w:rsidR="00EA43AF" w:rsidRPr="00561F65">
        <w:fldChar w:fldCharType="separate"/>
      </w:r>
      <w:r w:rsidR="000374E3" w:rsidRPr="00561F65">
        <w:t>13</w:t>
      </w:r>
      <w:r w:rsidR="00EA43AF" w:rsidRPr="00561F65">
        <w:fldChar w:fldCharType="end"/>
      </w:r>
      <w:r w:rsidR="007929DD" w:rsidRPr="00561F65">
        <w:t>.</w:t>
      </w:r>
    </w:p>
  </w:footnote>
  <w:footnote w:id="130">
    <w:p w14:paraId="42DFA49B" w14:textId="0AB0D97D" w:rsidR="0009502F" w:rsidRPr="00561F65" w:rsidRDefault="0009502F" w:rsidP="004E4354">
      <w:pPr>
        <w:pStyle w:val="NotesBasPage"/>
      </w:pPr>
      <w:r w:rsidRPr="00561F65">
        <w:rPr>
          <w:rStyle w:val="Appelnotedebasdep"/>
        </w:rPr>
        <w:footnoteRef/>
      </w:r>
      <w:r w:rsidRPr="00561F65">
        <w:t xml:space="preserve"> </w:t>
      </w:r>
      <w:r w:rsidRPr="00561F65">
        <w:tab/>
      </w:r>
      <w:r w:rsidR="007929DD" w:rsidRPr="00561F65">
        <w:t>G.</w:t>
      </w:r>
      <w:r w:rsidR="00E328B0">
        <w:t> </w:t>
      </w:r>
      <w:r w:rsidRPr="00561F65">
        <w:rPr>
          <w:smallCaps/>
        </w:rPr>
        <w:t xml:space="preserve">Bauer </w:t>
      </w:r>
      <w:r w:rsidRPr="00561F65">
        <w:rPr>
          <w:i/>
        </w:rPr>
        <w:t>et al.</w:t>
      </w:r>
      <w:r w:rsidR="0074440F" w:rsidRPr="00561F65">
        <w:rPr>
          <w:i/>
        </w:rPr>
        <w:t xml:space="preserve">, </w:t>
      </w:r>
      <w:proofErr w:type="spellStart"/>
      <w:r w:rsidR="0074440F" w:rsidRPr="00561F65">
        <w:t>préc</w:t>
      </w:r>
      <w:proofErr w:type="spellEnd"/>
      <w:r w:rsidR="0074440F" w:rsidRPr="00561F65">
        <w:t xml:space="preserve">., note </w:t>
      </w:r>
      <w:r w:rsidR="0074440F" w:rsidRPr="00561F65">
        <w:fldChar w:fldCharType="begin"/>
      </w:r>
      <w:r w:rsidR="0074440F" w:rsidRPr="00561F65">
        <w:instrText xml:space="preserve"> NOTEREF _Ref218500389 \h  \* MERGEFORMAT </w:instrText>
      </w:r>
      <w:r w:rsidR="0074440F" w:rsidRPr="00561F65">
        <w:fldChar w:fldCharType="separate"/>
      </w:r>
      <w:r w:rsidR="000374E3" w:rsidRPr="00561F65">
        <w:t>61</w:t>
      </w:r>
      <w:r w:rsidR="0074440F" w:rsidRPr="00561F65">
        <w:fldChar w:fldCharType="end"/>
      </w:r>
      <w:r w:rsidR="005C293F" w:rsidRPr="00561F65">
        <w:rPr>
          <w:rFonts w:ascii="Arial" w:hAnsi="Arial" w:cs="Arial"/>
        </w:rPr>
        <w:t> </w:t>
      </w:r>
      <w:r w:rsidR="007929DD" w:rsidRPr="00561F65">
        <w:t xml:space="preserve">; </w:t>
      </w:r>
      <w:proofErr w:type="spellStart"/>
      <w:r w:rsidRPr="00561F65">
        <w:t>Élye</w:t>
      </w:r>
      <w:proofErr w:type="spellEnd"/>
      <w:r w:rsidRPr="00561F65">
        <w:t xml:space="preserve"> </w:t>
      </w:r>
      <w:r w:rsidRPr="00561F65">
        <w:rPr>
          <w:smallCaps/>
        </w:rPr>
        <w:t>Plourde</w:t>
      </w:r>
      <w:r w:rsidRPr="00561F65">
        <w:t xml:space="preserve">, </w:t>
      </w:r>
      <w:r w:rsidRPr="00561F65">
        <w:rPr>
          <w:i/>
        </w:rPr>
        <w:t>Discrimination à l’embauche des personnes trans et non-binaires</w:t>
      </w:r>
      <w:r w:rsidRPr="00561F65">
        <w:t xml:space="preserve">, Rapport de recherche, Maîtrise en droit, Université de Sherbrooke, Stage </w:t>
      </w:r>
      <w:proofErr w:type="spellStart"/>
      <w:r w:rsidRPr="00561F65">
        <w:t>Mitacs</w:t>
      </w:r>
      <w:proofErr w:type="spellEnd"/>
      <w:r w:rsidRPr="00561F65">
        <w:t xml:space="preserve"> à la Fondation Émergence, 2024</w:t>
      </w:r>
      <w:r w:rsidR="00A37E66" w:rsidRPr="00561F65">
        <w:t>.</w:t>
      </w:r>
    </w:p>
  </w:footnote>
  <w:footnote w:id="131">
    <w:p w14:paraId="6523D898" w14:textId="20B62F54" w:rsidR="00E429AC" w:rsidRPr="00561F65" w:rsidRDefault="0009502F" w:rsidP="004E4354">
      <w:pPr>
        <w:pStyle w:val="NotesBasPage"/>
      </w:pPr>
      <w:r w:rsidRPr="00561F65">
        <w:rPr>
          <w:rStyle w:val="Appelnotedebasdep"/>
        </w:rPr>
        <w:footnoteRef/>
      </w:r>
      <w:r w:rsidRPr="00561F65">
        <w:t xml:space="preserve"> </w:t>
      </w:r>
      <w:r w:rsidRPr="00561F65">
        <w:tab/>
        <w:t xml:space="preserve">Élizabeth </w:t>
      </w:r>
      <w:r w:rsidRPr="00561F65">
        <w:rPr>
          <w:smallCaps/>
        </w:rPr>
        <w:t>Ménard</w:t>
      </w:r>
      <w:r w:rsidRPr="00561F65">
        <w:t>, «</w:t>
      </w:r>
      <w:r w:rsidR="00AB4C13" w:rsidRPr="00561F65">
        <w:rPr>
          <w:rFonts w:ascii="Arial" w:hAnsi="Arial" w:cs="Arial"/>
        </w:rPr>
        <w:t> </w:t>
      </w:r>
      <w:r w:rsidRPr="00561F65">
        <w:t>Emploi</w:t>
      </w:r>
      <w:r w:rsidR="00F01F5E" w:rsidRPr="00561F65">
        <w:t> </w:t>
      </w:r>
      <w:r w:rsidRPr="00561F65">
        <w:t>: deux fois moins d'appels pour un CV non binaire selon notre enquête</w:t>
      </w:r>
      <w:r w:rsidR="00AB4C13" w:rsidRPr="00561F65">
        <w:rPr>
          <w:rFonts w:ascii="Arial" w:hAnsi="Arial" w:cs="Arial"/>
        </w:rPr>
        <w:t> </w:t>
      </w:r>
      <w:r w:rsidRPr="00561F65">
        <w:t xml:space="preserve">», </w:t>
      </w:r>
      <w:r w:rsidRPr="00561F65">
        <w:rPr>
          <w:i/>
        </w:rPr>
        <w:t>24</w:t>
      </w:r>
      <w:r w:rsidR="005516C0" w:rsidRPr="00561F65">
        <w:rPr>
          <w:i/>
        </w:rPr>
        <w:t> </w:t>
      </w:r>
      <w:r w:rsidRPr="00561F65">
        <w:rPr>
          <w:i/>
        </w:rPr>
        <w:t>heures</w:t>
      </w:r>
      <w:r w:rsidRPr="00561F65">
        <w:t>, 17</w:t>
      </w:r>
      <w:r w:rsidR="00937C69" w:rsidRPr="00561F65">
        <w:t> </w:t>
      </w:r>
      <w:r w:rsidRPr="00561F65">
        <w:t xml:space="preserve">mai 2024, [En ligne]. </w:t>
      </w:r>
      <w:hyperlink r:id="rId88" w:history="1">
        <w:r w:rsidR="00E429AC" w:rsidRPr="007912CF">
          <w:rPr>
            <w:rStyle w:val="Lienhypertexte"/>
          </w:rPr>
          <w:t>https://www.24heures.ca/2024/05/17/la-moitie-moins-dappels-pour-le-meme-cv</w:t>
        </w:r>
      </w:hyperlink>
    </w:p>
  </w:footnote>
  <w:footnote w:id="132">
    <w:p w14:paraId="0B8D124B" w14:textId="2D0F2182" w:rsidR="00515EBC" w:rsidRPr="00561F65" w:rsidRDefault="00F7245C" w:rsidP="004E4354">
      <w:pPr>
        <w:pStyle w:val="NotesBasPage"/>
      </w:pPr>
      <w:r w:rsidRPr="00561F65">
        <w:rPr>
          <w:rStyle w:val="Appelnotedebasdep"/>
        </w:rPr>
        <w:footnoteRef/>
      </w:r>
      <w:r w:rsidRPr="00561F65">
        <w:t xml:space="preserve"> </w:t>
      </w:r>
      <w:r w:rsidRPr="00561F65">
        <w:tab/>
        <w:t>A</w:t>
      </w:r>
      <w:r w:rsidR="00AA4897" w:rsidRPr="00561F65">
        <w:t>.</w:t>
      </w:r>
      <w:r w:rsidR="00E328B0">
        <w:t> </w:t>
      </w:r>
      <w:r w:rsidRPr="00561F65">
        <w:rPr>
          <w:smallCaps/>
        </w:rPr>
        <w:t>Appiah</w:t>
      </w:r>
      <w:r w:rsidRPr="00561F65">
        <w:t>, K</w:t>
      </w:r>
      <w:r w:rsidR="00AA4897" w:rsidRPr="00561F65">
        <w:t>.</w:t>
      </w:r>
      <w:r w:rsidR="00E328B0">
        <w:t> </w:t>
      </w:r>
      <w:r w:rsidRPr="00561F65">
        <w:rPr>
          <w:smallCaps/>
        </w:rPr>
        <w:t>Brennan,</w:t>
      </w:r>
      <w:r w:rsidRPr="00561F65">
        <w:t xml:space="preserve"> C</w:t>
      </w:r>
      <w:r w:rsidR="00AA4897" w:rsidRPr="00561F65">
        <w:t>.</w:t>
      </w:r>
      <w:r w:rsidR="00E328B0">
        <w:rPr>
          <w:smallCaps/>
        </w:rPr>
        <w:t> </w:t>
      </w:r>
      <w:r w:rsidRPr="00561F65">
        <w:rPr>
          <w:smallCaps/>
        </w:rPr>
        <w:t>Halpenny</w:t>
      </w:r>
      <w:r w:rsidRPr="00561F65">
        <w:t>, B</w:t>
      </w:r>
      <w:r w:rsidR="00AA4897" w:rsidRPr="00561F65">
        <w:t>.</w:t>
      </w:r>
      <w:r w:rsidR="00E328B0">
        <w:t> </w:t>
      </w:r>
      <w:r w:rsidRPr="00561F65">
        <w:rPr>
          <w:smallCaps/>
        </w:rPr>
        <w:t>Pakula</w:t>
      </w:r>
      <w:r w:rsidRPr="00561F65">
        <w:t xml:space="preserve"> et S</w:t>
      </w:r>
      <w:r w:rsidR="00BE2B64" w:rsidRPr="00561F65">
        <w:t>.</w:t>
      </w:r>
      <w:r w:rsidR="00E328B0">
        <w:t> </w:t>
      </w:r>
      <w:r w:rsidRPr="00561F65">
        <w:rPr>
          <w:smallCaps/>
        </w:rPr>
        <w:t>Waite</w:t>
      </w:r>
      <w:r w:rsidRPr="00561F65">
        <w:t xml:space="preserve">, </w:t>
      </w:r>
      <w:proofErr w:type="spellStart"/>
      <w:r w:rsidR="00AF4073" w:rsidRPr="00561F65">
        <w:t>préc</w:t>
      </w:r>
      <w:proofErr w:type="spellEnd"/>
      <w:r w:rsidR="00AF4073" w:rsidRPr="00561F65">
        <w:t xml:space="preserve">., note </w:t>
      </w:r>
      <w:r w:rsidR="00AF4073" w:rsidRPr="00561F65">
        <w:fldChar w:fldCharType="begin"/>
      </w:r>
      <w:r w:rsidR="00AF4073" w:rsidRPr="00561F65">
        <w:instrText xml:space="preserve"> NOTEREF _Ref219713436 \h </w:instrText>
      </w:r>
      <w:r w:rsidR="007017CF" w:rsidRPr="00561F65">
        <w:instrText xml:space="preserve"> \* MERGEFORMAT </w:instrText>
      </w:r>
      <w:r w:rsidR="00AF4073" w:rsidRPr="00561F65">
        <w:fldChar w:fldCharType="separate"/>
      </w:r>
      <w:r w:rsidR="000374E3" w:rsidRPr="00561F65">
        <w:t>126</w:t>
      </w:r>
      <w:r w:rsidR="00AF4073" w:rsidRPr="00561F65">
        <w:fldChar w:fldCharType="end"/>
      </w:r>
      <w:r w:rsidRPr="00561F65">
        <w:t>, p. 34</w:t>
      </w:r>
      <w:r w:rsidR="00AF4073" w:rsidRPr="00561F65">
        <w:t>.</w:t>
      </w:r>
    </w:p>
  </w:footnote>
  <w:footnote w:id="133">
    <w:p w14:paraId="4A12D954" w14:textId="77777777" w:rsidR="00905077" w:rsidRPr="00561F65" w:rsidRDefault="00905077" w:rsidP="004E4354">
      <w:pPr>
        <w:pStyle w:val="NotesBasPage"/>
      </w:pPr>
      <w:r w:rsidRPr="00561F65">
        <w:rPr>
          <w:rStyle w:val="Appelnotedebasdep"/>
        </w:rPr>
        <w:footnoteRef/>
      </w:r>
      <w:r w:rsidRPr="00561F65">
        <w:t xml:space="preserve"> </w:t>
      </w:r>
      <w:r w:rsidRPr="00561F65">
        <w:tab/>
        <w:t>Les données citées entre parenthèses correspondent au salaire et traitement médians en dollars de 2017.</w:t>
      </w:r>
    </w:p>
  </w:footnote>
  <w:footnote w:id="134">
    <w:p w14:paraId="502839D1" w14:textId="0B0F7248" w:rsidR="00905077" w:rsidRPr="00561F65" w:rsidRDefault="00905077" w:rsidP="004E4354">
      <w:pPr>
        <w:pStyle w:val="NotesBasPage"/>
      </w:pPr>
      <w:r w:rsidRPr="00561F65">
        <w:rPr>
          <w:rStyle w:val="Appelnotedebasdep"/>
        </w:rPr>
        <w:footnoteRef/>
      </w:r>
      <w:r w:rsidRPr="00561F65">
        <w:t xml:space="preserve"> </w:t>
      </w:r>
      <w:r w:rsidRPr="00561F65">
        <w:tab/>
      </w:r>
      <w:r w:rsidR="00BA0855" w:rsidRPr="00544920">
        <w:rPr>
          <w:smallCaps/>
        </w:rPr>
        <w:t>Statistique Canada</w:t>
      </w:r>
      <w:r w:rsidR="00F82A7E" w:rsidRPr="00561F65">
        <w:t xml:space="preserve">, </w:t>
      </w:r>
      <w:proofErr w:type="spellStart"/>
      <w:r w:rsidR="00544920" w:rsidRPr="00544920">
        <w:t>préc</w:t>
      </w:r>
      <w:proofErr w:type="spellEnd"/>
      <w:r w:rsidR="00544920" w:rsidRPr="00544920">
        <w:t xml:space="preserve">., note </w:t>
      </w:r>
      <w:r w:rsidR="00544920" w:rsidRPr="00544920">
        <w:fldChar w:fldCharType="begin"/>
      </w:r>
      <w:r w:rsidR="00544920" w:rsidRPr="00544920">
        <w:instrText xml:space="preserve"> NOTEREF _Ref229144645 \h </w:instrText>
      </w:r>
      <w:r w:rsidR="00544920">
        <w:instrText xml:space="preserve"> \* MERGEFORMAT </w:instrText>
      </w:r>
      <w:r w:rsidR="00544920" w:rsidRPr="00544920">
        <w:fldChar w:fldCharType="separate"/>
      </w:r>
      <w:r w:rsidR="00544920" w:rsidRPr="00544920">
        <w:t>121</w:t>
      </w:r>
      <w:r w:rsidR="00544920" w:rsidRPr="00544920">
        <w:fldChar w:fldCharType="end"/>
      </w:r>
      <w:r w:rsidR="00544920">
        <w:t>.</w:t>
      </w:r>
    </w:p>
  </w:footnote>
  <w:footnote w:id="135">
    <w:p w14:paraId="323ED9A6" w14:textId="6CD02D3F" w:rsidR="00905077" w:rsidRPr="00561F65" w:rsidRDefault="00905077" w:rsidP="004E4354">
      <w:pPr>
        <w:pStyle w:val="NotesBasPage"/>
      </w:pPr>
      <w:r w:rsidRPr="00561F65">
        <w:rPr>
          <w:rStyle w:val="Appelnotedebasdep"/>
        </w:rPr>
        <w:footnoteRef/>
      </w:r>
      <w:r w:rsidRPr="00561F65">
        <w:t xml:space="preserve"> </w:t>
      </w:r>
      <w:r w:rsidR="003A74A6" w:rsidRPr="00561F65">
        <w:tab/>
      </w:r>
      <w:r w:rsidR="0023299E" w:rsidRPr="00561F65">
        <w:t>K.</w:t>
      </w:r>
      <w:r w:rsidR="00E328B0">
        <w:rPr>
          <w:smallCaps/>
        </w:rPr>
        <w:t> </w:t>
      </w:r>
      <w:r w:rsidRPr="00561F65">
        <w:rPr>
          <w:smallCaps/>
        </w:rPr>
        <w:t>Rauh</w:t>
      </w:r>
      <w:r w:rsidRPr="00561F65">
        <w:t xml:space="preserve"> et al, </w:t>
      </w:r>
      <w:proofErr w:type="spellStart"/>
      <w:r w:rsidRPr="00561F65">
        <w:t>préc</w:t>
      </w:r>
      <w:proofErr w:type="spellEnd"/>
      <w:r w:rsidRPr="00561F65">
        <w:t xml:space="preserve">., note </w:t>
      </w:r>
      <w:r w:rsidRPr="00561F65">
        <w:fldChar w:fldCharType="begin"/>
      </w:r>
      <w:r w:rsidRPr="00561F65">
        <w:instrText xml:space="preserve"> NOTEREF _Ref215497549 \h </w:instrText>
      </w:r>
      <w:r w:rsidR="00021EE0" w:rsidRPr="00561F65">
        <w:instrText xml:space="preserve"> \* MERGEFORMAT </w:instrText>
      </w:r>
      <w:r w:rsidRPr="00561F65">
        <w:fldChar w:fldCharType="separate"/>
      </w:r>
      <w:r w:rsidR="000374E3" w:rsidRPr="00561F65">
        <w:t>78</w:t>
      </w:r>
      <w:r w:rsidRPr="00561F65">
        <w:fldChar w:fldCharType="end"/>
      </w:r>
      <w:r w:rsidRPr="00561F65">
        <w:t>, p.</w:t>
      </w:r>
      <w:r w:rsidR="005C5B01" w:rsidRPr="00561F65">
        <w:t> </w:t>
      </w:r>
      <w:r w:rsidRPr="00561F65">
        <w:t>25.</w:t>
      </w:r>
    </w:p>
  </w:footnote>
  <w:footnote w:id="136">
    <w:p w14:paraId="30307D2A" w14:textId="2C8B670D" w:rsidR="00905077" w:rsidRPr="00561F65" w:rsidRDefault="00905077" w:rsidP="004E4354">
      <w:pPr>
        <w:pStyle w:val="NotesBasPage"/>
      </w:pPr>
      <w:r w:rsidRPr="00561F65">
        <w:rPr>
          <w:rStyle w:val="Appelnotedebasdep"/>
        </w:rPr>
        <w:footnoteRef/>
      </w:r>
      <w:r w:rsidRPr="00561F65">
        <w:t xml:space="preserve"> </w:t>
      </w:r>
      <w:r w:rsidR="00E17204" w:rsidRPr="00561F65">
        <w:tab/>
      </w:r>
      <w:r w:rsidRPr="00561F65">
        <w:rPr>
          <w:i/>
        </w:rPr>
        <w:t>Id</w:t>
      </w:r>
      <w:r w:rsidRPr="00561F65">
        <w:t>., p.</w:t>
      </w:r>
      <w:r w:rsidR="005C5B01" w:rsidRPr="00561F65">
        <w:t> </w:t>
      </w:r>
      <w:r w:rsidRPr="00561F65">
        <w:t>26.</w:t>
      </w:r>
    </w:p>
  </w:footnote>
  <w:footnote w:id="137">
    <w:p w14:paraId="4F3E6F27" w14:textId="09760631" w:rsidR="00905077" w:rsidRPr="00561F65" w:rsidRDefault="00905077" w:rsidP="004E4354">
      <w:pPr>
        <w:pStyle w:val="NotesBasPage"/>
      </w:pPr>
      <w:r w:rsidRPr="00561F65">
        <w:rPr>
          <w:rStyle w:val="Appelnotedebasdep"/>
        </w:rPr>
        <w:footnoteRef/>
      </w:r>
      <w:r w:rsidRPr="00561F65">
        <w:rPr>
          <w:vertAlign w:val="superscript"/>
        </w:rPr>
        <w:t xml:space="preserve"> </w:t>
      </w:r>
      <w:r w:rsidRPr="00561F65">
        <w:tab/>
      </w:r>
      <w:proofErr w:type="spellStart"/>
      <w:r w:rsidR="001B5E5E" w:rsidRPr="00561F65">
        <w:t>Trans</w:t>
      </w:r>
      <w:r w:rsidR="00BB2E21" w:rsidRPr="00561F65">
        <w:t>PULSE</w:t>
      </w:r>
      <w:proofErr w:type="spellEnd"/>
      <w:r w:rsidR="00BB2E21" w:rsidRPr="00561F65">
        <w:t xml:space="preserve"> CANADA, </w:t>
      </w:r>
      <w:r w:rsidR="00BB2E21" w:rsidRPr="00341651">
        <w:rPr>
          <w:i/>
          <w:iCs/>
        </w:rPr>
        <w:t>Rapport – Santé et bien-être chez les personnes non binaires</w:t>
      </w:r>
      <w:r w:rsidR="00BB2E21" w:rsidRPr="00561F65">
        <w:t xml:space="preserve">, </w:t>
      </w:r>
      <w:r w:rsidR="00774952" w:rsidRPr="00561F65">
        <w:t>J.</w:t>
      </w:r>
      <w:r w:rsidR="00E328B0">
        <w:t> </w:t>
      </w:r>
      <w:r w:rsidR="00774952" w:rsidRPr="00561F65">
        <w:t xml:space="preserve">Navarro et al., 2021, </w:t>
      </w:r>
      <w:proofErr w:type="spellStart"/>
      <w:r w:rsidR="0021337A">
        <w:t>préc</w:t>
      </w:r>
      <w:proofErr w:type="spellEnd"/>
      <w:r w:rsidR="0021337A">
        <w:t xml:space="preserve">., note </w:t>
      </w:r>
      <w:r w:rsidR="003C65AC">
        <w:fldChar w:fldCharType="begin"/>
      </w:r>
      <w:r w:rsidR="003C65AC">
        <w:instrText xml:space="preserve"> NOTEREF _Ref229144645 \h </w:instrText>
      </w:r>
      <w:r w:rsidR="004E4354">
        <w:instrText xml:space="preserve"> \* MERGEFORMAT </w:instrText>
      </w:r>
      <w:r w:rsidR="003C65AC">
        <w:fldChar w:fldCharType="separate"/>
      </w:r>
      <w:r w:rsidR="003C65AC">
        <w:t>121</w:t>
      </w:r>
      <w:r w:rsidR="003C65AC">
        <w:fldChar w:fldCharType="end"/>
      </w:r>
      <w:r w:rsidR="003C65AC">
        <w:t xml:space="preserve">. </w:t>
      </w:r>
      <w:r w:rsidRPr="00561F65">
        <w:t>Cette enquête auprès d’un échantillon d’ampleur n’est pas représentative de la population trans et non binaire au Canada.</w:t>
      </w:r>
    </w:p>
  </w:footnote>
  <w:footnote w:id="138">
    <w:p w14:paraId="293AFC2B" w14:textId="0AF57BFE" w:rsidR="00905077" w:rsidRPr="00561F65" w:rsidRDefault="00905077" w:rsidP="004E4354">
      <w:pPr>
        <w:pStyle w:val="NotesBasPage"/>
      </w:pPr>
      <w:r w:rsidRPr="00561F65">
        <w:rPr>
          <w:rStyle w:val="Appelnotedebasdep"/>
        </w:rPr>
        <w:footnoteRef/>
      </w:r>
      <w:r w:rsidRPr="00561F65">
        <w:t xml:space="preserve"> </w:t>
      </w:r>
      <w:r w:rsidRPr="00561F65">
        <w:tab/>
      </w:r>
      <w:r w:rsidR="00A30F5C" w:rsidRPr="00561F65">
        <w:rPr>
          <w:smallCaps/>
        </w:rPr>
        <w:t>Statistique Canada</w:t>
      </w:r>
      <w:r w:rsidR="00A30F5C" w:rsidRPr="00561F65">
        <w:t xml:space="preserve">, </w:t>
      </w:r>
      <w:r w:rsidR="007C39B7" w:rsidRPr="00561F65">
        <w:rPr>
          <w:i/>
        </w:rPr>
        <w:t>Un portrait statistique des différentes communautés LGBTQ2+ du Canada</w:t>
      </w:r>
      <w:r w:rsidR="007C39B7" w:rsidRPr="00561F65">
        <w:t>, 2021, [En ligne].</w:t>
      </w:r>
      <w:r w:rsidR="004412C2" w:rsidRPr="004412C2">
        <w:t xml:space="preserve"> </w:t>
      </w:r>
      <w:hyperlink r:id="rId89" w:history="1">
        <w:r w:rsidR="004412C2" w:rsidRPr="007912CF">
          <w:rPr>
            <w:rStyle w:val="Lienhypertexte"/>
          </w:rPr>
          <w:t>https://www150.statcan.gc.ca/n1/daily-quotidien/210615/dq210615a-fra.htm</w:t>
        </w:r>
      </w:hyperlink>
      <w:r w:rsidR="007C39B7" w:rsidRPr="00561F65">
        <w:t xml:space="preserve"> </w:t>
      </w:r>
      <w:r w:rsidR="004E63E6" w:rsidRPr="00561F65">
        <w:t>(page consultée le 19</w:t>
      </w:r>
      <w:r w:rsidR="00460CE2" w:rsidRPr="00561F65">
        <w:t> </w:t>
      </w:r>
      <w:r w:rsidR="004E63E6" w:rsidRPr="00561F65">
        <w:t>décembre 2025).</w:t>
      </w:r>
    </w:p>
  </w:footnote>
  <w:footnote w:id="139">
    <w:p w14:paraId="56E8BEA8" w14:textId="7A158719" w:rsidR="00905077" w:rsidRPr="00561F65" w:rsidRDefault="00905077" w:rsidP="004E4354">
      <w:pPr>
        <w:pStyle w:val="NotesBasPage"/>
      </w:pPr>
      <w:r w:rsidRPr="00561F65">
        <w:rPr>
          <w:rStyle w:val="Appelnotedebasdep"/>
        </w:rPr>
        <w:footnoteRef/>
      </w:r>
      <w:r w:rsidRPr="00561F65">
        <w:t xml:space="preserve"> </w:t>
      </w:r>
      <w:r w:rsidRPr="00561F65">
        <w:tab/>
      </w:r>
      <w:r w:rsidR="00D10D6D" w:rsidRPr="00561F65">
        <w:t xml:space="preserve">M. </w:t>
      </w:r>
      <w:r w:rsidRPr="00561F65">
        <w:rPr>
          <w:smallCaps/>
        </w:rPr>
        <w:t>Baiocco</w:t>
      </w:r>
      <w:r w:rsidR="00D10D6D" w:rsidRPr="00561F65">
        <w:rPr>
          <w:smallCaps/>
        </w:rPr>
        <w:t xml:space="preserve"> </w:t>
      </w:r>
      <w:r w:rsidR="00D10D6D" w:rsidRPr="00561F65">
        <w:t>et al. (</w:t>
      </w:r>
      <w:r w:rsidRPr="00561F65">
        <w:t>2023</w:t>
      </w:r>
      <w:r w:rsidR="00D10D6D" w:rsidRPr="00561F65">
        <w:t>)</w:t>
      </w:r>
      <w:r w:rsidR="00D52776" w:rsidRPr="00561F65">
        <w:t xml:space="preserve">, </w:t>
      </w:r>
      <w:proofErr w:type="spellStart"/>
      <w:r w:rsidR="00D10D6D" w:rsidRPr="00561F65">
        <w:t>préc</w:t>
      </w:r>
      <w:proofErr w:type="spellEnd"/>
      <w:r w:rsidR="00D10D6D" w:rsidRPr="00561F65">
        <w:t xml:space="preserve">., note </w:t>
      </w:r>
      <w:r w:rsidR="00D52776" w:rsidRPr="00561F65">
        <w:fldChar w:fldCharType="begin"/>
      </w:r>
      <w:r w:rsidR="00D52776" w:rsidRPr="00561F65">
        <w:instrText xml:space="preserve"> NOTEREF _Ref216856817 \h  \* MERGEFORMAT </w:instrText>
      </w:r>
      <w:r w:rsidR="00D52776" w:rsidRPr="00561F65">
        <w:fldChar w:fldCharType="separate"/>
      </w:r>
      <w:r w:rsidR="000374E3" w:rsidRPr="00561F65">
        <w:t>49</w:t>
      </w:r>
      <w:r w:rsidR="00D52776" w:rsidRPr="00561F65">
        <w:fldChar w:fldCharType="end"/>
      </w:r>
      <w:r w:rsidRPr="00561F65">
        <w:t xml:space="preserve">, </w:t>
      </w:r>
      <w:r w:rsidR="00D52776" w:rsidRPr="00561F65">
        <w:t>p</w:t>
      </w:r>
      <w:r w:rsidRPr="00561F65">
        <w:t>.</w:t>
      </w:r>
      <w:r w:rsidR="005C5B01" w:rsidRPr="00561F65">
        <w:t> </w:t>
      </w:r>
      <w:r w:rsidRPr="00561F65">
        <w:t>383</w:t>
      </w:r>
      <w:r w:rsidR="005D023D" w:rsidRPr="00561F65">
        <w:t>.</w:t>
      </w:r>
    </w:p>
  </w:footnote>
  <w:footnote w:id="140">
    <w:p w14:paraId="04F79B19" w14:textId="15C67228" w:rsidR="00B74790" w:rsidRPr="00561F65" w:rsidRDefault="00B74790" w:rsidP="004E4354">
      <w:pPr>
        <w:pStyle w:val="NotesBasPage"/>
      </w:pPr>
      <w:r w:rsidRPr="00561F65">
        <w:rPr>
          <w:rStyle w:val="Appelnotedebasdep"/>
        </w:rPr>
        <w:footnoteRef/>
      </w:r>
      <w:r w:rsidRPr="00561F65">
        <w:t xml:space="preserve"> </w:t>
      </w:r>
      <w:r w:rsidRPr="00561F65">
        <w:tab/>
        <w:t xml:space="preserve">Voir notamment EGALE, </w:t>
      </w:r>
      <w:r w:rsidRPr="00561F65">
        <w:rPr>
          <w:i/>
        </w:rPr>
        <w:t>LGBTQI2S Workplace Inclusion</w:t>
      </w:r>
      <w:r w:rsidR="00D27C5F" w:rsidRPr="00561F65">
        <w:rPr>
          <w:i/>
        </w:rPr>
        <w:t xml:space="preserve"> -</w:t>
      </w:r>
      <w:proofErr w:type="spellStart"/>
      <w:r w:rsidRPr="00561F65">
        <w:rPr>
          <w:i/>
        </w:rPr>
        <w:t>Literature</w:t>
      </w:r>
      <w:proofErr w:type="spellEnd"/>
      <w:r w:rsidRPr="00561F65">
        <w:rPr>
          <w:i/>
        </w:rPr>
        <w:t xml:space="preserve"> </w:t>
      </w:r>
      <w:proofErr w:type="spellStart"/>
      <w:r w:rsidRPr="00561F65">
        <w:rPr>
          <w:i/>
        </w:rPr>
        <w:t>Review</w:t>
      </w:r>
      <w:proofErr w:type="spellEnd"/>
      <w:r w:rsidRPr="00561F65">
        <w:t>, 2020, [En ligne].</w:t>
      </w:r>
      <w:r w:rsidR="00C90712" w:rsidRPr="00C90712">
        <w:t xml:space="preserve"> </w:t>
      </w:r>
      <w:hyperlink r:id="rId90" w:history="1">
        <w:r w:rsidR="00C90712" w:rsidRPr="007912CF">
          <w:rPr>
            <w:rStyle w:val="Lienhypertexte"/>
          </w:rPr>
          <w:t>https://egale.ca/awareness/workplace-literature-review/</w:t>
        </w:r>
      </w:hyperlink>
      <w:r w:rsidR="005717BD" w:rsidRPr="00561F65">
        <w:t xml:space="preserve"> </w:t>
      </w:r>
      <w:r w:rsidR="00BD6329" w:rsidRPr="00561F65">
        <w:rPr>
          <w:rFonts w:ascii="Arial" w:hAnsi="Arial" w:cs="Arial"/>
        </w:rPr>
        <w:t> </w:t>
      </w:r>
      <w:r w:rsidRPr="00561F65">
        <w:t xml:space="preserve">; </w:t>
      </w:r>
      <w:r w:rsidR="007929DD" w:rsidRPr="00561F65">
        <w:t>S.</w:t>
      </w:r>
      <w:r w:rsidR="00E328B0">
        <w:t> </w:t>
      </w:r>
      <w:r w:rsidRPr="00561F65">
        <w:rPr>
          <w:smallCaps/>
        </w:rPr>
        <w:t>Wai</w:t>
      </w:r>
      <w:r w:rsidRPr="00561F65">
        <w:t>t</w:t>
      </w:r>
      <w:r w:rsidR="007929DD" w:rsidRPr="00561F65">
        <w:t xml:space="preserve"> et</w:t>
      </w:r>
      <w:r w:rsidRPr="00561F65">
        <w:t xml:space="preserve"> N</w:t>
      </w:r>
      <w:r w:rsidR="007929DD" w:rsidRPr="00561F65">
        <w:t>.</w:t>
      </w:r>
      <w:r w:rsidR="00E328B0">
        <w:t> </w:t>
      </w:r>
      <w:r w:rsidRPr="00561F65">
        <w:rPr>
          <w:smallCaps/>
        </w:rPr>
        <w:t>Denier</w:t>
      </w:r>
      <w:r w:rsidRPr="00561F65">
        <w:t>,</w:t>
      </w:r>
      <w:r w:rsidR="0074440F" w:rsidRPr="00561F65">
        <w:t xml:space="preserve"> </w:t>
      </w:r>
      <w:proofErr w:type="spellStart"/>
      <w:r w:rsidR="0074440F" w:rsidRPr="00561F65">
        <w:t>préc</w:t>
      </w:r>
      <w:proofErr w:type="spellEnd"/>
      <w:r w:rsidR="0074440F" w:rsidRPr="00561F65">
        <w:t xml:space="preserve">., note </w:t>
      </w:r>
      <w:r w:rsidR="0074440F" w:rsidRPr="00561F65">
        <w:fldChar w:fldCharType="begin"/>
      </w:r>
      <w:r w:rsidR="0074440F" w:rsidRPr="00561F65">
        <w:instrText xml:space="preserve"> NOTEREF _Ref218500534 \h  \* MERGEFORMAT </w:instrText>
      </w:r>
      <w:r w:rsidR="0074440F" w:rsidRPr="00561F65">
        <w:fldChar w:fldCharType="separate"/>
      </w:r>
      <w:r w:rsidR="000374E3" w:rsidRPr="00561F65">
        <w:t>45</w:t>
      </w:r>
      <w:r w:rsidR="0074440F" w:rsidRPr="00561F65">
        <w:fldChar w:fldCharType="end"/>
      </w:r>
      <w:r w:rsidR="007929DD" w:rsidRPr="00561F65">
        <w:t>.</w:t>
      </w:r>
      <w:r w:rsidRPr="00561F65">
        <w:t xml:space="preserve"> </w:t>
      </w:r>
    </w:p>
  </w:footnote>
  <w:footnote w:id="141">
    <w:p w14:paraId="16459323" w14:textId="110C2855" w:rsidR="002C4C61" w:rsidRPr="00561F65" w:rsidRDefault="002C4C61" w:rsidP="004E4354">
      <w:pPr>
        <w:pStyle w:val="NotesBasPage"/>
      </w:pPr>
      <w:r w:rsidRPr="00561F65">
        <w:rPr>
          <w:rStyle w:val="Appelnotedebasdep"/>
        </w:rPr>
        <w:footnoteRef/>
      </w:r>
      <w:r w:rsidRPr="00561F65">
        <w:t xml:space="preserve"> </w:t>
      </w:r>
      <w:r w:rsidRPr="00561F65">
        <w:tab/>
      </w:r>
      <w:r w:rsidR="007E07EA" w:rsidRPr="00561F65">
        <w:t xml:space="preserve">Charles </w:t>
      </w:r>
      <w:r w:rsidRPr="00561F65">
        <w:rPr>
          <w:smallCaps/>
        </w:rPr>
        <w:t>Caza</w:t>
      </w:r>
      <w:r w:rsidRPr="00561F65">
        <w:t>, «</w:t>
      </w:r>
      <w:r w:rsidR="00AB4C13" w:rsidRPr="00561F65">
        <w:rPr>
          <w:rFonts w:ascii="Arial" w:hAnsi="Arial" w:cs="Arial"/>
        </w:rPr>
        <w:t> </w:t>
      </w:r>
      <w:r w:rsidRPr="00561F65">
        <w:t>Les questions d’identité de genre</w:t>
      </w:r>
      <w:r w:rsidR="00AB4C13" w:rsidRPr="00561F65">
        <w:rPr>
          <w:rFonts w:ascii="Arial" w:hAnsi="Arial" w:cs="Arial"/>
        </w:rPr>
        <w:t> </w:t>
      </w:r>
      <w:r w:rsidRPr="00561F65">
        <w:t xml:space="preserve">» dans </w:t>
      </w:r>
      <w:r w:rsidRPr="00561F65">
        <w:rPr>
          <w:i/>
        </w:rPr>
        <w:t>Droits et libertés au travail</w:t>
      </w:r>
      <w:r w:rsidR="00F01F5E" w:rsidRPr="00561F65">
        <w:rPr>
          <w:rFonts w:ascii="Arial" w:hAnsi="Arial" w:cs="Arial"/>
          <w:i/>
        </w:rPr>
        <w:t> </w:t>
      </w:r>
      <w:r w:rsidRPr="00561F65">
        <w:rPr>
          <w:i/>
        </w:rPr>
        <w:t>: tout ce qu</w:t>
      </w:r>
      <w:r w:rsidRPr="00561F65">
        <w:rPr>
          <w:rFonts w:cs="Aptos"/>
          <w:i/>
        </w:rPr>
        <w:t>’</w:t>
      </w:r>
      <w:r w:rsidRPr="00561F65">
        <w:rPr>
          <w:i/>
        </w:rPr>
        <w:t>il faut savoir</w:t>
      </w:r>
      <w:r w:rsidRPr="00561F65">
        <w:t xml:space="preserve">, </w:t>
      </w:r>
      <w:r w:rsidR="007E07EA" w:rsidRPr="00561F65">
        <w:t xml:space="preserve">(2024) </w:t>
      </w:r>
      <w:r w:rsidRPr="00561F65">
        <w:t>Charles Caza éd, Wilson et Lafleur, 449, 450.</w:t>
      </w:r>
    </w:p>
  </w:footnote>
  <w:footnote w:id="142">
    <w:p w14:paraId="062A736B" w14:textId="4EEAB0A1" w:rsidR="002C4C61" w:rsidRPr="00561F65" w:rsidRDefault="002C4C61" w:rsidP="004E4354">
      <w:pPr>
        <w:pStyle w:val="NotesBasPage"/>
      </w:pPr>
      <w:r w:rsidRPr="00561F65">
        <w:rPr>
          <w:rStyle w:val="Appelnotedebasdep"/>
        </w:rPr>
        <w:footnoteRef/>
      </w:r>
      <w:r w:rsidRPr="00561F65">
        <w:t xml:space="preserve"> </w:t>
      </w:r>
      <w:r w:rsidRPr="00561F65">
        <w:tab/>
      </w:r>
      <w:r w:rsidRPr="00561F65">
        <w:rPr>
          <w:i/>
        </w:rPr>
        <w:t>Boivin</w:t>
      </w:r>
      <w:r w:rsidRPr="00561F65">
        <w:t xml:space="preserve"> c</w:t>
      </w:r>
      <w:r w:rsidR="007E07EA" w:rsidRPr="00561F65">
        <w:t>.</w:t>
      </w:r>
      <w:r w:rsidRPr="00561F65">
        <w:t xml:space="preserve"> </w:t>
      </w:r>
      <w:r w:rsidRPr="00561F65">
        <w:rPr>
          <w:i/>
        </w:rPr>
        <w:t>Centre Femmes aux 3A de Québec Inc</w:t>
      </w:r>
      <w:r w:rsidRPr="00561F65">
        <w:t>., 1993</w:t>
      </w:r>
      <w:r w:rsidR="00BB0290" w:rsidRPr="00561F65">
        <w:t> </w:t>
      </w:r>
      <w:r w:rsidRPr="00561F65">
        <w:t xml:space="preserve">AZ-93039091 QCCQ (200-02-004932-911) </w:t>
      </w:r>
      <w:r w:rsidR="007E07EA" w:rsidRPr="00561F65">
        <w:t>(</w:t>
      </w:r>
      <w:r w:rsidRPr="00561F65">
        <w:t>orientation sexuelle – le congédiement n’est pas discriminatoire</w:t>
      </w:r>
      <w:r w:rsidR="007E07EA" w:rsidRPr="00561F65">
        <w:t>)</w:t>
      </w:r>
      <w:r w:rsidR="00BD6329" w:rsidRPr="00561F65">
        <w:rPr>
          <w:rFonts w:ascii="Arial" w:hAnsi="Arial" w:cs="Arial"/>
        </w:rPr>
        <w:t> </w:t>
      </w:r>
      <w:r w:rsidRPr="00561F65">
        <w:t xml:space="preserve">; </w:t>
      </w:r>
      <w:r w:rsidRPr="00561F65">
        <w:rPr>
          <w:i/>
        </w:rPr>
        <w:t>Richard</w:t>
      </w:r>
      <w:r w:rsidRPr="00561F65">
        <w:t xml:space="preserve"> c</w:t>
      </w:r>
      <w:r w:rsidR="007E07EA" w:rsidRPr="00561F65">
        <w:t>.</w:t>
      </w:r>
      <w:r w:rsidRPr="00561F65">
        <w:t xml:space="preserve"> </w:t>
      </w:r>
      <w:r w:rsidRPr="00561F65">
        <w:rPr>
          <w:i/>
        </w:rPr>
        <w:t>Maison Robert Riendeau</w:t>
      </w:r>
      <w:r w:rsidRPr="00561F65">
        <w:t>, 1994</w:t>
      </w:r>
      <w:r w:rsidR="005516C0" w:rsidRPr="00561F65">
        <w:t> </w:t>
      </w:r>
      <w:r w:rsidRPr="00561F65">
        <w:t>CanLII</w:t>
      </w:r>
      <w:r w:rsidR="005C5B01" w:rsidRPr="00561F65">
        <w:t> </w:t>
      </w:r>
      <w:r w:rsidRPr="00561F65">
        <w:t xml:space="preserve">16234 (QCCS) </w:t>
      </w:r>
      <w:r w:rsidR="007E07EA" w:rsidRPr="00561F65">
        <w:t>(</w:t>
      </w:r>
      <w:r w:rsidRPr="00561F65">
        <w:t>orientation sexuelle</w:t>
      </w:r>
      <w:r w:rsidR="007E07EA" w:rsidRPr="00561F65">
        <w:t>)</w:t>
      </w:r>
      <w:r w:rsidR="00BD6329" w:rsidRPr="00561F65">
        <w:rPr>
          <w:rFonts w:ascii="Arial" w:hAnsi="Arial" w:cs="Arial"/>
        </w:rPr>
        <w:t> </w:t>
      </w:r>
      <w:r w:rsidRPr="00561F65">
        <w:t xml:space="preserve">; </w:t>
      </w:r>
      <w:r w:rsidRPr="00561F65">
        <w:rPr>
          <w:i/>
        </w:rPr>
        <w:t>Commission des droits de la personne et des droits de la jeunesse</w:t>
      </w:r>
      <w:r w:rsidRPr="00561F65">
        <w:t xml:space="preserve"> c</w:t>
      </w:r>
      <w:r w:rsidR="007E07EA" w:rsidRPr="00561F65">
        <w:t>.</w:t>
      </w:r>
      <w:r w:rsidRPr="00561F65">
        <w:t xml:space="preserve"> </w:t>
      </w:r>
      <w:r w:rsidRPr="00561F65">
        <w:rPr>
          <w:i/>
        </w:rPr>
        <w:t>Maison des jeunes</w:t>
      </w:r>
      <w:r w:rsidR="009F4DC9" w:rsidRPr="00561F65">
        <w:rPr>
          <w:i/>
        </w:rPr>
        <w:t xml:space="preserve"> A.</w:t>
      </w:r>
      <w:r w:rsidR="00EF5491" w:rsidRPr="00561F65">
        <w:t xml:space="preserve">, </w:t>
      </w:r>
      <w:proofErr w:type="spellStart"/>
      <w:r w:rsidR="009874A1" w:rsidRPr="00561F65">
        <w:t>préc</w:t>
      </w:r>
      <w:proofErr w:type="spellEnd"/>
      <w:r w:rsidR="009874A1" w:rsidRPr="00561F65">
        <w:t xml:space="preserve">., note </w:t>
      </w:r>
      <w:r w:rsidR="009874A1" w:rsidRPr="00561F65">
        <w:fldChar w:fldCharType="begin"/>
      </w:r>
      <w:r w:rsidR="009874A1" w:rsidRPr="00561F65">
        <w:instrText xml:space="preserve"> NOTEREF _Ref219194501 \h </w:instrText>
      </w:r>
      <w:r w:rsidR="007017CF" w:rsidRPr="00561F65">
        <w:instrText xml:space="preserve"> \* MERGEFORMAT </w:instrText>
      </w:r>
      <w:r w:rsidR="009874A1" w:rsidRPr="00561F65">
        <w:fldChar w:fldCharType="separate"/>
      </w:r>
      <w:r w:rsidR="000374E3" w:rsidRPr="00561F65">
        <w:t>21</w:t>
      </w:r>
      <w:r w:rsidR="009874A1" w:rsidRPr="00561F65">
        <w:fldChar w:fldCharType="end"/>
      </w:r>
      <w:r w:rsidR="005C5B01" w:rsidRPr="00561F65">
        <w:rPr>
          <w:i/>
        </w:rPr>
        <w:t> </w:t>
      </w:r>
      <w:r w:rsidRPr="00561F65">
        <w:t xml:space="preserve"> </w:t>
      </w:r>
      <w:r w:rsidR="007E07EA" w:rsidRPr="00561F65">
        <w:t>(</w:t>
      </w:r>
      <w:r w:rsidRPr="00561F65">
        <w:t>discrimination sur la base de la transition de genre reconnue sous le motif sexe</w:t>
      </w:r>
      <w:r w:rsidR="007E07EA" w:rsidRPr="00561F65">
        <w:t>)</w:t>
      </w:r>
      <w:r w:rsidR="00BD6329" w:rsidRPr="00561F65">
        <w:rPr>
          <w:rFonts w:ascii="Arial" w:hAnsi="Arial" w:cs="Arial"/>
        </w:rPr>
        <w:t> </w:t>
      </w:r>
      <w:r w:rsidRPr="00561F65">
        <w:t xml:space="preserve">; </w:t>
      </w:r>
      <w:proofErr w:type="spellStart"/>
      <w:r w:rsidRPr="00561F65">
        <w:rPr>
          <w:i/>
        </w:rPr>
        <w:t>Figoli</w:t>
      </w:r>
      <w:proofErr w:type="spellEnd"/>
      <w:r w:rsidRPr="00561F65">
        <w:t xml:space="preserve"> c</w:t>
      </w:r>
      <w:r w:rsidR="00BC643F" w:rsidRPr="00561F65">
        <w:t>.</w:t>
      </w:r>
      <w:r w:rsidRPr="00561F65">
        <w:t xml:space="preserve"> </w:t>
      </w:r>
      <w:r w:rsidRPr="00561F65">
        <w:rPr>
          <w:i/>
        </w:rPr>
        <w:t>La Cabane à sucre Lalande Inc.,</w:t>
      </w:r>
      <w:r w:rsidRPr="00561F65">
        <w:t xml:space="preserve"> </w:t>
      </w:r>
      <w:r w:rsidRPr="00561F65">
        <w:rPr>
          <w:rFonts w:asciiTheme="minorHAnsi" w:hAnsiTheme="minorHAnsi" w:cs="Open Sans"/>
          <w:shd w:val="clear" w:color="auto" w:fill="FFFFFF"/>
        </w:rPr>
        <w:t>2003</w:t>
      </w:r>
      <w:r w:rsidR="005516C0" w:rsidRPr="00561F65">
        <w:rPr>
          <w:rFonts w:asciiTheme="minorHAnsi" w:hAnsiTheme="minorHAnsi" w:cs="Open Sans"/>
          <w:shd w:val="clear" w:color="auto" w:fill="FFFFFF"/>
        </w:rPr>
        <w:t> </w:t>
      </w:r>
      <w:r w:rsidRPr="00561F65">
        <w:rPr>
          <w:rFonts w:asciiTheme="minorHAnsi" w:hAnsiTheme="minorHAnsi" w:cs="Open Sans"/>
          <w:shd w:val="clear" w:color="auto" w:fill="FFFFFF"/>
        </w:rPr>
        <w:t>CanLII</w:t>
      </w:r>
      <w:r w:rsidR="005C5B01" w:rsidRPr="00561F65">
        <w:rPr>
          <w:rFonts w:asciiTheme="minorHAnsi" w:hAnsiTheme="minorHAnsi" w:cs="Open Sans"/>
          <w:shd w:val="clear" w:color="auto" w:fill="FFFFFF"/>
        </w:rPr>
        <w:t> </w:t>
      </w:r>
      <w:r w:rsidRPr="00561F65">
        <w:rPr>
          <w:rFonts w:asciiTheme="minorHAnsi" w:hAnsiTheme="minorHAnsi" w:cs="Open Sans"/>
          <w:shd w:val="clear" w:color="auto" w:fill="FFFFFF"/>
        </w:rPr>
        <w:t>28558</w:t>
      </w:r>
      <w:r w:rsidRPr="00561F65">
        <w:rPr>
          <w:rFonts w:asciiTheme="minorHAnsi" w:hAnsiTheme="minorHAnsi"/>
        </w:rPr>
        <w:t xml:space="preserve"> (QCCQ)</w:t>
      </w:r>
      <w:r w:rsidRPr="00561F65">
        <w:t xml:space="preserve"> </w:t>
      </w:r>
      <w:r w:rsidR="00BC643F" w:rsidRPr="00561F65">
        <w:t>(</w:t>
      </w:r>
      <w:r w:rsidRPr="00561F65">
        <w:t>orientation sexuelle</w:t>
      </w:r>
      <w:r w:rsidR="00941472" w:rsidRPr="00561F65">
        <w:t>)</w:t>
      </w:r>
      <w:r w:rsidR="00BD6329" w:rsidRPr="00561F65">
        <w:rPr>
          <w:rFonts w:ascii="Arial" w:hAnsi="Arial" w:cs="Arial"/>
        </w:rPr>
        <w:t> </w:t>
      </w:r>
      <w:r w:rsidRPr="00561F65">
        <w:t xml:space="preserve">; </w:t>
      </w:r>
      <w:proofErr w:type="spellStart"/>
      <w:r w:rsidRPr="00561F65">
        <w:rPr>
          <w:i/>
        </w:rPr>
        <w:t>Amziane</w:t>
      </w:r>
      <w:proofErr w:type="spellEnd"/>
      <w:r w:rsidRPr="00561F65">
        <w:t xml:space="preserve"> c</w:t>
      </w:r>
      <w:r w:rsidR="00941472" w:rsidRPr="00561F65">
        <w:t>.</w:t>
      </w:r>
      <w:r w:rsidRPr="00561F65">
        <w:t xml:space="preserve"> </w:t>
      </w:r>
      <w:r w:rsidRPr="00561F65">
        <w:rPr>
          <w:i/>
        </w:rPr>
        <w:t>Bell Mobilité</w:t>
      </w:r>
      <w:r w:rsidRPr="00561F65">
        <w:t xml:space="preserve">, 2004 QCCS 2004 CanLII 4929 </w:t>
      </w:r>
      <w:r w:rsidR="00EA12A0" w:rsidRPr="00561F65">
        <w:t>(</w:t>
      </w:r>
      <w:r w:rsidRPr="00561F65">
        <w:t>orientation sexuelle – le congédiement n’est pas discriminatoire, mais une atteinte au droit au respect de sa vie privée est reconnue</w:t>
      </w:r>
      <w:r w:rsidR="00EA12A0" w:rsidRPr="00561F65">
        <w:t>)</w:t>
      </w:r>
      <w:r w:rsidR="00BD6329" w:rsidRPr="00561F65">
        <w:rPr>
          <w:rFonts w:ascii="Arial" w:hAnsi="Arial" w:cs="Arial"/>
        </w:rPr>
        <w:t> </w:t>
      </w:r>
      <w:r w:rsidRPr="00561F65">
        <w:t xml:space="preserve">; </w:t>
      </w:r>
      <w:r w:rsidRPr="00561F65">
        <w:rPr>
          <w:i/>
        </w:rPr>
        <w:t>Commission des droits de la personne et des droits de la jeunesse (Rivest)</w:t>
      </w:r>
      <w:r w:rsidRPr="00561F65">
        <w:t xml:space="preserve"> c</w:t>
      </w:r>
      <w:r w:rsidR="00EA12A0" w:rsidRPr="00561F65">
        <w:t>.</w:t>
      </w:r>
      <w:r w:rsidR="005C5B01" w:rsidRPr="00561F65">
        <w:t> </w:t>
      </w:r>
      <w:r w:rsidRPr="00561F65">
        <w:rPr>
          <w:i/>
        </w:rPr>
        <w:t xml:space="preserve">9113-0831 Québec </w:t>
      </w:r>
      <w:proofErr w:type="spellStart"/>
      <w:r w:rsidRPr="00561F65">
        <w:rPr>
          <w:i/>
        </w:rPr>
        <w:t>inc.</w:t>
      </w:r>
      <w:proofErr w:type="spellEnd"/>
      <w:r w:rsidRPr="00561F65">
        <w:rPr>
          <w:i/>
        </w:rPr>
        <w:t xml:space="preserve"> (Bronzage Évasion au soleil du monde)</w:t>
      </w:r>
      <w:r w:rsidRPr="00561F65">
        <w:t>, 2007</w:t>
      </w:r>
      <w:r w:rsidR="005516C0" w:rsidRPr="00561F65">
        <w:t> </w:t>
      </w:r>
      <w:r w:rsidRPr="00561F65">
        <w:t>QCTDP</w:t>
      </w:r>
      <w:r w:rsidR="005C5B01" w:rsidRPr="00561F65">
        <w:t> </w:t>
      </w:r>
      <w:r w:rsidRPr="00561F65">
        <w:t xml:space="preserve">18 </w:t>
      </w:r>
      <w:r w:rsidR="00EA12A0" w:rsidRPr="00561F65">
        <w:t>(</w:t>
      </w:r>
      <w:r w:rsidRPr="00561F65">
        <w:t>orientation sexuelle</w:t>
      </w:r>
      <w:r w:rsidR="00EA12A0" w:rsidRPr="00561F65">
        <w:t>)</w:t>
      </w:r>
      <w:r w:rsidR="00BD6329" w:rsidRPr="00561F65">
        <w:rPr>
          <w:rFonts w:ascii="Arial" w:hAnsi="Arial" w:cs="Arial"/>
        </w:rPr>
        <w:t> </w:t>
      </w:r>
      <w:r w:rsidRPr="00561F65">
        <w:t xml:space="preserve">; </w:t>
      </w:r>
      <w:r w:rsidRPr="00561F65">
        <w:rPr>
          <w:i/>
        </w:rPr>
        <w:t>Cossette</w:t>
      </w:r>
      <w:r w:rsidRPr="00561F65">
        <w:t xml:space="preserve"> c</w:t>
      </w:r>
      <w:r w:rsidR="00EA12A0" w:rsidRPr="00561F65">
        <w:t>.</w:t>
      </w:r>
      <w:r w:rsidRPr="00561F65">
        <w:t xml:space="preserve"> </w:t>
      </w:r>
      <w:r w:rsidRPr="00561F65">
        <w:rPr>
          <w:i/>
        </w:rPr>
        <w:t>Entreprises B. Chouinard</w:t>
      </w:r>
      <w:r w:rsidRPr="00561F65">
        <w:t>, 2021</w:t>
      </w:r>
      <w:r w:rsidR="005516C0" w:rsidRPr="00561F65">
        <w:t> </w:t>
      </w:r>
      <w:r w:rsidRPr="00561F65">
        <w:t>QCCQ</w:t>
      </w:r>
      <w:r w:rsidR="005C5B01" w:rsidRPr="00561F65">
        <w:t> </w:t>
      </w:r>
      <w:r w:rsidRPr="00561F65">
        <w:t xml:space="preserve">12029 </w:t>
      </w:r>
      <w:r w:rsidR="00EA12A0" w:rsidRPr="00561F65">
        <w:t>(</w:t>
      </w:r>
      <w:r w:rsidRPr="00561F65">
        <w:t>identité ou expression de genre</w:t>
      </w:r>
      <w:r w:rsidR="00EA12A0" w:rsidRPr="00561F65">
        <w:t>).</w:t>
      </w:r>
      <w:r w:rsidRPr="00561F65">
        <w:t xml:space="preserve"> </w:t>
      </w:r>
    </w:p>
  </w:footnote>
  <w:footnote w:id="143">
    <w:p w14:paraId="259A9136" w14:textId="1165A7E4" w:rsidR="002C4C61" w:rsidRPr="00561F65" w:rsidRDefault="002C4C61" w:rsidP="004E4354">
      <w:pPr>
        <w:pStyle w:val="NotesBasPage"/>
      </w:pPr>
      <w:r w:rsidRPr="00561F65">
        <w:rPr>
          <w:rStyle w:val="Appelnotedebasdep"/>
        </w:rPr>
        <w:footnoteRef/>
      </w:r>
      <w:r w:rsidRPr="00561F65">
        <w:t xml:space="preserve"> </w:t>
      </w:r>
      <w:r w:rsidRPr="00561F65">
        <w:tab/>
      </w:r>
      <w:r w:rsidRPr="001759C5">
        <w:rPr>
          <w:i/>
          <w:iCs/>
        </w:rPr>
        <w:t>Commission des droits de la personne et des droits de la jeunesse (E.B.)</w:t>
      </w:r>
      <w:r w:rsidRPr="001921AF">
        <w:t xml:space="preserve"> </w:t>
      </w:r>
      <w:r w:rsidRPr="00561F65">
        <w:t>c</w:t>
      </w:r>
      <w:r w:rsidR="00EA12A0" w:rsidRPr="00561F65">
        <w:t>.</w:t>
      </w:r>
      <w:r w:rsidR="005C5B01" w:rsidRPr="00561F65">
        <w:t> </w:t>
      </w:r>
      <w:r w:rsidRPr="001759C5">
        <w:rPr>
          <w:i/>
          <w:iCs/>
        </w:rPr>
        <w:t xml:space="preserve">9302-6573 Québec </w:t>
      </w:r>
      <w:proofErr w:type="spellStart"/>
      <w:r w:rsidRPr="001759C5">
        <w:rPr>
          <w:i/>
          <w:iCs/>
        </w:rPr>
        <w:t>inc.</w:t>
      </w:r>
      <w:proofErr w:type="spellEnd"/>
      <w:r w:rsidRPr="001759C5">
        <w:rPr>
          <w:i/>
          <w:iCs/>
        </w:rPr>
        <w:t xml:space="preserve"> (Bar Lucky</w:t>
      </w:r>
      <w:r w:rsidR="005C5B01" w:rsidRPr="001759C5">
        <w:rPr>
          <w:i/>
          <w:iCs/>
        </w:rPr>
        <w:t> </w:t>
      </w:r>
      <w:r w:rsidRPr="001759C5">
        <w:rPr>
          <w:i/>
          <w:iCs/>
        </w:rPr>
        <w:t>7)</w:t>
      </w:r>
      <w:r w:rsidRPr="00561F65">
        <w:t>, 2024</w:t>
      </w:r>
      <w:r w:rsidR="005516C0" w:rsidRPr="00561F65">
        <w:t> </w:t>
      </w:r>
      <w:r w:rsidRPr="00561F65">
        <w:t>QCTDP</w:t>
      </w:r>
      <w:r w:rsidR="005C5B01" w:rsidRPr="00561F65">
        <w:t> </w:t>
      </w:r>
      <w:r w:rsidRPr="00561F65">
        <w:t xml:space="preserve">9 </w:t>
      </w:r>
      <w:r w:rsidR="00EA12A0" w:rsidRPr="00561F65">
        <w:t>(</w:t>
      </w:r>
      <w:r w:rsidRPr="00561F65">
        <w:t>identité ou expression de genre</w:t>
      </w:r>
      <w:r w:rsidR="00EA12A0" w:rsidRPr="00561F65">
        <w:t>).</w:t>
      </w:r>
      <w:r w:rsidRPr="00561F65">
        <w:t xml:space="preserve"> </w:t>
      </w:r>
    </w:p>
  </w:footnote>
  <w:footnote w:id="144">
    <w:p w14:paraId="35C18714" w14:textId="6C023C91" w:rsidR="002C4C61" w:rsidRPr="00561F65" w:rsidRDefault="002C4C61" w:rsidP="004E4354">
      <w:pPr>
        <w:pStyle w:val="NotesBasPage"/>
      </w:pPr>
      <w:r w:rsidRPr="00561F65">
        <w:rPr>
          <w:rStyle w:val="Appelnotedebasdep"/>
        </w:rPr>
        <w:footnoteRef/>
      </w:r>
      <w:r w:rsidRPr="00561F65">
        <w:t xml:space="preserve"> </w:t>
      </w:r>
      <w:r w:rsidRPr="00561F65">
        <w:tab/>
      </w:r>
      <w:r w:rsidRPr="00561F65">
        <w:rPr>
          <w:i/>
        </w:rPr>
        <w:t>Commission des droits de la personne et des droits de la jeunesse (M.G.)</w:t>
      </w:r>
      <w:r w:rsidRPr="00561F65">
        <w:t xml:space="preserve"> c. </w:t>
      </w:r>
      <w:r w:rsidRPr="00561F65">
        <w:rPr>
          <w:i/>
        </w:rPr>
        <w:t>Villemaire</w:t>
      </w:r>
      <w:r w:rsidRPr="00561F65">
        <w:t>, 2010</w:t>
      </w:r>
      <w:r w:rsidR="005516C0" w:rsidRPr="00561F65">
        <w:t> </w:t>
      </w:r>
      <w:r w:rsidRPr="00561F65">
        <w:t>QCTDP</w:t>
      </w:r>
      <w:r w:rsidR="005C5B01" w:rsidRPr="00561F65">
        <w:t> </w:t>
      </w:r>
      <w:r w:rsidRPr="00561F65">
        <w:t xml:space="preserve">8 (CanLII) </w:t>
      </w:r>
      <w:r w:rsidR="00B45DE6" w:rsidRPr="00561F65">
        <w:t>(</w:t>
      </w:r>
      <w:r w:rsidRPr="00561F65">
        <w:t>orientation sexuelle</w:t>
      </w:r>
      <w:r w:rsidR="00B45DE6" w:rsidRPr="00561F65">
        <w:t>)</w:t>
      </w:r>
      <w:r w:rsidR="00BD6329" w:rsidRPr="00561F65">
        <w:rPr>
          <w:rFonts w:ascii="Arial" w:hAnsi="Arial" w:cs="Arial"/>
        </w:rPr>
        <w:t> </w:t>
      </w:r>
      <w:r w:rsidRPr="00561F65">
        <w:t xml:space="preserve">; </w:t>
      </w:r>
      <w:r w:rsidRPr="00561F65">
        <w:rPr>
          <w:i/>
        </w:rPr>
        <w:t>Kin</w:t>
      </w:r>
      <w:r w:rsidRPr="00561F65">
        <w:t xml:space="preserve"> c</w:t>
      </w:r>
      <w:r w:rsidR="00B45DE6" w:rsidRPr="00561F65">
        <w:t>.</w:t>
      </w:r>
      <w:r w:rsidRPr="00561F65">
        <w:t xml:space="preserve"> </w:t>
      </w:r>
      <w:r w:rsidRPr="00561F65">
        <w:rPr>
          <w:i/>
        </w:rPr>
        <w:t>McNicoll</w:t>
      </w:r>
      <w:r w:rsidR="00DD49C9" w:rsidRPr="00561F65">
        <w:rPr>
          <w:i/>
        </w:rPr>
        <w:t xml:space="preserve">, </w:t>
      </w:r>
      <w:r w:rsidRPr="00561F65">
        <w:t>2021</w:t>
      </w:r>
      <w:r w:rsidR="00291541">
        <w:t> </w:t>
      </w:r>
      <w:r w:rsidRPr="00561F65">
        <w:t>QCTDP</w:t>
      </w:r>
      <w:r w:rsidR="005C5B01" w:rsidRPr="00561F65">
        <w:t> </w:t>
      </w:r>
      <w:r w:rsidRPr="00561F65">
        <w:t xml:space="preserve">34 </w:t>
      </w:r>
      <w:r w:rsidR="00B45DE6" w:rsidRPr="00561F65">
        <w:t>(</w:t>
      </w:r>
      <w:r w:rsidRPr="00561F65">
        <w:t>identité ou expression de genre et autres motifs</w:t>
      </w:r>
      <w:r w:rsidR="00B45DE6" w:rsidRPr="00561F65">
        <w:t>).</w:t>
      </w:r>
    </w:p>
  </w:footnote>
  <w:footnote w:id="145">
    <w:p w14:paraId="5C67E886" w14:textId="36DDD04F" w:rsidR="002C4C61" w:rsidRPr="00561F65" w:rsidRDefault="002C4C61" w:rsidP="004E4354">
      <w:pPr>
        <w:pStyle w:val="NotesBasPage"/>
      </w:pPr>
      <w:r w:rsidRPr="00561F65">
        <w:rPr>
          <w:rStyle w:val="Appelnotedebasdep"/>
        </w:rPr>
        <w:footnoteRef/>
      </w:r>
      <w:r w:rsidRPr="00561F65">
        <w:t xml:space="preserve"> </w:t>
      </w:r>
      <w:r w:rsidRPr="00561F65">
        <w:tab/>
      </w:r>
      <w:r w:rsidRPr="00561F65">
        <w:rPr>
          <w:i/>
          <w:shd w:val="clear" w:color="auto" w:fill="FFFFFF"/>
        </w:rPr>
        <w:t>Bertrand</w:t>
      </w:r>
      <w:r w:rsidRPr="00561F65">
        <w:rPr>
          <w:shd w:val="clear" w:color="auto" w:fill="FFFFFF"/>
        </w:rPr>
        <w:t xml:space="preserve"> c</w:t>
      </w:r>
      <w:r w:rsidR="001759C5">
        <w:rPr>
          <w:shd w:val="clear" w:color="auto" w:fill="FFFFFF"/>
        </w:rPr>
        <w:t>.</w:t>
      </w:r>
      <w:r w:rsidRPr="00561F65">
        <w:rPr>
          <w:shd w:val="clear" w:color="auto" w:fill="FFFFFF"/>
        </w:rPr>
        <w:t xml:space="preserve"> </w:t>
      </w:r>
      <w:r w:rsidRPr="00561F65">
        <w:rPr>
          <w:i/>
          <w:shd w:val="clear" w:color="auto" w:fill="FFFFFF"/>
        </w:rPr>
        <w:t>Hôpital général juif</w:t>
      </w:r>
      <w:r w:rsidRPr="00561F65">
        <w:rPr>
          <w:shd w:val="clear" w:color="auto" w:fill="FFFFFF"/>
        </w:rPr>
        <w:t>, 1994 CanLII</w:t>
      </w:r>
      <w:r w:rsidR="005C5B01" w:rsidRPr="00561F65">
        <w:rPr>
          <w:shd w:val="clear" w:color="auto" w:fill="FFFFFF"/>
        </w:rPr>
        <w:t> </w:t>
      </w:r>
      <w:r w:rsidRPr="00561F65">
        <w:rPr>
          <w:shd w:val="clear" w:color="auto" w:fill="FFFFFF"/>
        </w:rPr>
        <w:t>10023 (QC TDP) [allégation de harcèlement discriminatoire sur la base de l’orientation sexuelle par des collègues, mais la responsabilité de l’employeur n’est pas retenue notamment faute de divulgation des auteurs du harcèlement par la victime et de plaintes imprécises]</w:t>
      </w:r>
    </w:p>
  </w:footnote>
  <w:footnote w:id="146">
    <w:p w14:paraId="195049DA" w14:textId="68EAB243" w:rsidR="002C4C61" w:rsidRPr="00561F65" w:rsidRDefault="002C4C61" w:rsidP="004E4354">
      <w:pPr>
        <w:pStyle w:val="NotesBasPage"/>
      </w:pPr>
      <w:r w:rsidRPr="00561F65">
        <w:rPr>
          <w:rStyle w:val="Appelnotedebasdep"/>
        </w:rPr>
        <w:footnoteRef/>
      </w:r>
      <w:r w:rsidRPr="00561F65">
        <w:t xml:space="preserve"> </w:t>
      </w:r>
      <w:r w:rsidRPr="00561F65">
        <w:tab/>
        <w:t>Voir par exemple</w:t>
      </w:r>
      <w:r w:rsidR="00F01F5E" w:rsidRPr="00561F65">
        <w:t> </w:t>
      </w:r>
      <w:r w:rsidRPr="00561F65">
        <w:t xml:space="preserve">: </w:t>
      </w:r>
      <w:r w:rsidRPr="00561F65">
        <w:rPr>
          <w:i/>
        </w:rPr>
        <w:t>Canada (Procureur général)</w:t>
      </w:r>
      <w:r w:rsidRPr="00561F65">
        <w:t xml:space="preserve"> c</w:t>
      </w:r>
      <w:r w:rsidR="007A2311" w:rsidRPr="00561F65">
        <w:t>.</w:t>
      </w:r>
      <w:r w:rsidRPr="00561F65">
        <w:t xml:space="preserve"> </w:t>
      </w:r>
      <w:r w:rsidRPr="00561F65">
        <w:rPr>
          <w:i/>
        </w:rPr>
        <w:t>Mossop</w:t>
      </w:r>
      <w:r w:rsidRPr="00561F65">
        <w:t>, [1993] 1</w:t>
      </w:r>
      <w:r w:rsidR="005516C0" w:rsidRPr="00561F65">
        <w:t> </w:t>
      </w:r>
      <w:r w:rsidRPr="00561F65">
        <w:t>R.C.S.</w:t>
      </w:r>
      <w:r w:rsidR="005C5B01" w:rsidRPr="00561F65">
        <w:t> </w:t>
      </w:r>
      <w:r w:rsidRPr="00561F65">
        <w:t xml:space="preserve">554 (décision rendue sur la base du motif de la situation de famille, le motif orientation sexuelle n’étant pas inclus dans la </w:t>
      </w:r>
      <w:r w:rsidRPr="00561F65">
        <w:rPr>
          <w:i/>
        </w:rPr>
        <w:t>Loi canadienne sur les droits de la personne</w:t>
      </w:r>
      <w:r w:rsidRPr="00561F65">
        <w:t xml:space="preserve"> au moment des faits) </w:t>
      </w:r>
    </w:p>
  </w:footnote>
  <w:footnote w:id="147">
    <w:p w14:paraId="382DFC9F" w14:textId="7D881951" w:rsidR="002C4C61" w:rsidRPr="00561F65" w:rsidRDefault="002C4C61" w:rsidP="004E4354">
      <w:pPr>
        <w:pStyle w:val="NotesBasPage"/>
      </w:pPr>
      <w:r w:rsidRPr="00561F65">
        <w:rPr>
          <w:rStyle w:val="Appelnotedebasdep"/>
        </w:rPr>
        <w:footnoteRef/>
      </w:r>
      <w:r w:rsidRPr="00561F65">
        <w:t xml:space="preserve"> </w:t>
      </w:r>
      <w:r w:rsidR="003A74A6" w:rsidRPr="00561F65">
        <w:tab/>
      </w:r>
      <w:r w:rsidRPr="00561F65">
        <w:t xml:space="preserve">Voir par exemple </w:t>
      </w:r>
      <w:r w:rsidR="003F79BA" w:rsidRPr="00561F65">
        <w:t>C</w:t>
      </w:r>
      <w:r w:rsidR="007929DD" w:rsidRPr="00561F65">
        <w:t>.</w:t>
      </w:r>
      <w:r w:rsidR="00E328B0">
        <w:t> </w:t>
      </w:r>
      <w:r w:rsidRPr="00561F65">
        <w:t xml:space="preserve">Caza, </w:t>
      </w:r>
      <w:proofErr w:type="spellStart"/>
      <w:r w:rsidR="0074440F" w:rsidRPr="00561F65">
        <w:t>préc</w:t>
      </w:r>
      <w:proofErr w:type="spellEnd"/>
      <w:r w:rsidR="0074440F" w:rsidRPr="00561F65">
        <w:t xml:space="preserve">., note </w:t>
      </w:r>
      <w:r w:rsidR="0074440F" w:rsidRPr="00561F65">
        <w:fldChar w:fldCharType="begin"/>
      </w:r>
      <w:r w:rsidR="0074440F" w:rsidRPr="00561F65">
        <w:instrText xml:space="preserve"> NOTEREF _Ref218500589 \h  \* MERGEFORMAT </w:instrText>
      </w:r>
      <w:r w:rsidR="0074440F" w:rsidRPr="00561F65">
        <w:fldChar w:fldCharType="separate"/>
      </w:r>
      <w:r w:rsidR="000374E3" w:rsidRPr="00561F65">
        <w:t>140</w:t>
      </w:r>
      <w:r w:rsidR="0074440F" w:rsidRPr="00561F65">
        <w:fldChar w:fldCharType="end"/>
      </w:r>
      <w:r w:rsidR="007929DD" w:rsidRPr="00561F65">
        <w:t>.</w:t>
      </w:r>
    </w:p>
  </w:footnote>
  <w:footnote w:id="148">
    <w:p w14:paraId="0CCEE575" w14:textId="4D9E95B4" w:rsidR="00AF388F" w:rsidRPr="00561F65" w:rsidRDefault="00AF388F" w:rsidP="004E4354">
      <w:pPr>
        <w:pStyle w:val="NotesBasPage"/>
      </w:pPr>
      <w:r w:rsidRPr="00561F65">
        <w:rPr>
          <w:rStyle w:val="Appelnotedebasdep"/>
        </w:rPr>
        <w:footnoteRef/>
      </w:r>
      <w:r w:rsidRPr="00561F65">
        <w:t xml:space="preserve"> </w:t>
      </w:r>
      <w:r w:rsidR="003A74A6" w:rsidRPr="00561F65">
        <w:tab/>
      </w:r>
      <w:r w:rsidRPr="00561F65">
        <w:rPr>
          <w:szCs w:val="22"/>
        </w:rPr>
        <w:t>Le plan stratégique 2021-2025 de la Commission prév</w:t>
      </w:r>
      <w:r w:rsidR="00E85613">
        <w:rPr>
          <w:szCs w:val="22"/>
        </w:rPr>
        <w:t>oyait</w:t>
      </w:r>
      <w:r w:rsidRPr="00561F65">
        <w:rPr>
          <w:szCs w:val="22"/>
        </w:rPr>
        <w:t>, à son objectif 2.1.3, qu’elle «</w:t>
      </w:r>
      <w:r w:rsidRPr="00561F65">
        <w:rPr>
          <w:rFonts w:ascii="Arial" w:hAnsi="Arial" w:cs="Arial"/>
          <w:szCs w:val="22"/>
        </w:rPr>
        <w:t> </w:t>
      </w:r>
      <w:r w:rsidRPr="00561F65">
        <w:t>poursuivra ses analyses en vue de l’adoption d’orientations quant à l’opportunité de recommander l’ajout des minorités sexuelles et de genre aux groupes visés par les programmes d’accès à l’égalité en emploi</w:t>
      </w:r>
      <w:r w:rsidRPr="00561F65">
        <w:rPr>
          <w:rFonts w:ascii="Arial" w:hAnsi="Arial" w:cs="Arial"/>
        </w:rPr>
        <w:t> </w:t>
      </w:r>
      <w:r w:rsidRPr="00561F65">
        <w:t xml:space="preserve">». Voir </w:t>
      </w:r>
      <w:r w:rsidRPr="00561F65">
        <w:rPr>
          <w:smallCaps/>
        </w:rPr>
        <w:t>Commission des droits de la personne et des droits de la jeunesse</w:t>
      </w:r>
      <w:r w:rsidRPr="00561F65">
        <w:t xml:space="preserve">, </w:t>
      </w:r>
      <w:r w:rsidRPr="00561F65">
        <w:rPr>
          <w:i/>
        </w:rPr>
        <w:t>Plan stratégique 2021-2025</w:t>
      </w:r>
      <w:r w:rsidRPr="00561F65">
        <w:t>, 2021, p.</w:t>
      </w:r>
      <w:r w:rsidR="005C5B01" w:rsidRPr="00561F65">
        <w:t> </w:t>
      </w:r>
      <w:r w:rsidRPr="00561F65">
        <w:t xml:space="preserve">17, </w:t>
      </w:r>
      <w:bookmarkStart w:id="78" w:name="_Hlk217031589"/>
      <w:r w:rsidRPr="00561F65">
        <w:t xml:space="preserve">[En ligne]. </w:t>
      </w:r>
      <w:bookmarkEnd w:id="78"/>
      <w:r w:rsidR="009119D5">
        <w:fldChar w:fldCharType="begin"/>
      </w:r>
      <w:r w:rsidR="009119D5">
        <w:instrText>HYPERLINK "https://www.cdpdj.qc.ca/storage/app/media/publications/Planification_strategique_2021-2025.pdf"</w:instrText>
      </w:r>
      <w:r w:rsidR="009119D5">
        <w:fldChar w:fldCharType="separate"/>
      </w:r>
      <w:r w:rsidRPr="009119D5">
        <w:rPr>
          <w:rStyle w:val="Lienhypertexte"/>
        </w:rPr>
        <w:t>https://www.cdpdj.qc.ca/storage/app/media/publications/Planification_strategique_2021-2025.pdf</w:t>
      </w:r>
      <w:r w:rsidR="009119D5">
        <w:fldChar w:fldCharType="end"/>
      </w:r>
      <w:r w:rsidRPr="00561F65">
        <w:t xml:space="preserve"> </w:t>
      </w:r>
    </w:p>
  </w:footnote>
  <w:footnote w:id="149">
    <w:p w14:paraId="702911AF" w14:textId="77777777" w:rsidR="000D55E9" w:rsidRPr="00561F65" w:rsidRDefault="000D55E9" w:rsidP="004E4354">
      <w:pPr>
        <w:pStyle w:val="NotesBasPage"/>
      </w:pPr>
      <w:r w:rsidRPr="00561F65">
        <w:rPr>
          <w:rStyle w:val="Appelnotedebasdep"/>
        </w:rPr>
        <w:footnoteRef/>
      </w:r>
      <w:r w:rsidRPr="00561F65">
        <w:t xml:space="preserve"> </w:t>
      </w:r>
      <w:r w:rsidRPr="00561F65">
        <w:tab/>
        <w:t xml:space="preserve">Daniel </w:t>
      </w:r>
      <w:r w:rsidRPr="00561F65">
        <w:rPr>
          <w:smallCaps/>
        </w:rPr>
        <w:t xml:space="preserve">Proulx </w:t>
      </w:r>
      <w:r w:rsidRPr="00561F65">
        <w:t xml:space="preserve">et Frédérick J. </w:t>
      </w:r>
      <w:r w:rsidRPr="00561F65">
        <w:rPr>
          <w:smallCaps/>
        </w:rPr>
        <w:t>Doucet</w:t>
      </w:r>
      <w:r w:rsidRPr="00561F65">
        <w:t>, «</w:t>
      </w:r>
      <w:r w:rsidRPr="00561F65">
        <w:rPr>
          <w:rFonts w:ascii="Arial" w:hAnsi="Arial" w:cs="Arial"/>
        </w:rPr>
        <w:t> </w:t>
      </w:r>
      <w:r w:rsidRPr="00561F65">
        <w:t>Droit à l’égalité</w:t>
      </w:r>
      <w:r w:rsidRPr="00561F65">
        <w:rPr>
          <w:rFonts w:ascii="Arial" w:hAnsi="Arial" w:cs="Arial"/>
        </w:rPr>
        <w:t> </w:t>
      </w:r>
      <w:r w:rsidRPr="00561F65">
        <w:t xml:space="preserve">», dans </w:t>
      </w:r>
      <w:r w:rsidRPr="00561F65">
        <w:rPr>
          <w:i/>
        </w:rPr>
        <w:t>JCQ Droit public - Droit constitutionnel,</w:t>
      </w:r>
      <w:r w:rsidRPr="00561F65">
        <w:t xml:space="preserve"> Lexis Nexis, 2024, au para 165.</w:t>
      </w:r>
    </w:p>
  </w:footnote>
  <w:footnote w:id="150">
    <w:p w14:paraId="72985743" w14:textId="4835B0A8" w:rsidR="000D55E9" w:rsidRPr="00561F65" w:rsidRDefault="000D55E9" w:rsidP="004E4354">
      <w:pPr>
        <w:pStyle w:val="NotesBasPage"/>
      </w:pPr>
      <w:r w:rsidRPr="00561F65">
        <w:rPr>
          <w:rStyle w:val="Appelnotedebasdep"/>
        </w:rPr>
        <w:footnoteRef/>
      </w:r>
      <w:r w:rsidRPr="00561F65">
        <w:t xml:space="preserve"> </w:t>
      </w:r>
      <w:r w:rsidRPr="00561F65">
        <w:tab/>
        <w:t xml:space="preserve">Sur les champs de compétence respectifs et l’application concurrente des deux lois, </w:t>
      </w:r>
      <w:r w:rsidR="003357E2" w:rsidRPr="00561F65">
        <w:rPr>
          <w:i/>
        </w:rPr>
        <w:t>id</w:t>
      </w:r>
      <w:r w:rsidR="003357E2" w:rsidRPr="00561F65">
        <w:t>.</w:t>
      </w:r>
      <w:r w:rsidRPr="00561F65">
        <w:t xml:space="preserve">au para 86. </w:t>
      </w:r>
    </w:p>
  </w:footnote>
  <w:footnote w:id="151">
    <w:p w14:paraId="407B05CA" w14:textId="4DFEF97E" w:rsidR="000D55E9" w:rsidRPr="00561F65" w:rsidRDefault="000D55E9" w:rsidP="004E4354">
      <w:pPr>
        <w:pStyle w:val="NotesBasPage"/>
      </w:pPr>
      <w:r w:rsidRPr="00561F65">
        <w:rPr>
          <w:rStyle w:val="Appelnotedebasdep"/>
        </w:rPr>
        <w:footnoteRef/>
      </w:r>
      <w:r w:rsidRPr="00561F65">
        <w:t xml:space="preserve"> </w:t>
      </w:r>
      <w:r w:rsidRPr="00561F65">
        <w:tab/>
        <w:t>Sur environ 21 millions d’emplois, le secteur public fédéral en compte 358</w:t>
      </w:r>
      <w:r w:rsidRPr="00561F65">
        <w:rPr>
          <w:rFonts w:ascii="Arial" w:hAnsi="Arial" w:cs="Arial"/>
        </w:rPr>
        <w:t> </w:t>
      </w:r>
      <w:r w:rsidRPr="00561F65">
        <w:t>000 et le secteur privé sous règlementation fédérale, 990</w:t>
      </w:r>
      <w:r w:rsidRPr="00561F65">
        <w:rPr>
          <w:rFonts w:ascii="Arial" w:hAnsi="Arial" w:cs="Arial"/>
        </w:rPr>
        <w:t> </w:t>
      </w:r>
      <w:r w:rsidRPr="00561F65">
        <w:t xml:space="preserve">000. Voir </w:t>
      </w:r>
      <w:r w:rsidRPr="00561F65">
        <w:rPr>
          <w:smallCaps/>
        </w:rPr>
        <w:t>Gouvernement du Canada</w:t>
      </w:r>
      <w:r w:rsidRPr="00561F65">
        <w:t xml:space="preserve">, </w:t>
      </w:r>
      <w:r w:rsidRPr="00561F65">
        <w:rPr>
          <w:i/>
        </w:rPr>
        <w:t>Effectif de la fonction publique fédérale par ministère ou organisme</w:t>
      </w:r>
      <w:r w:rsidRPr="00561F65">
        <w:t xml:space="preserve">, </w:t>
      </w:r>
      <w:r w:rsidR="00CF299C" w:rsidRPr="00561F65">
        <w:t xml:space="preserve">[En ligne]. </w:t>
      </w:r>
      <w:hyperlink r:id="rId91" w:history="1">
        <w:r w:rsidR="007414CA" w:rsidRPr="007912CF">
          <w:rPr>
            <w:rStyle w:val="Lienhypertexte"/>
          </w:rPr>
          <w:t>https://www.canada.ca/fr/secretariat-conseil-tresor/services/innovation/statistiques-ressources-humaines/effectif-fonction-publique-federale-minstere.html</w:t>
        </w:r>
      </w:hyperlink>
      <w:r w:rsidRPr="00561F65">
        <w:rPr>
          <w:rFonts w:ascii="Arial" w:hAnsi="Arial" w:cs="Arial"/>
        </w:rPr>
        <w:t> </w:t>
      </w:r>
      <w:r w:rsidRPr="00561F65">
        <w:t xml:space="preserve">; </w:t>
      </w:r>
      <w:r w:rsidRPr="00561F65">
        <w:rPr>
          <w:smallCaps/>
        </w:rPr>
        <w:t>Gouvernement du Canada</w:t>
      </w:r>
      <w:r w:rsidRPr="00561F65">
        <w:t xml:space="preserve">, </w:t>
      </w:r>
      <w:r w:rsidRPr="00561F65">
        <w:rPr>
          <w:i/>
        </w:rPr>
        <w:t>Portrait du secteur privé sous r</w:t>
      </w:r>
      <w:r w:rsidR="00237843" w:rsidRPr="00561F65">
        <w:rPr>
          <w:i/>
        </w:rPr>
        <w:t>è</w:t>
      </w:r>
      <w:r w:rsidRPr="00561F65">
        <w:rPr>
          <w:i/>
        </w:rPr>
        <w:t>glementation fédérale</w:t>
      </w:r>
      <w:r w:rsidRPr="00561F65">
        <w:t xml:space="preserve">, </w:t>
      </w:r>
      <w:r w:rsidR="007E5646" w:rsidRPr="00561F65">
        <w:t xml:space="preserve">[En ligne]. </w:t>
      </w:r>
      <w:hyperlink r:id="rId92" w:history="1">
        <w:r w:rsidRPr="007414CA">
          <w:rPr>
            <w:rStyle w:val="Lienhypertexte"/>
          </w:rPr>
          <w:t>https://www.canada.ca/fr/emploi-developpement-social/ministere/portefeuille/travail/programmes/normes-travail/rapports/document-discussion-portrait-secteur-prive-reglementation-federale.html</w:t>
        </w:r>
      </w:hyperlink>
    </w:p>
  </w:footnote>
  <w:footnote w:id="152">
    <w:p w14:paraId="39E78AD4" w14:textId="77777777" w:rsidR="000D55E9" w:rsidRPr="00561F65" w:rsidRDefault="000D55E9" w:rsidP="004E4354">
      <w:pPr>
        <w:pStyle w:val="NotesBasPage"/>
      </w:pPr>
      <w:r w:rsidRPr="00561F65">
        <w:rPr>
          <w:rStyle w:val="Appelnotedebasdep"/>
        </w:rPr>
        <w:footnoteRef/>
      </w:r>
      <w:r w:rsidRPr="00561F65">
        <w:t xml:space="preserve"> </w:t>
      </w:r>
      <w:r w:rsidRPr="00561F65">
        <w:tab/>
      </w:r>
      <w:r w:rsidRPr="00F81D6F">
        <w:rPr>
          <w:i/>
          <w:iCs/>
        </w:rPr>
        <w:t>Québec (Commission des droits de la personne et des droits de la jeunesse) (Morin)</w:t>
      </w:r>
      <w:r w:rsidRPr="00561F65">
        <w:t xml:space="preserve"> c. </w:t>
      </w:r>
      <w:r w:rsidRPr="00F81D6F">
        <w:rPr>
          <w:i/>
          <w:iCs/>
        </w:rPr>
        <w:t>Québec (Procureur général)</w:t>
      </w:r>
      <w:r w:rsidRPr="00561F65">
        <w:t>, 2004 CSC 39 (CanLII), [2004] 2 RCS 185.</w:t>
      </w:r>
    </w:p>
  </w:footnote>
  <w:footnote w:id="153">
    <w:p w14:paraId="02C5BB64" w14:textId="24B50C85" w:rsidR="000D55E9" w:rsidRPr="00561F65" w:rsidRDefault="000D55E9" w:rsidP="004E4354">
      <w:pPr>
        <w:pStyle w:val="NotesBasPage"/>
      </w:pPr>
      <w:r w:rsidRPr="00561F65">
        <w:rPr>
          <w:rStyle w:val="Appelnotedebasdep"/>
        </w:rPr>
        <w:footnoteRef/>
      </w:r>
      <w:r w:rsidRPr="00561F65">
        <w:t xml:space="preserve"> </w:t>
      </w:r>
      <w:r w:rsidRPr="00561F65">
        <w:tab/>
      </w:r>
      <w:r w:rsidRPr="00561F65">
        <w:rPr>
          <w:i/>
        </w:rPr>
        <w:t>Id</w:t>
      </w:r>
      <w:r w:rsidRPr="00561F65">
        <w:t>.</w:t>
      </w:r>
      <w:r w:rsidR="00F21382">
        <w:rPr>
          <w:rFonts w:ascii="Arial" w:hAnsi="Arial" w:cs="Arial"/>
        </w:rPr>
        <w:t> </w:t>
      </w:r>
      <w:r w:rsidR="00024DAA">
        <w:t>;</w:t>
      </w:r>
      <w:r w:rsidRPr="00561F65">
        <w:t xml:space="preserve"> voir aussi </w:t>
      </w:r>
      <w:proofErr w:type="spellStart"/>
      <w:r w:rsidRPr="00561F65">
        <w:rPr>
          <w:i/>
        </w:rPr>
        <w:t>Tanisma</w:t>
      </w:r>
      <w:proofErr w:type="spellEnd"/>
      <w:r w:rsidRPr="00561F65">
        <w:rPr>
          <w:i/>
        </w:rPr>
        <w:t xml:space="preserve"> </w:t>
      </w:r>
      <w:r w:rsidRPr="00561F65">
        <w:t xml:space="preserve">c. </w:t>
      </w:r>
      <w:r w:rsidRPr="00561F65">
        <w:rPr>
          <w:i/>
        </w:rPr>
        <w:t>Montréal (Ville de)</w:t>
      </w:r>
      <w:r w:rsidRPr="00561F65">
        <w:t>, 2008 QCCA 193</w:t>
      </w:r>
      <w:r w:rsidR="003357E2" w:rsidRPr="00561F65">
        <w:t>.</w:t>
      </w:r>
    </w:p>
  </w:footnote>
  <w:footnote w:id="154">
    <w:p w14:paraId="76B28CAB" w14:textId="4E76B693" w:rsidR="000D55E9" w:rsidRPr="00561F65" w:rsidRDefault="000D55E9" w:rsidP="004E4354">
      <w:pPr>
        <w:pStyle w:val="NotesBasPage"/>
      </w:pPr>
      <w:r w:rsidRPr="00561F65">
        <w:rPr>
          <w:rStyle w:val="Appelnotedebasdep"/>
        </w:rPr>
        <w:footnoteRef/>
      </w:r>
      <w:r w:rsidRPr="00561F65">
        <w:t xml:space="preserve"> </w:t>
      </w:r>
      <w:r w:rsidRPr="00561F65">
        <w:tab/>
      </w:r>
      <w:r w:rsidRPr="00561F65">
        <w:rPr>
          <w:i/>
        </w:rPr>
        <w:t>Parry Sound (District), Conseil d’administration des services sociaux</w:t>
      </w:r>
      <w:r w:rsidRPr="00561F65">
        <w:t> c. </w:t>
      </w:r>
      <w:r w:rsidRPr="00561F65">
        <w:rPr>
          <w:i/>
        </w:rPr>
        <w:t>S.E.E.F.P.</w:t>
      </w:r>
      <w:r w:rsidRPr="004E3F40">
        <w:rPr>
          <w:i/>
        </w:rPr>
        <w:t>O., section locale 324</w:t>
      </w:r>
      <w:r w:rsidRPr="00561F65">
        <w:t>, 2003 CSC 42, voir aussi Carole Sénéchal, «</w:t>
      </w:r>
      <w:r w:rsidRPr="00561F65">
        <w:rPr>
          <w:rFonts w:ascii="Arial" w:hAnsi="Arial" w:cs="Arial"/>
        </w:rPr>
        <w:t> </w:t>
      </w:r>
      <w:r w:rsidRPr="00561F65">
        <w:t>Le contenu explicite de la convention collective, un leurre</w:t>
      </w:r>
      <w:r w:rsidRPr="00561F65">
        <w:rPr>
          <w:rFonts w:ascii="Arial" w:hAnsi="Arial" w:cs="Arial"/>
        </w:rPr>
        <w:t> </w:t>
      </w:r>
      <w:r w:rsidRPr="00561F65">
        <w:t>?</w:t>
      </w:r>
      <w:r w:rsidRPr="00561F65">
        <w:rPr>
          <w:rFonts w:ascii="Arial" w:hAnsi="Arial" w:cs="Arial"/>
        </w:rPr>
        <w:t> </w:t>
      </w:r>
      <w:r w:rsidRPr="00561F65">
        <w:t xml:space="preserve">», </w:t>
      </w:r>
      <w:r w:rsidR="003F79BA" w:rsidRPr="00561F65">
        <w:t>(</w:t>
      </w:r>
      <w:r w:rsidRPr="00561F65">
        <w:t>2013</w:t>
      </w:r>
      <w:r w:rsidR="003F79BA" w:rsidRPr="00561F65">
        <w:t>)</w:t>
      </w:r>
      <w:r w:rsidR="00A112E8">
        <w:t xml:space="preserve"> </w:t>
      </w:r>
      <w:r w:rsidRPr="00561F65">
        <w:t>43-1 </w:t>
      </w:r>
      <w:r w:rsidR="002F7CCA" w:rsidRPr="00561F65">
        <w:rPr>
          <w:i/>
        </w:rPr>
        <w:t xml:space="preserve">R.G.D. </w:t>
      </w:r>
      <w:r w:rsidRPr="00561F65">
        <w:t>89.</w:t>
      </w:r>
    </w:p>
  </w:footnote>
  <w:footnote w:id="155">
    <w:p w14:paraId="3ACB75CF" w14:textId="77777777" w:rsidR="000D55E9" w:rsidRPr="00561F65" w:rsidRDefault="000D55E9" w:rsidP="004E4354">
      <w:pPr>
        <w:pStyle w:val="NotesBasPage"/>
      </w:pPr>
      <w:r w:rsidRPr="00561F65">
        <w:rPr>
          <w:rStyle w:val="Appelnotedebasdep"/>
        </w:rPr>
        <w:footnoteRef/>
      </w:r>
      <w:r w:rsidRPr="00561F65">
        <w:t xml:space="preserve"> </w:t>
      </w:r>
      <w:r w:rsidRPr="00561F65">
        <w:tab/>
      </w:r>
      <w:r w:rsidRPr="000B22AD">
        <w:rPr>
          <w:i/>
          <w:iCs/>
        </w:rPr>
        <w:t>Office régional de la santé du Nord</w:t>
      </w:r>
      <w:r w:rsidRPr="00561F65">
        <w:t xml:space="preserve"> c. </w:t>
      </w:r>
      <w:r w:rsidRPr="000B22AD">
        <w:rPr>
          <w:i/>
          <w:iCs/>
        </w:rPr>
        <w:t>Horrocks</w:t>
      </w:r>
      <w:r w:rsidRPr="00561F65">
        <w:t xml:space="preserve">, 2021 CSC 42. Voir aussi : </w:t>
      </w:r>
      <w:r w:rsidRPr="00B65AE7">
        <w:rPr>
          <w:i/>
          <w:iCs/>
        </w:rPr>
        <w:t>Université de Sherbrooke</w:t>
      </w:r>
      <w:r w:rsidRPr="00561F65">
        <w:t xml:space="preserve"> c. </w:t>
      </w:r>
      <w:r w:rsidRPr="00B65AE7">
        <w:rPr>
          <w:i/>
          <w:iCs/>
        </w:rPr>
        <w:t>C.D.P.D.J</w:t>
      </w:r>
      <w:r w:rsidRPr="00561F65">
        <w:t>., 2015 QCCA 1397.</w:t>
      </w:r>
    </w:p>
  </w:footnote>
  <w:footnote w:id="156">
    <w:p w14:paraId="2A735028" w14:textId="78F90375" w:rsidR="000D55E9" w:rsidRPr="00561F65" w:rsidRDefault="000D55E9" w:rsidP="004E4354">
      <w:pPr>
        <w:pStyle w:val="NotesBasPage"/>
      </w:pPr>
      <w:r w:rsidRPr="00561F65">
        <w:rPr>
          <w:rStyle w:val="Appelnotedebasdep"/>
        </w:rPr>
        <w:footnoteRef/>
      </w:r>
      <w:r w:rsidRPr="00561F65">
        <w:t xml:space="preserve"> </w:t>
      </w:r>
      <w:r w:rsidRPr="00561F65">
        <w:tab/>
      </w:r>
      <w:r w:rsidR="00E030D2" w:rsidRPr="00561F65">
        <w:rPr>
          <w:smallCaps/>
        </w:rPr>
        <w:t>Gouvernement du Québec</w:t>
      </w:r>
      <w:r w:rsidR="00E030D2" w:rsidRPr="00561F65">
        <w:t xml:space="preserve">, </w:t>
      </w:r>
      <w:r w:rsidR="00E030D2" w:rsidRPr="00B65AE7">
        <w:rPr>
          <w:i/>
          <w:iCs/>
        </w:rPr>
        <w:t>Taux de présence syndicale, résultats selon le genre pour diverses caractéristiques de la main-d'œuvre et de l'emploi</w:t>
      </w:r>
      <w:r w:rsidR="00E030D2" w:rsidRPr="00561F65">
        <w:t xml:space="preserve">, </w:t>
      </w:r>
      <w:r w:rsidR="00E030D2" w:rsidRPr="00B65AE7">
        <w:rPr>
          <w:i/>
          <w:iCs/>
        </w:rPr>
        <w:t>2006-2024</w:t>
      </w:r>
      <w:r w:rsidR="00E030D2" w:rsidRPr="00561F65">
        <w:t xml:space="preserve">, </w:t>
      </w:r>
      <w:r w:rsidR="00E030D2" w:rsidRPr="000B22AD">
        <w:rPr>
          <w:i/>
          <w:iCs/>
        </w:rPr>
        <w:t>Québec, Ontario et Canada</w:t>
      </w:r>
      <w:r w:rsidR="00E030D2" w:rsidRPr="00561F65">
        <w:t xml:space="preserve">, </w:t>
      </w:r>
      <w:r w:rsidR="007E5646" w:rsidRPr="00561F65">
        <w:t xml:space="preserve">2025, [En ligne]. </w:t>
      </w:r>
      <w:hyperlink r:id="rId93" w:anchor="tri_tertr=50040&amp;tri_sexe=1" w:history="1">
        <w:r w:rsidR="007E5646" w:rsidRPr="00DF5C7E">
          <w:rPr>
            <w:rStyle w:val="Lienhypertexte"/>
          </w:rPr>
          <w:t>https://statistique.quebec.ca/fr/document/la-presence-syndicale-au-quebec/tableau/taux-de-presence-syndicale-resultats-selon-le-sexe-pour-diverses-caracteristiques-de-la-main-doeuvre-et-de-lemploi-quebec-ontario-et-canada#tri_tertr=50040&amp;tri_sexe=1</w:t>
        </w:r>
        <w:r w:rsidRPr="00DF5C7E">
          <w:rPr>
            <w:rStyle w:val="Lienhypertexte"/>
          </w:rPr>
          <w:t xml:space="preserve"> </w:t>
        </w:r>
      </w:hyperlink>
      <w:r w:rsidRPr="00561F65">
        <w:t xml:space="preserve"> </w:t>
      </w:r>
    </w:p>
  </w:footnote>
  <w:footnote w:id="157">
    <w:p w14:paraId="24D6CCB9" w14:textId="43F251FD" w:rsidR="000D55E9" w:rsidRPr="00561F65" w:rsidRDefault="000D55E9" w:rsidP="004E4354">
      <w:pPr>
        <w:pStyle w:val="NotesBasPage"/>
      </w:pPr>
      <w:r w:rsidRPr="00561F65">
        <w:rPr>
          <w:rStyle w:val="Appelnotedebasdep"/>
        </w:rPr>
        <w:footnoteRef/>
      </w:r>
      <w:r w:rsidRPr="00561F65">
        <w:t xml:space="preserve"> </w:t>
      </w:r>
      <w:r w:rsidRPr="00561F65">
        <w:tab/>
      </w:r>
      <w:r w:rsidR="00E26DC5" w:rsidRPr="00561F65">
        <w:t xml:space="preserve">Sébastien </w:t>
      </w:r>
      <w:r w:rsidR="00E26DC5" w:rsidRPr="00561F65">
        <w:rPr>
          <w:smallCaps/>
        </w:rPr>
        <w:t>Parent</w:t>
      </w:r>
      <w:r w:rsidR="00E26DC5" w:rsidRPr="00561F65">
        <w:t xml:space="preserve"> </w:t>
      </w:r>
      <w:r w:rsidR="00062772" w:rsidRPr="00561F65">
        <w:t xml:space="preserve">et </w:t>
      </w:r>
      <w:r w:rsidR="00E26DC5" w:rsidRPr="00561F65">
        <w:t>Charl</w:t>
      </w:r>
      <w:r w:rsidR="006C2E0B" w:rsidRPr="00561F65">
        <w:t>es</w:t>
      </w:r>
      <w:r w:rsidR="00E26DC5" w:rsidRPr="00561F65">
        <w:t xml:space="preserve"> </w:t>
      </w:r>
      <w:r w:rsidRPr="00561F65">
        <w:rPr>
          <w:smallCaps/>
        </w:rPr>
        <w:t>Tremblay</w:t>
      </w:r>
      <w:r w:rsidR="00062772" w:rsidRPr="00561F65">
        <w:rPr>
          <w:smallCaps/>
        </w:rPr>
        <w:t>-</w:t>
      </w:r>
      <w:r w:rsidRPr="00561F65">
        <w:rPr>
          <w:smallCaps/>
        </w:rPr>
        <w:t>Potvin</w:t>
      </w:r>
      <w:r w:rsidRPr="00561F65">
        <w:t>, «</w:t>
      </w:r>
      <w:r w:rsidRPr="00561F65">
        <w:rPr>
          <w:rFonts w:ascii="Arial" w:hAnsi="Arial" w:cs="Arial"/>
        </w:rPr>
        <w:t> </w:t>
      </w:r>
      <w:r w:rsidRPr="00561F65">
        <w:t xml:space="preserve">La mise en </w:t>
      </w:r>
      <w:r w:rsidR="0019502C">
        <w:t>œ</w:t>
      </w:r>
      <w:r w:rsidRPr="00561F65">
        <w:t>uvre du droit à l’égalité en contexte d’emploi</w:t>
      </w:r>
      <w:r w:rsidRPr="00561F65">
        <w:rPr>
          <w:rFonts w:ascii="Arial" w:hAnsi="Arial" w:cs="Arial"/>
        </w:rPr>
        <w:t> </w:t>
      </w:r>
      <w:r w:rsidRPr="00561F65">
        <w:t>: un portrait statistique</w:t>
      </w:r>
      <w:r w:rsidRPr="00561F65">
        <w:rPr>
          <w:rFonts w:ascii="Arial" w:hAnsi="Arial" w:cs="Arial"/>
        </w:rPr>
        <w:t> </w:t>
      </w:r>
      <w:r w:rsidRPr="00561F65">
        <w:rPr>
          <w:rFonts w:cs="Aptos"/>
        </w:rPr>
        <w:t>»</w:t>
      </w:r>
      <w:r w:rsidRPr="00561F65">
        <w:t xml:space="preserve"> dans S</w:t>
      </w:r>
      <w:r w:rsidRPr="00561F65">
        <w:rPr>
          <w:rFonts w:cs="Aptos"/>
        </w:rPr>
        <w:t>é</w:t>
      </w:r>
      <w:r w:rsidRPr="00561F65">
        <w:t xml:space="preserve">bastien Parent et Charles Tremblay Potvin, </w:t>
      </w:r>
      <w:proofErr w:type="spellStart"/>
      <w:r w:rsidRPr="00561F65">
        <w:t>dir</w:t>
      </w:r>
      <w:proofErr w:type="spellEnd"/>
      <w:r w:rsidRPr="00561F65">
        <w:t xml:space="preserve">, </w:t>
      </w:r>
      <w:r w:rsidRPr="00561F65">
        <w:rPr>
          <w:i/>
        </w:rPr>
        <w:t>Les 50 ans de la Charte québécoise en emploi</w:t>
      </w:r>
      <w:r w:rsidRPr="00561F65">
        <w:rPr>
          <w:rFonts w:ascii="Arial" w:hAnsi="Arial" w:cs="Arial"/>
          <w:i/>
        </w:rPr>
        <w:t> </w:t>
      </w:r>
      <w:r w:rsidRPr="00561F65">
        <w:rPr>
          <w:i/>
        </w:rPr>
        <w:t xml:space="preserve">: terre promise ou paradis </w:t>
      </w:r>
      <w:r w:rsidR="00350B1E" w:rsidRPr="00561F65">
        <w:rPr>
          <w:i/>
        </w:rPr>
        <w:t>perdu</w:t>
      </w:r>
      <w:r w:rsidR="00B73236" w:rsidRPr="00561F65">
        <w:rPr>
          <w:rFonts w:ascii="Arial" w:hAnsi="Arial" w:cs="Arial"/>
          <w:i/>
        </w:rPr>
        <w:t> </w:t>
      </w:r>
      <w:r w:rsidR="00350B1E" w:rsidRPr="00561F65">
        <w:rPr>
          <w:rFonts w:ascii="Arial" w:hAnsi="Arial" w:cs="Arial"/>
          <w:i/>
        </w:rPr>
        <w:t>?</w:t>
      </w:r>
      <w:r w:rsidRPr="00561F65">
        <w:t xml:space="preserve"> </w:t>
      </w:r>
      <w:r w:rsidR="00350B1E" w:rsidRPr="00561F65">
        <w:t xml:space="preserve">(2025) </w:t>
      </w:r>
      <w:r w:rsidRPr="00561F65">
        <w:t xml:space="preserve">Wilson &amp; Lafleur, </w:t>
      </w:r>
      <w:r w:rsidR="00A0065E" w:rsidRPr="00561F65">
        <w:t>p.</w:t>
      </w:r>
      <w:r w:rsidRPr="00561F65">
        <w:t>113.</w:t>
      </w:r>
    </w:p>
  </w:footnote>
  <w:footnote w:id="158">
    <w:p w14:paraId="5F78A5E7" w14:textId="663B6266" w:rsidR="000D55E9" w:rsidRPr="00561F65" w:rsidRDefault="000D55E9" w:rsidP="004E4354">
      <w:pPr>
        <w:pStyle w:val="NotesBasPage"/>
      </w:pPr>
      <w:r w:rsidRPr="00561F65">
        <w:rPr>
          <w:rStyle w:val="Appelnotedebasdep"/>
        </w:rPr>
        <w:footnoteRef/>
      </w:r>
      <w:r w:rsidRPr="00561F65">
        <w:t xml:space="preserve"> </w:t>
      </w:r>
      <w:r w:rsidRPr="00561F65">
        <w:tab/>
      </w:r>
      <w:r w:rsidRPr="00561F65">
        <w:rPr>
          <w:i/>
        </w:rPr>
        <w:t>Id.</w:t>
      </w:r>
      <w:r w:rsidRPr="00561F65">
        <w:t>, p. 114.</w:t>
      </w:r>
      <w:r w:rsidR="00AD6F2F">
        <w:t xml:space="preserve"> Voir aussi la partie 7.1 ci-dessous.</w:t>
      </w:r>
    </w:p>
  </w:footnote>
  <w:footnote w:id="159">
    <w:p w14:paraId="714DF5D9" w14:textId="75C79B34" w:rsidR="003240CA" w:rsidRPr="00561F65" w:rsidRDefault="003240CA" w:rsidP="004E4354">
      <w:pPr>
        <w:pStyle w:val="NotesBasPage"/>
      </w:pPr>
      <w:r w:rsidRPr="00561F65">
        <w:rPr>
          <w:rStyle w:val="Appelnotedebasdep"/>
        </w:rPr>
        <w:footnoteRef/>
      </w:r>
      <w:r w:rsidRPr="00561F65">
        <w:t xml:space="preserve"> </w:t>
      </w:r>
      <w:r w:rsidRPr="00561F65">
        <w:tab/>
      </w:r>
      <w:r w:rsidR="003C3FDE" w:rsidRPr="003C3FDE">
        <w:rPr>
          <w:smallCaps/>
          <w:sz w:val="16"/>
          <w:szCs w:val="16"/>
        </w:rPr>
        <w:t>Commission des droits de la personne et des droits de la jeunesse</w:t>
      </w:r>
      <w:r w:rsidR="003C3FDE">
        <w:t xml:space="preserve">, </w:t>
      </w:r>
      <w:r w:rsidRPr="003C3FDE">
        <w:rPr>
          <w:i/>
          <w:iCs/>
        </w:rPr>
        <w:t>Entente de collaboration concernant les interventions en matière de harcèlement entre la Commission des droits de la personne et des droits de la jeunesse et la Commission des normes, de l’équité, de la santé et de la sécurité du travail</w:t>
      </w:r>
      <w:r w:rsidRPr="00561F65">
        <w:t>, 2024, [En ligne].</w:t>
      </w:r>
      <w:r w:rsidR="00993B6D" w:rsidRPr="00993B6D">
        <w:t xml:space="preserve"> </w:t>
      </w:r>
      <w:hyperlink r:id="rId94" w:history="1">
        <w:r w:rsidR="00993B6D" w:rsidRPr="007912CF">
          <w:rPr>
            <w:rStyle w:val="Lienhypertexte"/>
          </w:rPr>
          <w:t>https://www.cdpdj.qc.ca/storage/app/media/publications/entente_CNESST-CDPDJ_harcelement.pdf</w:t>
        </w:r>
      </w:hyperlink>
      <w:r w:rsidRPr="00561F65">
        <w:t xml:space="preserve">. </w:t>
      </w:r>
    </w:p>
  </w:footnote>
  <w:footnote w:id="160">
    <w:p w14:paraId="56DD6943" w14:textId="57E55FA6" w:rsidR="003240CA" w:rsidRPr="00561F65" w:rsidRDefault="003240CA" w:rsidP="004E4354">
      <w:pPr>
        <w:pStyle w:val="NotesBasPage"/>
      </w:pPr>
      <w:r w:rsidRPr="00561F65">
        <w:rPr>
          <w:rStyle w:val="Appelnotedebasdep"/>
        </w:rPr>
        <w:footnoteRef/>
      </w:r>
      <w:r w:rsidRPr="00561F65">
        <w:t xml:space="preserve"> </w:t>
      </w:r>
      <w:r w:rsidRPr="00561F65">
        <w:tab/>
      </w:r>
      <w:r w:rsidR="00F232C3" w:rsidRPr="00561F65">
        <w:t>LATMP</w:t>
      </w:r>
      <w:r w:rsidR="00F232C3">
        <w:t>, a</w:t>
      </w:r>
      <w:r w:rsidRPr="00561F65">
        <w:t>rt. 438 et 442.</w:t>
      </w:r>
    </w:p>
  </w:footnote>
  <w:footnote w:id="161">
    <w:p w14:paraId="7935F0BE" w14:textId="272B0BB0" w:rsidR="00CF7223" w:rsidRPr="00561F65" w:rsidRDefault="00CF7223" w:rsidP="004E4354">
      <w:pPr>
        <w:pStyle w:val="NotesBasPage"/>
      </w:pPr>
      <w:r w:rsidRPr="00561F65">
        <w:rPr>
          <w:rStyle w:val="Appelnotedebasdep"/>
        </w:rPr>
        <w:footnoteRef/>
      </w:r>
      <w:r w:rsidRPr="00561F65">
        <w:t xml:space="preserve"> </w:t>
      </w:r>
      <w:r w:rsidRPr="00561F65">
        <w:tab/>
      </w:r>
      <w:r w:rsidR="00321647">
        <w:t>Voir</w:t>
      </w:r>
      <w:r w:rsidRPr="00561F65">
        <w:t xml:space="preserve"> section </w:t>
      </w:r>
      <w:r w:rsidR="00F65016" w:rsidRPr="00561F65">
        <w:t>4.3.1 C</w:t>
      </w:r>
      <w:r w:rsidR="00F17D4F">
        <w:t xml:space="preserve"> du présent rapport.</w:t>
      </w:r>
    </w:p>
  </w:footnote>
  <w:footnote w:id="162">
    <w:p w14:paraId="2561A21C" w14:textId="56C47F87" w:rsidR="00CF7223" w:rsidRPr="00302D72" w:rsidRDefault="00CF7223" w:rsidP="004E4354">
      <w:pPr>
        <w:pStyle w:val="NotesBasPage"/>
        <w:rPr>
          <w:lang w:val="en-CA"/>
        </w:rPr>
      </w:pPr>
      <w:r w:rsidRPr="00561F65">
        <w:rPr>
          <w:rStyle w:val="Appelnotedebasdep"/>
        </w:rPr>
        <w:footnoteRef/>
      </w:r>
      <w:r w:rsidRPr="00302D72">
        <w:rPr>
          <w:lang w:val="en-CA"/>
        </w:rPr>
        <w:t xml:space="preserve"> </w:t>
      </w:r>
      <w:r w:rsidRPr="00302D72">
        <w:rPr>
          <w:lang w:val="en-CA"/>
        </w:rPr>
        <w:tab/>
      </w:r>
      <w:r w:rsidR="00321647" w:rsidRPr="00302D72">
        <w:rPr>
          <w:i/>
          <w:lang w:val="en-CA"/>
        </w:rPr>
        <w:t>Id</w:t>
      </w:r>
      <w:r w:rsidR="00321647" w:rsidRPr="00302D72">
        <w:rPr>
          <w:lang w:val="en-CA"/>
        </w:rPr>
        <w:t>.</w:t>
      </w:r>
    </w:p>
  </w:footnote>
  <w:footnote w:id="163">
    <w:p w14:paraId="2D94D408" w14:textId="77777777" w:rsidR="00CF7223" w:rsidRPr="00561F65" w:rsidRDefault="00CF7223" w:rsidP="004E4354">
      <w:pPr>
        <w:pStyle w:val="NotesBasPage"/>
      </w:pPr>
      <w:r w:rsidRPr="00561F65">
        <w:rPr>
          <w:rStyle w:val="Appelnotedebasdep"/>
        </w:rPr>
        <w:footnoteRef/>
      </w:r>
      <w:r w:rsidRPr="00302D72">
        <w:rPr>
          <w:lang w:val="en-CA"/>
        </w:rPr>
        <w:t xml:space="preserve"> </w:t>
      </w:r>
      <w:r w:rsidRPr="00302D72">
        <w:rPr>
          <w:lang w:val="en-CA"/>
        </w:rPr>
        <w:tab/>
      </w:r>
      <w:proofErr w:type="spellStart"/>
      <w:r w:rsidRPr="00302D72">
        <w:rPr>
          <w:lang w:val="en-CA"/>
        </w:rPr>
        <w:t>Charte</w:t>
      </w:r>
      <w:proofErr w:type="spellEnd"/>
      <w:r w:rsidRPr="00302D72">
        <w:rPr>
          <w:lang w:val="en-CA"/>
        </w:rPr>
        <w:t xml:space="preserve">, art. 77, al. 2, par. </w:t>
      </w:r>
      <w:r w:rsidRPr="00561F65">
        <w:t xml:space="preserve">° 4. </w:t>
      </w:r>
    </w:p>
  </w:footnote>
  <w:footnote w:id="164">
    <w:p w14:paraId="4196F1CD" w14:textId="77777777" w:rsidR="00CF7223" w:rsidRPr="00561F65" w:rsidRDefault="00CF7223" w:rsidP="004E4354">
      <w:pPr>
        <w:pStyle w:val="NotesBasPage"/>
      </w:pPr>
      <w:r w:rsidRPr="00561F65">
        <w:rPr>
          <w:rStyle w:val="Appelnotedebasdep"/>
        </w:rPr>
        <w:footnoteRef/>
      </w:r>
      <w:r w:rsidRPr="00561F65">
        <w:t xml:space="preserve"> </w:t>
      </w:r>
      <w:r w:rsidRPr="00561F65">
        <w:tab/>
        <w:t>Charte, art. 77, al 2, par. ° 1.</w:t>
      </w:r>
    </w:p>
  </w:footnote>
  <w:footnote w:id="165">
    <w:p w14:paraId="56C71678" w14:textId="77777777" w:rsidR="00CF7223" w:rsidRPr="00561F65" w:rsidRDefault="00CF7223" w:rsidP="004E4354">
      <w:pPr>
        <w:pStyle w:val="NotesBasPage"/>
      </w:pPr>
      <w:r w:rsidRPr="00561F65">
        <w:rPr>
          <w:rStyle w:val="Appelnotedebasdep"/>
        </w:rPr>
        <w:footnoteRef/>
      </w:r>
      <w:r w:rsidRPr="00561F65">
        <w:t xml:space="preserve"> </w:t>
      </w:r>
      <w:r w:rsidRPr="00561F65">
        <w:tab/>
        <w:t>Charte, art. 77, al 2, par. ° 2.</w:t>
      </w:r>
    </w:p>
  </w:footnote>
  <w:footnote w:id="166">
    <w:p w14:paraId="72EF15C5" w14:textId="5F4590EF" w:rsidR="00362A37" w:rsidRPr="00561F65" w:rsidRDefault="00362A37" w:rsidP="004E4354">
      <w:pPr>
        <w:pStyle w:val="NotesBasPage"/>
      </w:pPr>
      <w:r w:rsidRPr="00561F65">
        <w:rPr>
          <w:rStyle w:val="Appelnotedebasdep"/>
        </w:rPr>
        <w:footnoteRef/>
      </w:r>
      <w:r w:rsidRPr="00561F65">
        <w:t xml:space="preserve"> </w:t>
      </w:r>
      <w:r w:rsidRPr="00561F65">
        <w:tab/>
      </w:r>
      <w:r w:rsidRPr="0043421E">
        <w:rPr>
          <w:i/>
          <w:iCs/>
        </w:rPr>
        <w:t>Québec (</w:t>
      </w:r>
      <w:proofErr w:type="spellStart"/>
      <w:r w:rsidRPr="0043421E">
        <w:rPr>
          <w:i/>
          <w:iCs/>
        </w:rPr>
        <w:t>Comm</w:t>
      </w:r>
      <w:proofErr w:type="spellEnd"/>
      <w:r w:rsidRPr="0043421E">
        <w:rPr>
          <w:i/>
          <w:iCs/>
        </w:rPr>
        <w:t xml:space="preserve">. des droits de la personne) </w:t>
      </w:r>
      <w:r w:rsidRPr="00D41C38">
        <w:t>c.</w:t>
      </w:r>
      <w:r w:rsidRPr="0043421E">
        <w:rPr>
          <w:i/>
          <w:iCs/>
        </w:rPr>
        <w:t xml:space="preserve"> </w:t>
      </w:r>
      <w:proofErr w:type="spellStart"/>
      <w:r w:rsidRPr="0043421E">
        <w:rPr>
          <w:i/>
          <w:iCs/>
        </w:rPr>
        <w:t>Anglsberger</w:t>
      </w:r>
      <w:proofErr w:type="spellEnd"/>
      <w:r w:rsidRPr="00561F65">
        <w:t>, 1982 CanLII</w:t>
      </w:r>
      <w:r w:rsidR="005C5B01" w:rsidRPr="00561F65">
        <w:t> </w:t>
      </w:r>
      <w:r w:rsidRPr="00561F65">
        <w:t>4924 (QC CQ)</w:t>
      </w:r>
      <w:r w:rsidR="003A54F7" w:rsidRPr="00561F65">
        <w:t>.</w:t>
      </w:r>
    </w:p>
  </w:footnote>
  <w:footnote w:id="167">
    <w:p w14:paraId="592324BF" w14:textId="1F90CF5A" w:rsidR="00362A37" w:rsidRPr="00561F65" w:rsidRDefault="00362A37" w:rsidP="004E4354">
      <w:pPr>
        <w:pStyle w:val="NotesBasPage"/>
      </w:pPr>
      <w:r w:rsidRPr="00561F65">
        <w:rPr>
          <w:rStyle w:val="Appelnotedebasdep"/>
        </w:rPr>
        <w:footnoteRef/>
      </w:r>
      <w:r w:rsidRPr="00561F65">
        <w:t xml:space="preserve"> </w:t>
      </w:r>
      <w:r w:rsidRPr="00561F65">
        <w:tab/>
      </w:r>
      <w:r w:rsidRPr="0043421E">
        <w:rPr>
          <w:i/>
          <w:iCs/>
        </w:rPr>
        <w:t xml:space="preserve">Commission des droits de la personne et des droits de la jeunesse (M.L.) </w:t>
      </w:r>
      <w:r w:rsidRPr="00D41C38">
        <w:t>c</w:t>
      </w:r>
      <w:r w:rsidRPr="0043421E">
        <w:rPr>
          <w:i/>
          <w:iCs/>
        </w:rPr>
        <w:t xml:space="preserve">. Maison des jeunes </w:t>
      </w:r>
      <w:r w:rsidR="009874A1" w:rsidRPr="0043421E">
        <w:rPr>
          <w:i/>
          <w:iCs/>
        </w:rPr>
        <w:t>A</w:t>
      </w:r>
      <w:r w:rsidR="009874A1" w:rsidRPr="00561F65">
        <w:t>.</w:t>
      </w:r>
      <w:r w:rsidRPr="00561F65">
        <w:t xml:space="preserve">, </w:t>
      </w:r>
      <w:proofErr w:type="spellStart"/>
      <w:r w:rsidR="009874A1" w:rsidRPr="00561F65">
        <w:t>préc</w:t>
      </w:r>
      <w:proofErr w:type="spellEnd"/>
      <w:r w:rsidR="009874A1" w:rsidRPr="00561F65">
        <w:t xml:space="preserve">., note </w:t>
      </w:r>
      <w:r w:rsidR="009874A1" w:rsidRPr="00561F65">
        <w:fldChar w:fldCharType="begin"/>
      </w:r>
      <w:r w:rsidR="009874A1" w:rsidRPr="00561F65">
        <w:instrText xml:space="preserve"> NOTEREF _Ref219194501 \h </w:instrText>
      </w:r>
      <w:r w:rsidR="007017CF" w:rsidRPr="00561F65">
        <w:instrText xml:space="preserve"> \* MERGEFORMAT </w:instrText>
      </w:r>
      <w:r w:rsidR="009874A1" w:rsidRPr="00561F65">
        <w:fldChar w:fldCharType="separate"/>
      </w:r>
      <w:r w:rsidR="000374E3" w:rsidRPr="00561F65">
        <w:t>21</w:t>
      </w:r>
      <w:r w:rsidR="009874A1" w:rsidRPr="00561F65">
        <w:fldChar w:fldCharType="end"/>
      </w:r>
      <w:r w:rsidR="009874A1" w:rsidRPr="00561F65">
        <w:t>.</w:t>
      </w:r>
    </w:p>
  </w:footnote>
  <w:footnote w:id="168">
    <w:p w14:paraId="344588BB" w14:textId="77777777" w:rsidR="00362A37" w:rsidRPr="00561F65" w:rsidRDefault="00362A37"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Pr="00561F65">
        <w:rPr>
          <w:i/>
          <w:lang w:val="en-CA"/>
        </w:rPr>
        <w:t>Id</w:t>
      </w:r>
      <w:r w:rsidRPr="00561F65">
        <w:rPr>
          <w:lang w:val="en-CA"/>
        </w:rPr>
        <w:t>., par. 114.</w:t>
      </w:r>
    </w:p>
  </w:footnote>
  <w:footnote w:id="169">
    <w:p w14:paraId="6A9B4380" w14:textId="5CF46C12" w:rsidR="00362A37" w:rsidRPr="00561F65" w:rsidRDefault="00362A37"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Pr="006A3C50">
        <w:rPr>
          <w:i/>
          <w:iCs/>
          <w:lang w:val="en-CA"/>
        </w:rPr>
        <w:t xml:space="preserve">Centre for Gender Advocacy </w:t>
      </w:r>
      <w:r w:rsidRPr="00D41C38">
        <w:rPr>
          <w:lang w:val="en-CA"/>
        </w:rPr>
        <w:t>c</w:t>
      </w:r>
      <w:r w:rsidR="005F442C" w:rsidRPr="006A3C50">
        <w:rPr>
          <w:i/>
          <w:iCs/>
          <w:lang w:val="en-CA"/>
        </w:rPr>
        <w:t>.</w:t>
      </w:r>
      <w:r w:rsidRPr="006A3C50">
        <w:rPr>
          <w:i/>
          <w:iCs/>
          <w:lang w:val="en-CA"/>
        </w:rPr>
        <w:t xml:space="preserve"> Attorney General of Quebec</w:t>
      </w:r>
      <w:r w:rsidR="005F442C" w:rsidRPr="00561F65">
        <w:rPr>
          <w:lang w:val="en-CA"/>
        </w:rPr>
        <w:t>,</w:t>
      </w:r>
      <w:r w:rsidRPr="00561F65">
        <w:rPr>
          <w:lang w:val="en-CA"/>
        </w:rPr>
        <w:t xml:space="preserve"> 2021 QCCS 191.</w:t>
      </w:r>
    </w:p>
  </w:footnote>
  <w:footnote w:id="170">
    <w:p w14:paraId="61796FF9" w14:textId="7E04E98F" w:rsidR="00362A37" w:rsidRPr="00561F65" w:rsidRDefault="00362A37" w:rsidP="004E4354">
      <w:pPr>
        <w:pStyle w:val="NotesBasPage"/>
      </w:pPr>
      <w:r w:rsidRPr="00561F65">
        <w:rPr>
          <w:rStyle w:val="Appelnotedebasdep"/>
        </w:rPr>
        <w:footnoteRef/>
      </w:r>
      <w:r w:rsidRPr="00561F65">
        <w:t xml:space="preserve"> </w:t>
      </w:r>
      <w:r w:rsidRPr="00561F65">
        <w:tab/>
      </w:r>
      <w:r w:rsidRPr="00C135FF">
        <w:rPr>
          <w:i/>
          <w:iCs/>
        </w:rPr>
        <w:t xml:space="preserve">Commission des droits de la personne et des droits de la jeunesse (E.B.) </w:t>
      </w:r>
      <w:r w:rsidRPr="009C7773">
        <w:t>c</w:t>
      </w:r>
      <w:r w:rsidRPr="00C135FF">
        <w:rPr>
          <w:i/>
          <w:iCs/>
        </w:rPr>
        <w:t>.</w:t>
      </w:r>
      <w:r w:rsidR="005C5B01" w:rsidRPr="00C135FF">
        <w:rPr>
          <w:i/>
          <w:iCs/>
        </w:rPr>
        <w:t> </w:t>
      </w:r>
      <w:r w:rsidRPr="00C135FF">
        <w:rPr>
          <w:i/>
          <w:iCs/>
        </w:rPr>
        <w:t xml:space="preserve">9302-6573 Québec </w:t>
      </w:r>
      <w:proofErr w:type="spellStart"/>
      <w:r w:rsidRPr="00C135FF">
        <w:rPr>
          <w:i/>
          <w:iCs/>
        </w:rPr>
        <w:t>inc.</w:t>
      </w:r>
      <w:proofErr w:type="spellEnd"/>
      <w:r w:rsidRPr="00C135FF">
        <w:rPr>
          <w:i/>
          <w:iCs/>
        </w:rPr>
        <w:t xml:space="preserve"> (Bar Lucky</w:t>
      </w:r>
      <w:r w:rsidR="005C5B01" w:rsidRPr="00C135FF">
        <w:rPr>
          <w:i/>
          <w:iCs/>
        </w:rPr>
        <w:t> </w:t>
      </w:r>
      <w:r w:rsidRPr="00C135FF">
        <w:rPr>
          <w:i/>
          <w:iCs/>
        </w:rPr>
        <w:t>7)</w:t>
      </w:r>
      <w:r w:rsidRPr="00561F65">
        <w:t xml:space="preserve">, </w:t>
      </w:r>
      <w:proofErr w:type="spellStart"/>
      <w:r w:rsidR="007A16F8" w:rsidRPr="00561F65">
        <w:t>préc</w:t>
      </w:r>
      <w:proofErr w:type="spellEnd"/>
      <w:r w:rsidR="007A16F8" w:rsidRPr="00561F65">
        <w:t>., note</w:t>
      </w:r>
      <w:r w:rsidR="001C2A4B" w:rsidRPr="00561F65">
        <w:t xml:space="preserve"> </w:t>
      </w:r>
      <w:r w:rsidR="001C2A4B" w:rsidRPr="00561F65">
        <w:fldChar w:fldCharType="begin"/>
      </w:r>
      <w:r w:rsidR="001C2A4B" w:rsidRPr="00561F65">
        <w:instrText xml:space="preserve"> NOTEREF _Ref219291741 \h </w:instrText>
      </w:r>
      <w:r w:rsidR="007017CF" w:rsidRPr="00561F65">
        <w:instrText xml:space="preserve"> \* MERGEFORMAT </w:instrText>
      </w:r>
      <w:r w:rsidR="001C2A4B" w:rsidRPr="00561F65">
        <w:fldChar w:fldCharType="separate"/>
      </w:r>
      <w:r w:rsidR="000374E3" w:rsidRPr="00561F65">
        <w:t>142</w:t>
      </w:r>
      <w:r w:rsidR="001C2A4B" w:rsidRPr="00561F65">
        <w:fldChar w:fldCharType="end"/>
      </w:r>
      <w:r w:rsidRPr="00561F65">
        <w:t xml:space="preserve">, citant </w:t>
      </w:r>
      <w:r w:rsidRPr="009C7773">
        <w:rPr>
          <w:i/>
          <w:iCs/>
        </w:rPr>
        <w:t>T.A</w:t>
      </w:r>
      <w:r w:rsidRPr="005033D1">
        <w:t>.</w:t>
      </w:r>
      <w:r w:rsidRPr="00561F65">
        <w:t xml:space="preserve"> v</w:t>
      </w:r>
      <w:r w:rsidRPr="005033D1">
        <w:t xml:space="preserve">. </w:t>
      </w:r>
      <w:r w:rsidRPr="009C7773">
        <w:rPr>
          <w:i/>
          <w:iCs/>
        </w:rPr>
        <w:t>Manitoba (Justice)</w:t>
      </w:r>
      <w:r w:rsidRPr="00561F65">
        <w:t>, 2019</w:t>
      </w:r>
      <w:r w:rsidR="005516C0" w:rsidRPr="00561F65">
        <w:t> </w:t>
      </w:r>
      <w:r w:rsidRPr="00561F65">
        <w:t>MBHR</w:t>
      </w:r>
      <w:r w:rsidR="005C5B01" w:rsidRPr="00561F65">
        <w:t> </w:t>
      </w:r>
      <w:r w:rsidRPr="00561F65">
        <w:t>12, par. 22 (T.A.).</w:t>
      </w:r>
    </w:p>
  </w:footnote>
  <w:footnote w:id="171">
    <w:p w14:paraId="6B8FEB6F" w14:textId="3E634DD4" w:rsidR="00D42B50" w:rsidRPr="00561F65" w:rsidRDefault="00D42B50" w:rsidP="004E4354">
      <w:pPr>
        <w:pStyle w:val="NotesBasPage"/>
      </w:pPr>
      <w:r w:rsidRPr="00561F65">
        <w:rPr>
          <w:rStyle w:val="Appelnotedebasdep"/>
        </w:rPr>
        <w:footnoteRef/>
      </w:r>
      <w:r w:rsidRPr="00561F65">
        <w:t xml:space="preserve"> </w:t>
      </w:r>
      <w:r w:rsidRPr="00561F65">
        <w:tab/>
      </w:r>
      <w:r w:rsidRPr="00C135FF">
        <w:rPr>
          <w:i/>
          <w:iCs/>
        </w:rPr>
        <w:t xml:space="preserve">Québec (Commission des droits de la personne et des droits de la jeunesse) </w:t>
      </w:r>
      <w:r w:rsidRPr="009C7773">
        <w:t>c.</w:t>
      </w:r>
      <w:r w:rsidRPr="00C135FF">
        <w:rPr>
          <w:i/>
          <w:iCs/>
        </w:rPr>
        <w:t xml:space="preserve"> Bombardier Inc. (Bombardier Aéronautique Centre de formation)</w:t>
      </w:r>
      <w:r w:rsidRPr="00C135FF">
        <w:t xml:space="preserve">, </w:t>
      </w:r>
      <w:r w:rsidRPr="00561F65">
        <w:t>2015</w:t>
      </w:r>
      <w:r w:rsidR="005516C0" w:rsidRPr="00561F65">
        <w:t> </w:t>
      </w:r>
      <w:r w:rsidRPr="00561F65">
        <w:t>CSC</w:t>
      </w:r>
      <w:r w:rsidR="005C5B01" w:rsidRPr="00561F65">
        <w:t> </w:t>
      </w:r>
      <w:r w:rsidRPr="00561F65">
        <w:t>39, par. 47-52.</w:t>
      </w:r>
    </w:p>
  </w:footnote>
  <w:footnote w:id="172">
    <w:p w14:paraId="0B47FA67" w14:textId="0FD84E2F" w:rsidR="00D42B50" w:rsidRPr="00561F65" w:rsidRDefault="00D42B50" w:rsidP="004E4354">
      <w:pPr>
        <w:pStyle w:val="NotesBasPage"/>
      </w:pPr>
      <w:r w:rsidRPr="00561F65">
        <w:rPr>
          <w:rStyle w:val="Appelnotedebasdep"/>
        </w:rPr>
        <w:footnoteRef/>
      </w:r>
      <w:r w:rsidRPr="00561F65">
        <w:t xml:space="preserve"> </w:t>
      </w:r>
      <w:r w:rsidRPr="00561F65">
        <w:tab/>
        <w:t>D</w:t>
      </w:r>
      <w:r w:rsidR="00F15FAD">
        <w:t>.</w:t>
      </w:r>
      <w:r w:rsidRPr="00561F65">
        <w:t xml:space="preserve"> </w:t>
      </w:r>
      <w:r w:rsidRPr="00561F65">
        <w:rPr>
          <w:smallCaps/>
        </w:rPr>
        <w:t xml:space="preserve">Proulx </w:t>
      </w:r>
      <w:r w:rsidRPr="00561F65">
        <w:t>et F</w:t>
      </w:r>
      <w:r w:rsidR="00F15FAD">
        <w:t>.</w:t>
      </w:r>
      <w:r w:rsidRPr="00561F65">
        <w:t xml:space="preserve"> J. </w:t>
      </w:r>
      <w:r w:rsidRPr="00561F65">
        <w:rPr>
          <w:smallCaps/>
        </w:rPr>
        <w:t>Doucet</w:t>
      </w:r>
      <w:r w:rsidRPr="00561F65">
        <w:t xml:space="preserve">, </w:t>
      </w:r>
      <w:r w:rsidR="000333B7" w:rsidRPr="00561F65">
        <w:t>«</w:t>
      </w:r>
      <w:r w:rsidR="00324727" w:rsidRPr="00561F65">
        <w:rPr>
          <w:rFonts w:ascii="Arial" w:hAnsi="Arial" w:cs="Arial"/>
        </w:rPr>
        <w:t> </w:t>
      </w:r>
      <w:proofErr w:type="spellStart"/>
      <w:r w:rsidR="00F15FAD">
        <w:t>préc</w:t>
      </w:r>
      <w:proofErr w:type="spellEnd"/>
      <w:r w:rsidR="00F15FAD">
        <w:t xml:space="preserve">., note </w:t>
      </w:r>
      <w:r w:rsidR="00F15FAD">
        <w:fldChar w:fldCharType="begin"/>
      </w:r>
      <w:r w:rsidR="00F15FAD">
        <w:instrText xml:space="preserve"> NOTEREF _Ref229392394 \h </w:instrText>
      </w:r>
      <w:r w:rsidR="004E4354">
        <w:instrText xml:space="preserve"> \* MERGEFORMAT </w:instrText>
      </w:r>
      <w:r w:rsidR="00F15FAD">
        <w:fldChar w:fldCharType="separate"/>
      </w:r>
      <w:r w:rsidR="00F15FAD">
        <w:t>148</w:t>
      </w:r>
      <w:r w:rsidR="00F15FAD">
        <w:fldChar w:fldCharType="end"/>
      </w:r>
      <w:r w:rsidRPr="00561F65">
        <w:t xml:space="preserve"> par. 106.</w:t>
      </w:r>
    </w:p>
  </w:footnote>
  <w:footnote w:id="173">
    <w:p w14:paraId="635DFA23" w14:textId="77777777" w:rsidR="00D42B50" w:rsidRPr="00561F65" w:rsidRDefault="00D42B50" w:rsidP="004E4354">
      <w:pPr>
        <w:pStyle w:val="NotesBasPage"/>
      </w:pPr>
      <w:r w:rsidRPr="00561F65">
        <w:rPr>
          <w:rStyle w:val="Appelnotedebasdep"/>
        </w:rPr>
        <w:footnoteRef/>
      </w:r>
      <w:r w:rsidRPr="00561F65">
        <w:t xml:space="preserve"> </w:t>
      </w:r>
      <w:r w:rsidRPr="00561F65">
        <w:tab/>
      </w:r>
      <w:r w:rsidRPr="00C135FF">
        <w:rPr>
          <w:i/>
          <w:iCs/>
        </w:rPr>
        <w:t>Commission des droits de la personne et des droits de la jeunesse (</w:t>
      </w:r>
      <w:proofErr w:type="spellStart"/>
      <w:r w:rsidRPr="00C135FF">
        <w:rPr>
          <w:i/>
          <w:iCs/>
        </w:rPr>
        <w:t>Tighrine</w:t>
      </w:r>
      <w:proofErr w:type="spellEnd"/>
      <w:r w:rsidRPr="00C135FF">
        <w:rPr>
          <w:i/>
          <w:iCs/>
        </w:rPr>
        <w:t>) </w:t>
      </w:r>
      <w:r w:rsidRPr="009C7773">
        <w:t>c</w:t>
      </w:r>
      <w:r w:rsidRPr="00C135FF">
        <w:rPr>
          <w:i/>
          <w:iCs/>
        </w:rPr>
        <w:t>. </w:t>
      </w:r>
      <w:proofErr w:type="spellStart"/>
      <w:r w:rsidRPr="00C135FF">
        <w:rPr>
          <w:i/>
          <w:iCs/>
        </w:rPr>
        <w:t>Sofilco</w:t>
      </w:r>
      <w:proofErr w:type="spellEnd"/>
      <w:r w:rsidRPr="00C135FF">
        <w:rPr>
          <w:i/>
          <w:iCs/>
        </w:rPr>
        <w:t xml:space="preserve"> </w:t>
      </w:r>
      <w:proofErr w:type="spellStart"/>
      <w:r w:rsidRPr="00C135FF">
        <w:rPr>
          <w:i/>
          <w:iCs/>
        </w:rPr>
        <w:t>inc</w:t>
      </w:r>
      <w:r w:rsidRPr="00561F65">
        <w:t>.</w:t>
      </w:r>
      <w:proofErr w:type="spellEnd"/>
      <w:r w:rsidRPr="00561F65">
        <w:t>, 2015 QCTDP 21, par. 114-118.</w:t>
      </w:r>
    </w:p>
  </w:footnote>
  <w:footnote w:id="174">
    <w:p w14:paraId="2751FDD0" w14:textId="7D1601E9" w:rsidR="00D42B50" w:rsidRPr="00561F65" w:rsidRDefault="00D42B50" w:rsidP="004E4354">
      <w:pPr>
        <w:pStyle w:val="NotesBasPage"/>
      </w:pPr>
      <w:r w:rsidRPr="00561F65">
        <w:rPr>
          <w:rStyle w:val="Appelnotedebasdep"/>
        </w:rPr>
        <w:footnoteRef/>
      </w:r>
      <w:r w:rsidRPr="00561F65">
        <w:t xml:space="preserve"> </w:t>
      </w:r>
      <w:r w:rsidRPr="00561F65">
        <w:tab/>
      </w:r>
      <w:r w:rsidRPr="00C135FF">
        <w:rPr>
          <w:i/>
          <w:iCs/>
        </w:rPr>
        <w:t xml:space="preserve">Québec (Commission des droits de la personne et des droits de la jeunesse) </w:t>
      </w:r>
      <w:r w:rsidRPr="009C7773">
        <w:t>c</w:t>
      </w:r>
      <w:r w:rsidRPr="00C135FF">
        <w:rPr>
          <w:i/>
          <w:iCs/>
        </w:rPr>
        <w:t>. Bombardier Inc. (Bombardier Aéronautique Centre de formation)</w:t>
      </w:r>
      <w:r w:rsidRPr="00561F65">
        <w:t xml:space="preserve">, </w:t>
      </w:r>
      <w:proofErr w:type="spellStart"/>
      <w:r w:rsidR="00515AD0" w:rsidRPr="00561F65">
        <w:t>préc</w:t>
      </w:r>
      <w:proofErr w:type="spellEnd"/>
      <w:r w:rsidR="00515AD0" w:rsidRPr="00561F65">
        <w:t xml:space="preserve">., note </w:t>
      </w:r>
      <w:r w:rsidR="00515AD0" w:rsidRPr="00561F65">
        <w:fldChar w:fldCharType="begin"/>
      </w:r>
      <w:r w:rsidR="00515AD0" w:rsidRPr="00561F65">
        <w:instrText xml:space="preserve"> NOTEREF _Ref219299615 \h </w:instrText>
      </w:r>
      <w:r w:rsidR="007017CF" w:rsidRPr="00561F65">
        <w:instrText xml:space="preserve"> \* MERGEFORMAT </w:instrText>
      </w:r>
      <w:r w:rsidR="00515AD0" w:rsidRPr="00561F65">
        <w:fldChar w:fldCharType="separate"/>
      </w:r>
      <w:r w:rsidR="000374E3" w:rsidRPr="00561F65">
        <w:t>170</w:t>
      </w:r>
      <w:r w:rsidR="00515AD0" w:rsidRPr="00561F65">
        <w:fldChar w:fldCharType="end"/>
      </w:r>
      <w:r w:rsidRPr="00561F65">
        <w:t>, par. 40-41.</w:t>
      </w:r>
    </w:p>
  </w:footnote>
  <w:footnote w:id="175">
    <w:p w14:paraId="06F59F4B" w14:textId="59A561D0" w:rsidR="005D10FF" w:rsidRPr="00561F65" w:rsidRDefault="005D10FF" w:rsidP="004E4354">
      <w:pPr>
        <w:pStyle w:val="NotesBasPage"/>
      </w:pPr>
      <w:r w:rsidRPr="00561F65">
        <w:rPr>
          <w:rStyle w:val="Appelnotedebasdep"/>
        </w:rPr>
        <w:footnoteRef/>
      </w:r>
      <w:r w:rsidRPr="00561F65">
        <w:t xml:space="preserve"> </w:t>
      </w:r>
      <w:r w:rsidRPr="00561F65">
        <w:tab/>
      </w:r>
      <w:r w:rsidRPr="00BD1A7E">
        <w:rPr>
          <w:i/>
          <w:iCs/>
        </w:rPr>
        <w:t xml:space="preserve">Commission ontarienne des droits de la personne </w:t>
      </w:r>
      <w:r w:rsidRPr="00B20EA7">
        <w:t>c</w:t>
      </w:r>
      <w:r w:rsidRPr="00BD1A7E">
        <w:rPr>
          <w:i/>
          <w:iCs/>
        </w:rPr>
        <w:t xml:space="preserve">. </w:t>
      </w:r>
      <w:proofErr w:type="spellStart"/>
      <w:r w:rsidRPr="00BD1A7E">
        <w:rPr>
          <w:i/>
          <w:iCs/>
        </w:rPr>
        <w:t>Simpsons</w:t>
      </w:r>
      <w:proofErr w:type="spellEnd"/>
      <w:r w:rsidRPr="00BD1A7E">
        <w:rPr>
          <w:i/>
          <w:iCs/>
        </w:rPr>
        <w:t>-Sears</w:t>
      </w:r>
      <w:r w:rsidRPr="00561F65">
        <w:t>, 1985</w:t>
      </w:r>
      <w:r w:rsidR="005516C0" w:rsidRPr="00561F65">
        <w:t> </w:t>
      </w:r>
      <w:r w:rsidRPr="00561F65">
        <w:t>CanLII</w:t>
      </w:r>
      <w:r w:rsidR="005C5B01" w:rsidRPr="00561F65">
        <w:t> </w:t>
      </w:r>
      <w:r w:rsidRPr="00561F65">
        <w:t>18 (CSC), [1985] 2</w:t>
      </w:r>
      <w:r w:rsidR="005516C0" w:rsidRPr="00561F65">
        <w:t> </w:t>
      </w:r>
      <w:r w:rsidRPr="00561F65">
        <w:t>RCS</w:t>
      </w:r>
      <w:r w:rsidR="005C5B01" w:rsidRPr="00561F65">
        <w:t> </w:t>
      </w:r>
      <w:r w:rsidRPr="00561F65">
        <w:t>536, par. 18</w:t>
      </w:r>
    </w:p>
  </w:footnote>
  <w:footnote w:id="176">
    <w:p w14:paraId="17ECBF0A" w14:textId="4AA8D4EC" w:rsidR="005D10FF" w:rsidRPr="00561F65" w:rsidRDefault="005D10FF" w:rsidP="004E4354">
      <w:pPr>
        <w:pStyle w:val="NotesBasPage"/>
      </w:pPr>
      <w:r w:rsidRPr="00561F65">
        <w:rPr>
          <w:rStyle w:val="Appelnotedebasdep"/>
        </w:rPr>
        <w:footnoteRef/>
      </w:r>
      <w:r w:rsidRPr="00561F65">
        <w:t xml:space="preserve"> </w:t>
      </w:r>
      <w:r w:rsidRPr="00561F65">
        <w:tab/>
      </w:r>
      <w:r w:rsidRPr="00F546C8">
        <w:rPr>
          <w:i/>
        </w:rPr>
        <w:t xml:space="preserve">Gaz Métropolitain </w:t>
      </w:r>
      <w:proofErr w:type="spellStart"/>
      <w:r w:rsidRPr="00F546C8">
        <w:rPr>
          <w:i/>
        </w:rPr>
        <w:t>inc.</w:t>
      </w:r>
      <w:proofErr w:type="spellEnd"/>
      <w:r w:rsidRPr="00F546C8">
        <w:rPr>
          <w:i/>
        </w:rPr>
        <w:t xml:space="preserve"> </w:t>
      </w:r>
      <w:r w:rsidRPr="00561F65">
        <w:t xml:space="preserve">c. </w:t>
      </w:r>
      <w:r w:rsidRPr="00F546C8">
        <w:rPr>
          <w:i/>
        </w:rPr>
        <w:t>Commission des droits de la personne et des droits de la jeunesse</w:t>
      </w:r>
      <w:r w:rsidRPr="00561F65">
        <w:t>, 2011</w:t>
      </w:r>
      <w:r w:rsidR="005516C0" w:rsidRPr="00561F65">
        <w:t> </w:t>
      </w:r>
      <w:r w:rsidRPr="00561F65">
        <w:t>QCCA</w:t>
      </w:r>
      <w:r w:rsidR="005C5B01" w:rsidRPr="00561F65">
        <w:t> </w:t>
      </w:r>
      <w:r w:rsidRPr="00561F65">
        <w:t xml:space="preserve">1201, par. 47, confirmant </w:t>
      </w:r>
      <w:r w:rsidRPr="00BD1A7E">
        <w:rPr>
          <w:i/>
          <w:iCs/>
        </w:rPr>
        <w:t xml:space="preserve">Commission des droits de la personne et des droits de la jeunesse </w:t>
      </w:r>
      <w:r w:rsidRPr="00B20EA7">
        <w:t>c</w:t>
      </w:r>
      <w:r w:rsidRPr="00BD1A7E">
        <w:rPr>
          <w:i/>
          <w:iCs/>
        </w:rPr>
        <w:t xml:space="preserve">. Gaz </w:t>
      </w:r>
      <w:r w:rsidR="0019502C" w:rsidRPr="00BD1A7E">
        <w:rPr>
          <w:i/>
          <w:iCs/>
        </w:rPr>
        <w:t>M</w:t>
      </w:r>
      <w:r w:rsidRPr="00BD1A7E">
        <w:rPr>
          <w:i/>
          <w:iCs/>
        </w:rPr>
        <w:t xml:space="preserve">étropolitain </w:t>
      </w:r>
      <w:proofErr w:type="spellStart"/>
      <w:r w:rsidRPr="00BD1A7E">
        <w:rPr>
          <w:i/>
          <w:iCs/>
        </w:rPr>
        <w:t>inc</w:t>
      </w:r>
      <w:r w:rsidRPr="00561F65">
        <w:t>.</w:t>
      </w:r>
      <w:proofErr w:type="spellEnd"/>
      <w:r w:rsidRPr="00561F65">
        <w:t>, 2008</w:t>
      </w:r>
      <w:r w:rsidR="005516C0" w:rsidRPr="00561F65">
        <w:t> </w:t>
      </w:r>
      <w:r w:rsidRPr="00561F65">
        <w:t>QCTDP</w:t>
      </w:r>
      <w:r w:rsidR="005C5B01" w:rsidRPr="00561F65">
        <w:t> </w:t>
      </w:r>
      <w:r w:rsidRPr="00561F65">
        <w:t>24. Voir également</w:t>
      </w:r>
      <w:r w:rsidR="00F01F5E" w:rsidRPr="00561F65">
        <w:t> </w:t>
      </w:r>
      <w:r w:rsidRPr="00561F65">
        <w:t xml:space="preserve">: </w:t>
      </w:r>
      <w:r w:rsidR="009C1299" w:rsidRPr="00561F65">
        <w:rPr>
          <w:smallCaps/>
        </w:rPr>
        <w:t>commission des droits de la personne et des droits de la jeunesse</w:t>
      </w:r>
      <w:r w:rsidRPr="00561F65">
        <w:t xml:space="preserve">, </w:t>
      </w:r>
      <w:r w:rsidRPr="00BD1A7E">
        <w:rPr>
          <w:i/>
          <w:iCs/>
        </w:rPr>
        <w:t>Profilage racial et discrimination systémique des jeunes racisés, Rapport de la consultation sur le profilage racial et ses conséquences</w:t>
      </w:r>
      <w:r w:rsidRPr="00561F65">
        <w:t>, 2011, p.</w:t>
      </w:r>
      <w:r w:rsidR="005C5B01" w:rsidRPr="00561F65">
        <w:t> </w:t>
      </w:r>
      <w:r w:rsidRPr="00561F65">
        <w:t>14</w:t>
      </w:r>
      <w:r w:rsidR="00071ED5">
        <w:t xml:space="preserve">, </w:t>
      </w:r>
      <w:r w:rsidR="00A04531">
        <w:t>[En ligne].</w:t>
      </w:r>
      <w:r w:rsidR="00C36BDB">
        <w:t xml:space="preserve"> </w:t>
      </w:r>
      <w:hyperlink r:id="rId95" w:history="1">
        <w:r w:rsidR="00C36BDB" w:rsidRPr="005C70C6">
          <w:rPr>
            <w:rStyle w:val="Lienhypertexte"/>
          </w:rPr>
          <w:t>https://cdpdj.qc.ca/storage/app/media/publications/Profilage_rapport_FR.pdf</w:t>
        </w:r>
      </w:hyperlink>
      <w:r w:rsidR="00C36BDB">
        <w:t xml:space="preserve"> </w:t>
      </w:r>
    </w:p>
  </w:footnote>
  <w:footnote w:id="177">
    <w:p w14:paraId="0CE99BD9" w14:textId="51BDF957" w:rsidR="00B11D50" w:rsidRPr="00561F65" w:rsidRDefault="00B11D50" w:rsidP="004E4354">
      <w:pPr>
        <w:pStyle w:val="NotesBasPage"/>
      </w:pPr>
      <w:r w:rsidRPr="00561F65">
        <w:rPr>
          <w:rStyle w:val="Appelnotedebasdep"/>
        </w:rPr>
        <w:footnoteRef/>
      </w:r>
      <w:r w:rsidRPr="00561F65">
        <w:t xml:space="preserve"> </w:t>
      </w:r>
      <w:r w:rsidRPr="00561F65">
        <w:tab/>
      </w:r>
      <w:r w:rsidRPr="00BD1A7E">
        <w:rPr>
          <w:i/>
          <w:iCs/>
        </w:rPr>
        <w:t>Commission des droits de la personne et des droits de la jeunesse (Mme</w:t>
      </w:r>
      <w:r w:rsidR="00421E33" w:rsidRPr="00BD1A7E">
        <w:rPr>
          <w:i/>
          <w:iCs/>
        </w:rPr>
        <w:t> </w:t>
      </w:r>
      <w:r w:rsidRPr="00BD1A7E">
        <w:rPr>
          <w:i/>
          <w:iCs/>
        </w:rPr>
        <w:t xml:space="preserve">B) </w:t>
      </w:r>
      <w:r w:rsidRPr="00B20EA7">
        <w:t>c</w:t>
      </w:r>
      <w:r w:rsidR="00515AD0" w:rsidRPr="00BD1A7E">
        <w:rPr>
          <w:i/>
          <w:iCs/>
        </w:rPr>
        <w:t>.</w:t>
      </w:r>
      <w:r w:rsidRPr="00BD1A7E">
        <w:rPr>
          <w:i/>
          <w:iCs/>
        </w:rPr>
        <w:t xml:space="preserve"> 140998 Canada </w:t>
      </w:r>
      <w:proofErr w:type="spellStart"/>
      <w:r w:rsidRPr="00BD1A7E">
        <w:rPr>
          <w:i/>
          <w:iCs/>
        </w:rPr>
        <w:t>inc</w:t>
      </w:r>
      <w:r w:rsidRPr="00F546C8">
        <w:t>.</w:t>
      </w:r>
      <w:proofErr w:type="spellEnd"/>
      <w:r w:rsidRPr="00561F65">
        <w:t>, 2002</w:t>
      </w:r>
      <w:r w:rsidR="00291541">
        <w:t> </w:t>
      </w:r>
      <w:r w:rsidRPr="00561F65">
        <w:t>CanLII</w:t>
      </w:r>
      <w:r w:rsidR="005C5B01" w:rsidRPr="00561F65">
        <w:t> </w:t>
      </w:r>
      <w:r w:rsidRPr="00561F65">
        <w:t>23918 (QC TDP)</w:t>
      </w:r>
      <w:r w:rsidR="00481793" w:rsidRPr="00561F65">
        <w:t>.</w:t>
      </w:r>
    </w:p>
  </w:footnote>
  <w:footnote w:id="178">
    <w:p w14:paraId="66B49293" w14:textId="351107A0" w:rsidR="00ED4ED8" w:rsidRPr="00561F65" w:rsidRDefault="00ED4ED8" w:rsidP="004E4354">
      <w:pPr>
        <w:pStyle w:val="NotesBasPage"/>
      </w:pPr>
      <w:r w:rsidRPr="00561F65">
        <w:rPr>
          <w:rStyle w:val="Appelnotedebasdep"/>
        </w:rPr>
        <w:footnoteRef/>
      </w:r>
      <w:r w:rsidRPr="00561F65">
        <w:t xml:space="preserve"> </w:t>
      </w:r>
      <w:r w:rsidRPr="00561F65">
        <w:tab/>
        <w:t>Voir par exemple cette décision dans laquelle cette justification n’est pas retenue dans un cas de congédiement d’une personne en transition de genre sous prétexte que sa transidentité pourrait affecter le développement de l’identité sexuelle des enfants avec lesquels elle travaille</w:t>
      </w:r>
      <w:r w:rsidR="00F01F5E" w:rsidRPr="00561F65">
        <w:t> </w:t>
      </w:r>
      <w:r w:rsidRPr="00561F65">
        <w:t xml:space="preserve">: </w:t>
      </w:r>
      <w:r w:rsidRPr="00561F65">
        <w:rPr>
          <w:i/>
        </w:rPr>
        <w:t>Commission des droits de la personne et des droits de la jeunesse</w:t>
      </w:r>
      <w:r w:rsidR="000028D3" w:rsidRPr="00561F65">
        <w:rPr>
          <w:i/>
        </w:rPr>
        <w:t xml:space="preserve"> (M.L.)</w:t>
      </w:r>
      <w:r w:rsidR="000028D3" w:rsidRPr="00561F65">
        <w:t xml:space="preserve"> </w:t>
      </w:r>
      <w:r w:rsidRPr="00561F65">
        <w:t>c</w:t>
      </w:r>
      <w:r w:rsidR="000D775E">
        <w:t>.</w:t>
      </w:r>
      <w:r w:rsidRPr="00561F65">
        <w:t xml:space="preserve"> </w:t>
      </w:r>
      <w:r w:rsidRPr="00561F65">
        <w:rPr>
          <w:i/>
        </w:rPr>
        <w:t>Maison des jeunes</w:t>
      </w:r>
      <w:r w:rsidR="009874A1" w:rsidRPr="00561F65">
        <w:rPr>
          <w:i/>
        </w:rPr>
        <w:t xml:space="preserve"> A.</w:t>
      </w:r>
      <w:r w:rsidRPr="00561F65">
        <w:t>,</w:t>
      </w:r>
      <w:r w:rsidRPr="00561F65">
        <w:rPr>
          <w:i/>
        </w:rPr>
        <w:t xml:space="preserve"> </w:t>
      </w:r>
      <w:proofErr w:type="spellStart"/>
      <w:r w:rsidR="009874A1" w:rsidRPr="00561F65">
        <w:t>préc</w:t>
      </w:r>
      <w:proofErr w:type="spellEnd"/>
      <w:r w:rsidR="009874A1" w:rsidRPr="00561F65">
        <w:t xml:space="preserve">., note </w:t>
      </w:r>
      <w:r w:rsidR="009874A1" w:rsidRPr="00561F65">
        <w:fldChar w:fldCharType="begin"/>
      </w:r>
      <w:r w:rsidR="009874A1" w:rsidRPr="00561F65">
        <w:instrText xml:space="preserve"> NOTEREF _Ref219194501 \h </w:instrText>
      </w:r>
      <w:r w:rsidR="007017CF" w:rsidRPr="00561F65">
        <w:instrText xml:space="preserve"> \* MERGEFORMAT </w:instrText>
      </w:r>
      <w:r w:rsidR="009874A1" w:rsidRPr="00561F65">
        <w:fldChar w:fldCharType="separate"/>
      </w:r>
      <w:r w:rsidR="000374E3" w:rsidRPr="00561F65">
        <w:t>21</w:t>
      </w:r>
      <w:r w:rsidR="009874A1" w:rsidRPr="00561F65">
        <w:fldChar w:fldCharType="end"/>
      </w:r>
      <w:r w:rsidR="009874A1" w:rsidRPr="00561F65">
        <w:t>.</w:t>
      </w:r>
    </w:p>
  </w:footnote>
  <w:footnote w:id="179">
    <w:p w14:paraId="11968D42" w14:textId="78609293" w:rsidR="00A822E4" w:rsidRPr="00561F65" w:rsidRDefault="00A822E4" w:rsidP="004E4354">
      <w:pPr>
        <w:pStyle w:val="NotesBasPage"/>
      </w:pPr>
      <w:r w:rsidRPr="00561F65">
        <w:rPr>
          <w:rStyle w:val="Appelnotedebasdep"/>
        </w:rPr>
        <w:footnoteRef/>
      </w:r>
      <w:r w:rsidRPr="00561F65">
        <w:t xml:space="preserve"> </w:t>
      </w:r>
      <w:r w:rsidRPr="00561F65">
        <w:tab/>
      </w:r>
      <w:r w:rsidRPr="006879D4">
        <w:rPr>
          <w:i/>
          <w:iCs/>
        </w:rPr>
        <w:t>Commission des droits de la personne et des droits de la jeunesse (Mme</w:t>
      </w:r>
      <w:r w:rsidR="00421E33" w:rsidRPr="006879D4">
        <w:rPr>
          <w:i/>
          <w:iCs/>
        </w:rPr>
        <w:t> </w:t>
      </w:r>
      <w:r w:rsidRPr="006879D4">
        <w:rPr>
          <w:i/>
          <w:iCs/>
        </w:rPr>
        <w:t xml:space="preserve">B) </w:t>
      </w:r>
      <w:r w:rsidRPr="000D775E">
        <w:t>c</w:t>
      </w:r>
      <w:r w:rsidR="00C90E45" w:rsidRPr="006879D4">
        <w:rPr>
          <w:i/>
          <w:iCs/>
        </w:rPr>
        <w:t>.</w:t>
      </w:r>
      <w:r w:rsidRPr="006879D4">
        <w:rPr>
          <w:i/>
          <w:iCs/>
        </w:rPr>
        <w:t xml:space="preserve"> 140998 Canada </w:t>
      </w:r>
      <w:proofErr w:type="spellStart"/>
      <w:r w:rsidRPr="006879D4">
        <w:rPr>
          <w:i/>
          <w:iCs/>
        </w:rPr>
        <w:t>inc</w:t>
      </w:r>
      <w:r w:rsidRPr="00F546C8">
        <w:t>.</w:t>
      </w:r>
      <w:proofErr w:type="spellEnd"/>
      <w:r w:rsidRPr="00561F65">
        <w:t xml:space="preserve">, </w:t>
      </w:r>
      <w:proofErr w:type="spellStart"/>
      <w:r w:rsidR="00C90E45" w:rsidRPr="00561F65">
        <w:t>préc</w:t>
      </w:r>
      <w:proofErr w:type="spellEnd"/>
      <w:r w:rsidR="00C90E45" w:rsidRPr="00561F65">
        <w:t xml:space="preserve">., note </w:t>
      </w:r>
      <w:r w:rsidR="00C90E45" w:rsidRPr="00561F65">
        <w:fldChar w:fldCharType="begin"/>
      </w:r>
      <w:r w:rsidR="00C90E45" w:rsidRPr="00561F65">
        <w:instrText xml:space="preserve"> NOTEREF _Ref219299826 \h </w:instrText>
      </w:r>
      <w:r w:rsidR="007017CF" w:rsidRPr="00561F65">
        <w:instrText xml:space="preserve"> \* MERGEFORMAT </w:instrText>
      </w:r>
      <w:r w:rsidR="00C90E45" w:rsidRPr="00561F65">
        <w:fldChar w:fldCharType="separate"/>
      </w:r>
      <w:r w:rsidR="000374E3" w:rsidRPr="00561F65">
        <w:t>176</w:t>
      </w:r>
      <w:r w:rsidR="00C90E45" w:rsidRPr="00561F65">
        <w:fldChar w:fldCharType="end"/>
      </w:r>
      <w:r w:rsidR="00C90E45" w:rsidRPr="00561F65">
        <w:t>.</w:t>
      </w:r>
    </w:p>
  </w:footnote>
  <w:footnote w:id="180">
    <w:p w14:paraId="57B5C48A" w14:textId="102CD494" w:rsidR="00A822E4" w:rsidRPr="00561F65" w:rsidRDefault="00A822E4" w:rsidP="004E4354">
      <w:pPr>
        <w:pStyle w:val="NotesBasPage"/>
      </w:pPr>
      <w:r w:rsidRPr="00561F65">
        <w:rPr>
          <w:rStyle w:val="Appelnotedebasdep"/>
        </w:rPr>
        <w:footnoteRef/>
      </w:r>
      <w:r w:rsidRPr="00561F65">
        <w:t xml:space="preserve"> </w:t>
      </w:r>
      <w:r w:rsidRPr="00561F65">
        <w:tab/>
      </w:r>
      <w:r w:rsidR="00C90E45" w:rsidRPr="00561F65">
        <w:rPr>
          <w:i/>
        </w:rPr>
        <w:t>Id.</w:t>
      </w:r>
    </w:p>
  </w:footnote>
  <w:footnote w:id="181">
    <w:p w14:paraId="6AB189B9" w14:textId="6F5C3746" w:rsidR="00620C92" w:rsidRPr="00561F65" w:rsidRDefault="00620C92" w:rsidP="004E4354">
      <w:pPr>
        <w:pStyle w:val="NotesBasPage"/>
      </w:pPr>
      <w:r w:rsidRPr="00561F65">
        <w:rPr>
          <w:rStyle w:val="Appelnotedebasdep"/>
        </w:rPr>
        <w:footnoteRef/>
      </w:r>
      <w:r w:rsidRPr="00561F65">
        <w:t xml:space="preserve"> </w:t>
      </w:r>
      <w:r w:rsidRPr="00561F65">
        <w:tab/>
      </w:r>
      <w:r w:rsidRPr="006879D4">
        <w:rPr>
          <w:i/>
          <w:iCs/>
        </w:rPr>
        <w:t>Commission des droits de la personne et des droits de la jeunesse (</w:t>
      </w:r>
      <w:proofErr w:type="spellStart"/>
      <w:r w:rsidRPr="006879D4">
        <w:rPr>
          <w:i/>
          <w:iCs/>
        </w:rPr>
        <w:t>O</w:t>
      </w:r>
      <w:r w:rsidR="00021D14" w:rsidRPr="006879D4">
        <w:rPr>
          <w:i/>
          <w:iCs/>
        </w:rPr>
        <w:t>’</w:t>
      </w:r>
      <w:r w:rsidRPr="006879D4">
        <w:rPr>
          <w:i/>
          <w:iCs/>
        </w:rPr>
        <w:t>Connor</w:t>
      </w:r>
      <w:proofErr w:type="spellEnd"/>
      <w:r w:rsidRPr="006879D4">
        <w:rPr>
          <w:i/>
          <w:iCs/>
        </w:rPr>
        <w:t xml:space="preserve">) </w:t>
      </w:r>
      <w:r w:rsidRPr="000D775E">
        <w:t>c</w:t>
      </w:r>
      <w:r w:rsidRPr="006879D4">
        <w:rPr>
          <w:i/>
          <w:iCs/>
        </w:rPr>
        <w:t xml:space="preserve">. </w:t>
      </w:r>
      <w:proofErr w:type="spellStart"/>
      <w:r w:rsidRPr="006879D4">
        <w:rPr>
          <w:i/>
          <w:iCs/>
        </w:rPr>
        <w:t>Sfiridis</w:t>
      </w:r>
      <w:proofErr w:type="spellEnd"/>
      <w:r w:rsidRPr="00561F65">
        <w:t>, 2002</w:t>
      </w:r>
      <w:r w:rsidR="005516C0" w:rsidRPr="00561F65">
        <w:t> </w:t>
      </w:r>
      <w:r w:rsidRPr="00561F65">
        <w:t>CanLII</w:t>
      </w:r>
      <w:r w:rsidR="005C5B01" w:rsidRPr="00561F65">
        <w:t> </w:t>
      </w:r>
      <w:r w:rsidRPr="00561F65">
        <w:t>41910 (QC TDP)</w:t>
      </w:r>
      <w:r w:rsidR="006E4F77" w:rsidRPr="00561F65">
        <w:t>.</w:t>
      </w:r>
    </w:p>
  </w:footnote>
  <w:footnote w:id="182">
    <w:p w14:paraId="1FEB80D0" w14:textId="46BBD4D2" w:rsidR="00DC273B" w:rsidRPr="00561F65" w:rsidRDefault="00620C92" w:rsidP="004E4354">
      <w:pPr>
        <w:pStyle w:val="NotesBasPage"/>
      </w:pPr>
      <w:r w:rsidRPr="00561F65">
        <w:rPr>
          <w:rStyle w:val="Appelnotedebasdep"/>
        </w:rPr>
        <w:footnoteRef/>
      </w:r>
      <w:r w:rsidRPr="00561F65">
        <w:t xml:space="preserve"> </w:t>
      </w:r>
      <w:r w:rsidRPr="00561F65">
        <w:tab/>
        <w:t>Pour une explication plus détaillée du cadre juridique à ce sujet, voir</w:t>
      </w:r>
      <w:r w:rsidR="00F01F5E" w:rsidRPr="00561F65">
        <w:t> </w:t>
      </w:r>
      <w:r w:rsidRPr="00561F65">
        <w:t>: C</w:t>
      </w:r>
      <w:r w:rsidRPr="00561F65">
        <w:rPr>
          <w:smallCaps/>
        </w:rPr>
        <w:t>ommission des droits de la personne et des droits de la jeunesse</w:t>
      </w:r>
      <w:r w:rsidRPr="00561F65">
        <w:t xml:space="preserve">, </w:t>
      </w:r>
      <w:proofErr w:type="spellStart"/>
      <w:r w:rsidR="00774169" w:rsidRPr="00561F65">
        <w:t>préc</w:t>
      </w:r>
      <w:proofErr w:type="spellEnd"/>
      <w:r w:rsidR="00774169" w:rsidRPr="00561F65">
        <w:t xml:space="preserve">., note </w:t>
      </w:r>
      <w:r w:rsidR="00774169" w:rsidRPr="00561F65">
        <w:fldChar w:fldCharType="begin"/>
      </w:r>
      <w:r w:rsidR="00774169" w:rsidRPr="00561F65">
        <w:instrText xml:space="preserve"> NOTEREF _Ref219195115 \h </w:instrText>
      </w:r>
      <w:r w:rsidR="007017CF" w:rsidRPr="00561F65">
        <w:instrText xml:space="preserve"> \* MERGEFORMAT </w:instrText>
      </w:r>
      <w:r w:rsidR="00774169" w:rsidRPr="00561F65">
        <w:fldChar w:fldCharType="separate"/>
      </w:r>
      <w:r w:rsidR="000374E3" w:rsidRPr="00561F65">
        <w:t>34</w:t>
      </w:r>
      <w:r w:rsidR="00774169" w:rsidRPr="00561F65">
        <w:fldChar w:fldCharType="end"/>
      </w:r>
      <w:r w:rsidR="00770DAE" w:rsidRPr="00561F65">
        <w:t>, p. 31-40</w:t>
      </w:r>
      <w:r w:rsidR="005C293F" w:rsidRPr="00561F65">
        <w:rPr>
          <w:rFonts w:ascii="Arial" w:hAnsi="Arial" w:cs="Arial"/>
        </w:rPr>
        <w:t> </w:t>
      </w:r>
      <w:r w:rsidR="00774169" w:rsidRPr="00561F65">
        <w:t>;</w:t>
      </w:r>
      <w:r w:rsidRPr="00561F65">
        <w:t xml:space="preserve"> Voir aussi le guide de l’employeur conçu par la Commission, </w:t>
      </w:r>
      <w:r w:rsidRPr="00561F65">
        <w:rPr>
          <w:i/>
        </w:rPr>
        <w:t>Recruter sans discriminer</w:t>
      </w:r>
      <w:r w:rsidRPr="00561F65">
        <w:t xml:space="preserve">, 2020, [En ligne]. </w:t>
      </w:r>
      <w:hyperlink r:id="rId96" w:history="1">
        <w:r w:rsidR="00324089" w:rsidRPr="007912CF">
          <w:rPr>
            <w:rStyle w:val="Lienhypertexte"/>
          </w:rPr>
          <w:t>https://www.cdpdj.qc.ca/storage/app/media/publications/Recruter-sans-discriminer_Guide.pdf</w:t>
        </w:r>
      </w:hyperlink>
    </w:p>
  </w:footnote>
  <w:footnote w:id="183">
    <w:p w14:paraId="303AE2DA" w14:textId="79273416" w:rsidR="00927742" w:rsidRPr="00561F65" w:rsidRDefault="00927742" w:rsidP="004E4354">
      <w:pPr>
        <w:pStyle w:val="NotesBasPage"/>
      </w:pPr>
      <w:r w:rsidRPr="00561F65">
        <w:rPr>
          <w:rStyle w:val="Appelnotedebasdep"/>
        </w:rPr>
        <w:footnoteRef/>
      </w:r>
      <w:r w:rsidRPr="00561F65">
        <w:t xml:space="preserve"> </w:t>
      </w:r>
      <w:r w:rsidR="003A74A6" w:rsidRPr="00561F65">
        <w:tab/>
      </w:r>
      <w:r w:rsidRPr="00561F65">
        <w:rPr>
          <w:i/>
        </w:rPr>
        <w:t xml:space="preserve">Boucard </w:t>
      </w:r>
      <w:r w:rsidRPr="00561F65">
        <w:t xml:space="preserve">c. </w:t>
      </w:r>
      <w:r w:rsidRPr="00561F65">
        <w:rPr>
          <w:i/>
        </w:rPr>
        <w:t>Gagnon</w:t>
      </w:r>
      <w:r w:rsidRPr="00561F65">
        <w:t>, 2025</w:t>
      </w:r>
      <w:r w:rsidR="005516C0" w:rsidRPr="00561F65">
        <w:t> </w:t>
      </w:r>
      <w:r w:rsidRPr="00561F65">
        <w:t>QCTDP</w:t>
      </w:r>
      <w:r w:rsidR="005C5B01" w:rsidRPr="00561F65">
        <w:t> </w:t>
      </w:r>
      <w:r w:rsidRPr="00561F65">
        <w:t>9 (CanLII)</w:t>
      </w:r>
      <w:r w:rsidR="006E4F77" w:rsidRPr="00561F65">
        <w:t>.</w:t>
      </w:r>
    </w:p>
  </w:footnote>
  <w:footnote w:id="184">
    <w:p w14:paraId="36475936" w14:textId="0EF6AA32" w:rsidR="0029538A" w:rsidRPr="00561F65" w:rsidRDefault="0029538A" w:rsidP="004E4354">
      <w:pPr>
        <w:pStyle w:val="NotesBasPage"/>
      </w:pPr>
      <w:r w:rsidRPr="00561F65">
        <w:rPr>
          <w:rStyle w:val="Appelnotedebasdep"/>
        </w:rPr>
        <w:footnoteRef/>
      </w:r>
      <w:r w:rsidRPr="00561F65">
        <w:t xml:space="preserve">  </w:t>
      </w:r>
      <w:r w:rsidR="003A74A6" w:rsidRPr="00561F65">
        <w:tab/>
      </w:r>
      <w:r w:rsidR="009C1299" w:rsidRPr="00561F65">
        <w:rPr>
          <w:i/>
        </w:rPr>
        <w:t>Id</w:t>
      </w:r>
      <w:r w:rsidR="009C1299" w:rsidRPr="00561F65">
        <w:t>.</w:t>
      </w:r>
      <w:r w:rsidR="00645C8B">
        <w:t xml:space="preserve">, </w:t>
      </w:r>
      <w:r w:rsidRPr="00561F65">
        <w:t>par</w:t>
      </w:r>
      <w:r w:rsidR="00261F95" w:rsidRPr="00561F65">
        <w:t>.</w:t>
      </w:r>
      <w:r w:rsidR="005C293F" w:rsidRPr="00561F65">
        <w:t xml:space="preserve"> </w:t>
      </w:r>
      <w:r w:rsidRPr="00561F65">
        <w:t>66.</w:t>
      </w:r>
    </w:p>
  </w:footnote>
  <w:footnote w:id="185">
    <w:p w14:paraId="6A36336C" w14:textId="52158D31" w:rsidR="0029538A" w:rsidRPr="00561F65" w:rsidRDefault="0029538A" w:rsidP="004E4354">
      <w:pPr>
        <w:pStyle w:val="NotesBasPage"/>
      </w:pPr>
      <w:r w:rsidRPr="00561F65">
        <w:rPr>
          <w:rStyle w:val="Appelnotedebasdep"/>
        </w:rPr>
        <w:footnoteRef/>
      </w:r>
      <w:r w:rsidRPr="00561F65">
        <w:t xml:space="preserve"> </w:t>
      </w:r>
      <w:r w:rsidRPr="00561F65">
        <w:tab/>
      </w:r>
      <w:r w:rsidRPr="00324089">
        <w:rPr>
          <w:i/>
          <w:iCs/>
        </w:rPr>
        <w:t xml:space="preserve">Commission des droits de la personne et des droits de la jeunesse (V.L.) </w:t>
      </w:r>
      <w:r w:rsidRPr="00645C8B">
        <w:t>c</w:t>
      </w:r>
      <w:r w:rsidRPr="00324089">
        <w:rPr>
          <w:i/>
          <w:iCs/>
        </w:rPr>
        <w:t>. Desormeaux</w:t>
      </w:r>
      <w:r w:rsidRPr="00561F65">
        <w:t xml:space="preserve">, </w:t>
      </w:r>
      <w:proofErr w:type="spellStart"/>
      <w:r w:rsidR="006E4F77" w:rsidRPr="00561F65">
        <w:t>préc</w:t>
      </w:r>
      <w:proofErr w:type="spellEnd"/>
      <w:r w:rsidR="006E4F77" w:rsidRPr="00561F65">
        <w:t xml:space="preserve">., note </w:t>
      </w:r>
      <w:r w:rsidR="006E4F77" w:rsidRPr="00561F65">
        <w:fldChar w:fldCharType="begin"/>
      </w:r>
      <w:r w:rsidR="006E4F77" w:rsidRPr="00561F65">
        <w:instrText xml:space="preserve"> NOTEREF _Ref219300056 \h </w:instrText>
      </w:r>
      <w:r w:rsidR="007017CF" w:rsidRPr="00561F65">
        <w:instrText xml:space="preserve"> \* MERGEFORMAT </w:instrText>
      </w:r>
      <w:r w:rsidR="006E4F77" w:rsidRPr="00561F65">
        <w:fldChar w:fldCharType="separate"/>
      </w:r>
      <w:r w:rsidR="000374E3" w:rsidRPr="00561F65">
        <w:t>43</w:t>
      </w:r>
      <w:r w:rsidR="006E4F77" w:rsidRPr="00561F65">
        <w:fldChar w:fldCharType="end"/>
      </w:r>
      <w:r w:rsidR="006E4F77" w:rsidRPr="00561F65">
        <w:t xml:space="preserve">, </w:t>
      </w:r>
      <w:r w:rsidRPr="00561F65">
        <w:t>par</w:t>
      </w:r>
      <w:r w:rsidR="002D694E" w:rsidRPr="00561F65">
        <w:t>.</w:t>
      </w:r>
      <w:r w:rsidR="005C293F" w:rsidRPr="00561F65">
        <w:t xml:space="preserve"> </w:t>
      </w:r>
      <w:r w:rsidRPr="00561F65">
        <w:t>74</w:t>
      </w:r>
      <w:r w:rsidR="002D694E" w:rsidRPr="00561F65">
        <w:t xml:space="preserve"> </w:t>
      </w:r>
      <w:r w:rsidRPr="00561F65">
        <w:t xml:space="preserve">citant </w:t>
      </w:r>
      <w:proofErr w:type="spellStart"/>
      <w:r w:rsidRPr="00324089">
        <w:rPr>
          <w:i/>
          <w:iCs/>
        </w:rPr>
        <w:t>Habachi</w:t>
      </w:r>
      <w:proofErr w:type="spellEnd"/>
      <w:r w:rsidRPr="00324089">
        <w:rPr>
          <w:i/>
          <w:iCs/>
        </w:rPr>
        <w:t xml:space="preserve"> </w:t>
      </w:r>
      <w:r w:rsidRPr="00645C8B">
        <w:t>c</w:t>
      </w:r>
      <w:r w:rsidRPr="00324089">
        <w:rPr>
          <w:i/>
          <w:iCs/>
        </w:rPr>
        <w:t>. Commission des droits de la personne</w:t>
      </w:r>
      <w:r w:rsidRPr="00561F65">
        <w:t>, 1999</w:t>
      </w:r>
      <w:r w:rsidR="005516C0" w:rsidRPr="00561F65">
        <w:t> </w:t>
      </w:r>
      <w:r w:rsidRPr="00561F65">
        <w:t>CanLII</w:t>
      </w:r>
      <w:r w:rsidR="005C5B01" w:rsidRPr="00561F65">
        <w:t> </w:t>
      </w:r>
      <w:r w:rsidRPr="00561F65">
        <w:t>13</w:t>
      </w:r>
      <w:r w:rsidRPr="00561F65">
        <w:rPr>
          <w:rFonts w:ascii="Arial" w:hAnsi="Arial" w:cs="Arial"/>
        </w:rPr>
        <w:t> </w:t>
      </w:r>
      <w:r w:rsidRPr="00561F65">
        <w:t xml:space="preserve">338 (QC CA). </w:t>
      </w:r>
    </w:p>
  </w:footnote>
  <w:footnote w:id="186">
    <w:p w14:paraId="3C5FA906" w14:textId="77777777" w:rsidR="0029538A" w:rsidRPr="00561F65" w:rsidRDefault="0029538A" w:rsidP="004E4354">
      <w:pPr>
        <w:pStyle w:val="NotesBasPage"/>
      </w:pPr>
      <w:r w:rsidRPr="00561F65">
        <w:rPr>
          <w:rStyle w:val="Appelnotedebasdep"/>
        </w:rPr>
        <w:footnoteRef/>
      </w:r>
      <w:r w:rsidRPr="00561F65">
        <w:t xml:space="preserve"> </w:t>
      </w:r>
      <w:r w:rsidRPr="00561F65">
        <w:tab/>
      </w:r>
      <w:r w:rsidRPr="00561F65">
        <w:rPr>
          <w:i/>
        </w:rPr>
        <w:t>Audige</w:t>
      </w:r>
      <w:r w:rsidRPr="00561F65">
        <w:t> c. </w:t>
      </w:r>
      <w:r w:rsidRPr="00561F65">
        <w:rPr>
          <w:i/>
        </w:rPr>
        <w:t>Robert</w:t>
      </w:r>
      <w:r w:rsidRPr="00561F65">
        <w:t>, 2021 QCTDP 25</w:t>
      </w:r>
      <w:r w:rsidRPr="00561F65">
        <w:rPr>
          <w:rFonts w:ascii="Arial" w:hAnsi="Arial" w:cs="Arial"/>
        </w:rPr>
        <w:t> </w:t>
      </w:r>
      <w:r w:rsidRPr="00561F65">
        <w:t>;</w:t>
      </w:r>
      <w:r w:rsidRPr="00561F65">
        <w:rPr>
          <w:rFonts w:cs="Aptos"/>
        </w:rPr>
        <w:t> </w:t>
      </w:r>
      <w:r w:rsidRPr="00561F65">
        <w:rPr>
          <w:i/>
        </w:rPr>
        <w:t>CDPDJ (Marseille)</w:t>
      </w:r>
      <w:r w:rsidRPr="00561F65">
        <w:t> c. </w:t>
      </w:r>
      <w:r w:rsidRPr="00561F65">
        <w:rPr>
          <w:i/>
        </w:rPr>
        <w:t>Laverdière</w:t>
      </w:r>
      <w:r w:rsidRPr="00561F65">
        <w:t>, 2008 QCTDP 15.</w:t>
      </w:r>
    </w:p>
  </w:footnote>
  <w:footnote w:id="187">
    <w:p w14:paraId="3CE42F82" w14:textId="7F069C70" w:rsidR="0029538A" w:rsidRPr="00561F65" w:rsidRDefault="0029538A" w:rsidP="004E4354">
      <w:pPr>
        <w:pStyle w:val="NotesBasPage"/>
      </w:pPr>
      <w:r w:rsidRPr="00561F65">
        <w:rPr>
          <w:rStyle w:val="Appelnotedebasdep"/>
        </w:rPr>
        <w:footnoteRef/>
      </w:r>
      <w:r w:rsidRPr="00561F65">
        <w:t xml:space="preserve"> </w:t>
      </w:r>
      <w:r w:rsidRPr="00561F65">
        <w:tab/>
      </w:r>
      <w:r w:rsidRPr="00324089">
        <w:rPr>
          <w:i/>
          <w:iCs/>
        </w:rPr>
        <w:t>Commission des droits de la personne et des droits de la jeunesse (</w:t>
      </w:r>
      <w:proofErr w:type="spellStart"/>
      <w:r w:rsidRPr="00324089">
        <w:rPr>
          <w:i/>
          <w:iCs/>
        </w:rPr>
        <w:t>Lippé</w:t>
      </w:r>
      <w:proofErr w:type="spellEnd"/>
      <w:r w:rsidRPr="00324089">
        <w:rPr>
          <w:i/>
          <w:iCs/>
        </w:rPr>
        <w:t>) </w:t>
      </w:r>
      <w:r w:rsidRPr="00645C8B">
        <w:t>c</w:t>
      </w:r>
      <w:r w:rsidRPr="00324089">
        <w:rPr>
          <w:i/>
          <w:iCs/>
        </w:rPr>
        <w:t>. Québec (Procureur général)</w:t>
      </w:r>
      <w:r w:rsidRPr="00561F65">
        <w:t>, </w:t>
      </w:r>
      <w:r w:rsidR="000665D2" w:rsidRPr="00561F65">
        <w:t>1998 CanLII 30 (QC TDP)</w:t>
      </w:r>
      <w:r w:rsidRPr="00561F65">
        <w:t>, [1998] R.J.Q. 3397, 3418, par. 141 et 142.</w:t>
      </w:r>
    </w:p>
  </w:footnote>
  <w:footnote w:id="188">
    <w:p w14:paraId="18FF7063" w14:textId="7F8989F6" w:rsidR="0029538A" w:rsidRPr="00561F65" w:rsidRDefault="0029538A" w:rsidP="004E4354">
      <w:pPr>
        <w:pStyle w:val="NotesBasPage"/>
      </w:pPr>
      <w:r w:rsidRPr="00561F65">
        <w:rPr>
          <w:rStyle w:val="Appelnotedebasdep"/>
        </w:rPr>
        <w:footnoteRef/>
      </w:r>
      <w:r w:rsidRPr="00561F65">
        <w:t xml:space="preserve"> </w:t>
      </w:r>
      <w:r w:rsidRPr="00561F65">
        <w:tab/>
      </w:r>
      <w:r w:rsidRPr="00324089">
        <w:rPr>
          <w:i/>
          <w:iCs/>
        </w:rPr>
        <w:t>Commission des droits de la personne et des droits de la jeunesse (VL) </w:t>
      </w:r>
      <w:r w:rsidRPr="00E50417">
        <w:t>c</w:t>
      </w:r>
      <w:r w:rsidRPr="00324089">
        <w:rPr>
          <w:i/>
          <w:iCs/>
        </w:rPr>
        <w:t>. Desormeaux</w:t>
      </w:r>
      <w:r w:rsidRPr="00561F65">
        <w:t xml:space="preserve">, </w:t>
      </w:r>
      <w:proofErr w:type="spellStart"/>
      <w:r w:rsidR="002D694E" w:rsidRPr="00561F65">
        <w:t>préc</w:t>
      </w:r>
      <w:proofErr w:type="spellEnd"/>
      <w:r w:rsidR="002D694E" w:rsidRPr="00561F65">
        <w:t xml:space="preserve">., note </w:t>
      </w:r>
      <w:r w:rsidR="00234653" w:rsidRPr="00561F65">
        <w:fldChar w:fldCharType="begin"/>
      </w:r>
      <w:r w:rsidR="00234653" w:rsidRPr="00561F65">
        <w:instrText xml:space="preserve"> NOTEREF _Ref219300056 \h </w:instrText>
      </w:r>
      <w:r w:rsidR="007017CF" w:rsidRPr="00561F65">
        <w:instrText xml:space="preserve"> \* MERGEFORMAT </w:instrText>
      </w:r>
      <w:r w:rsidR="00234653" w:rsidRPr="00561F65">
        <w:fldChar w:fldCharType="separate"/>
      </w:r>
      <w:r w:rsidR="000374E3" w:rsidRPr="00561F65">
        <w:t>43</w:t>
      </w:r>
      <w:r w:rsidR="00234653" w:rsidRPr="00561F65">
        <w:fldChar w:fldCharType="end"/>
      </w:r>
      <w:r w:rsidRPr="00561F65">
        <w:t>, par. 59.</w:t>
      </w:r>
    </w:p>
  </w:footnote>
  <w:footnote w:id="189">
    <w:p w14:paraId="1A87377F" w14:textId="1F128667" w:rsidR="0029538A" w:rsidRPr="00561F65" w:rsidRDefault="0029538A" w:rsidP="004E4354">
      <w:pPr>
        <w:pStyle w:val="NotesBasPage"/>
      </w:pPr>
      <w:r w:rsidRPr="00561F65">
        <w:rPr>
          <w:rStyle w:val="Appelnotedebasdep"/>
        </w:rPr>
        <w:footnoteRef/>
      </w:r>
      <w:r w:rsidRPr="00561F65">
        <w:t xml:space="preserve"> </w:t>
      </w:r>
      <w:r w:rsidRPr="00561F65">
        <w:tab/>
      </w:r>
      <w:r w:rsidR="00234653" w:rsidRPr="00561F65">
        <w:rPr>
          <w:i/>
        </w:rPr>
        <w:t>Id</w:t>
      </w:r>
      <w:r w:rsidR="00234653" w:rsidRPr="00561F65">
        <w:t>.</w:t>
      </w:r>
    </w:p>
  </w:footnote>
  <w:footnote w:id="190">
    <w:p w14:paraId="5068B916" w14:textId="48B42566" w:rsidR="0029538A" w:rsidRPr="00561F65" w:rsidRDefault="0029538A" w:rsidP="004E4354">
      <w:pPr>
        <w:pStyle w:val="NotesBasPage"/>
      </w:pPr>
      <w:r w:rsidRPr="00561F65">
        <w:rPr>
          <w:rStyle w:val="Appelnotedebasdep"/>
        </w:rPr>
        <w:footnoteRef/>
      </w:r>
      <w:r w:rsidRPr="00561F65">
        <w:t xml:space="preserve"> </w:t>
      </w:r>
      <w:r w:rsidRPr="00561F65">
        <w:tab/>
      </w:r>
      <w:r w:rsidRPr="00561F65">
        <w:rPr>
          <w:i/>
        </w:rPr>
        <w:t>Janzen</w:t>
      </w:r>
      <w:r w:rsidRPr="00561F65">
        <w:t xml:space="preserve"> c. </w:t>
      </w:r>
      <w:r w:rsidRPr="00561F65">
        <w:rPr>
          <w:i/>
        </w:rPr>
        <w:t xml:space="preserve">Platy </w:t>
      </w:r>
      <w:proofErr w:type="spellStart"/>
      <w:r w:rsidRPr="00561F65">
        <w:rPr>
          <w:i/>
        </w:rPr>
        <w:t>Enterprises</w:t>
      </w:r>
      <w:proofErr w:type="spellEnd"/>
      <w:r w:rsidRPr="00561F65">
        <w:rPr>
          <w:i/>
        </w:rPr>
        <w:t xml:space="preserve"> Ltd</w:t>
      </w:r>
      <w:r w:rsidRPr="00561F65">
        <w:t>., [1989] 1 RCS</w:t>
      </w:r>
      <w:r w:rsidR="005C5B01" w:rsidRPr="00561F65">
        <w:t> </w:t>
      </w:r>
      <w:r w:rsidRPr="00561F65">
        <w:t>1252</w:t>
      </w:r>
      <w:r w:rsidR="00EF6C51" w:rsidRPr="00561F65">
        <w:t>.</w:t>
      </w:r>
    </w:p>
  </w:footnote>
  <w:footnote w:id="191">
    <w:p w14:paraId="5C915270" w14:textId="77777777" w:rsidR="0029538A" w:rsidRPr="00561F65" w:rsidRDefault="0029538A" w:rsidP="004E4354">
      <w:pPr>
        <w:pStyle w:val="NotesBasPage"/>
      </w:pPr>
      <w:r w:rsidRPr="00561F65">
        <w:rPr>
          <w:rStyle w:val="Appelnotedebasdep"/>
        </w:rPr>
        <w:footnoteRef/>
      </w:r>
      <w:r w:rsidRPr="00561F65">
        <w:t xml:space="preserve"> </w:t>
      </w:r>
      <w:r w:rsidRPr="00561F65">
        <w:tab/>
      </w:r>
      <w:r w:rsidRPr="0001629D">
        <w:rPr>
          <w:i/>
          <w:iCs/>
        </w:rPr>
        <w:t>Robichaud c. Canada (Conseil du trésor)</w:t>
      </w:r>
      <w:r w:rsidRPr="00561F65">
        <w:t>, [1987] 2 R.C.S. 84.</w:t>
      </w:r>
    </w:p>
  </w:footnote>
  <w:footnote w:id="192">
    <w:p w14:paraId="4E147D89" w14:textId="05DCB4C5" w:rsidR="0029538A" w:rsidRPr="00561F65" w:rsidRDefault="0029538A" w:rsidP="004E4354">
      <w:pPr>
        <w:pStyle w:val="NotesBasPage"/>
      </w:pPr>
      <w:r w:rsidRPr="00561F65">
        <w:rPr>
          <w:rStyle w:val="Appelnotedebasdep"/>
        </w:rPr>
        <w:footnoteRef/>
      </w:r>
      <w:r w:rsidRPr="00561F65">
        <w:t xml:space="preserve"> </w:t>
      </w:r>
      <w:r w:rsidRPr="00561F65">
        <w:tab/>
      </w:r>
      <w:r w:rsidRPr="00561F65">
        <w:rPr>
          <w:i/>
        </w:rPr>
        <w:t>Code civil du Québec</w:t>
      </w:r>
      <w:r w:rsidRPr="00561F65">
        <w:t>,</w:t>
      </w:r>
      <w:r w:rsidR="003318DB" w:rsidRPr="003318DB">
        <w:t xml:space="preserve"> </w:t>
      </w:r>
      <w:r w:rsidR="003318DB">
        <w:t>RLRQ c</w:t>
      </w:r>
      <w:r w:rsidR="00665864">
        <w:t>.</w:t>
      </w:r>
      <w:r w:rsidR="003318DB">
        <w:t xml:space="preserve"> CCQ-199,</w:t>
      </w:r>
      <w:r w:rsidRPr="00561F65">
        <w:t xml:space="preserve"> art. 1463</w:t>
      </w:r>
      <w:r w:rsidR="003318DB">
        <w:t xml:space="preserve"> </w:t>
      </w:r>
      <w:r w:rsidR="00EB349C">
        <w:t>(ci-après «</w:t>
      </w:r>
      <w:r w:rsidR="00AB693A">
        <w:rPr>
          <w:rFonts w:ascii="Arial" w:hAnsi="Arial" w:cs="Arial"/>
        </w:rPr>
        <w:t> </w:t>
      </w:r>
      <w:r w:rsidR="00EB349C">
        <w:t>C.c.Q.</w:t>
      </w:r>
      <w:r w:rsidR="00AB693A">
        <w:rPr>
          <w:rFonts w:ascii="Arial" w:hAnsi="Arial" w:cs="Arial"/>
        </w:rPr>
        <w:t> </w:t>
      </w:r>
      <w:r w:rsidR="00756231">
        <w:rPr>
          <w:rFonts w:ascii="Walbaum Heading" w:hAnsi="Walbaum Heading"/>
        </w:rPr>
        <w:t>»</w:t>
      </w:r>
      <w:r w:rsidR="00756231">
        <w:t>)</w:t>
      </w:r>
      <w:r w:rsidRPr="00561F65">
        <w:t>, </w:t>
      </w:r>
      <w:r w:rsidRPr="00561F65">
        <w:rPr>
          <w:i/>
        </w:rPr>
        <w:t>Commission des droits de la personne et des droits de la jeunesse</w:t>
      </w:r>
      <w:r w:rsidRPr="00561F65">
        <w:t> c. </w:t>
      </w:r>
      <w:r w:rsidRPr="00561F65">
        <w:rPr>
          <w:i/>
        </w:rPr>
        <w:t>Pigeon</w:t>
      </w:r>
      <w:r w:rsidRPr="00561F65">
        <w:t>, (T.D.P.Q., 2002-11-04), SOQUIJ AZ-50151100, D.T.E. 2002T-1156, par. 55.</w:t>
      </w:r>
    </w:p>
  </w:footnote>
  <w:footnote w:id="193">
    <w:p w14:paraId="0320CB5D" w14:textId="390E7187" w:rsidR="0029538A" w:rsidRPr="00561F65" w:rsidRDefault="0029538A" w:rsidP="004E4354">
      <w:pPr>
        <w:pStyle w:val="NotesBasPage"/>
      </w:pPr>
      <w:r w:rsidRPr="00561F65">
        <w:rPr>
          <w:rStyle w:val="Appelnotedebasdep"/>
        </w:rPr>
        <w:footnoteRef/>
      </w:r>
      <w:r w:rsidRPr="00561F65">
        <w:t xml:space="preserve"> </w:t>
      </w:r>
      <w:r w:rsidRPr="00561F65">
        <w:tab/>
      </w:r>
      <w:r w:rsidRPr="00561F65">
        <w:rPr>
          <w:i/>
        </w:rPr>
        <w:t>Loi sur les normes du travail</w:t>
      </w:r>
      <w:r w:rsidRPr="00561F65">
        <w:t>, RLRQ, c. N-1.1, art.</w:t>
      </w:r>
      <w:r w:rsidR="005C5B01" w:rsidRPr="00561F65">
        <w:t> </w:t>
      </w:r>
      <w:r w:rsidRPr="00561F65">
        <w:t>81.19, al. 2</w:t>
      </w:r>
      <w:r w:rsidR="000470D1">
        <w:t xml:space="preserve"> (ci-après «</w:t>
      </w:r>
      <w:r w:rsidR="008455FF">
        <w:rPr>
          <w:rFonts w:ascii="Arial" w:hAnsi="Arial" w:cs="Arial"/>
        </w:rPr>
        <w:t> </w:t>
      </w:r>
      <w:r w:rsidR="000470D1" w:rsidRPr="00BA49E4">
        <w:t>L.n.t</w:t>
      </w:r>
      <w:r w:rsidR="008455FF">
        <w:rPr>
          <w:rFonts w:ascii="Arial" w:hAnsi="Arial" w:cs="Arial"/>
        </w:rPr>
        <w:t> </w:t>
      </w:r>
      <w:r w:rsidR="000470D1">
        <w:rPr>
          <w:rFonts w:ascii="Walbaum Heading" w:hAnsi="Walbaum Heading"/>
        </w:rPr>
        <w:t>»).</w:t>
      </w:r>
    </w:p>
  </w:footnote>
  <w:footnote w:id="194">
    <w:p w14:paraId="0AA32B1B" w14:textId="783C2661" w:rsidR="0034245B" w:rsidRPr="00561F65" w:rsidRDefault="0034245B" w:rsidP="004E4354">
      <w:pPr>
        <w:pStyle w:val="NotesBasPage"/>
      </w:pPr>
      <w:r w:rsidRPr="00561F65">
        <w:rPr>
          <w:rStyle w:val="Appelnotedebasdep"/>
        </w:rPr>
        <w:footnoteRef/>
      </w:r>
      <w:r w:rsidRPr="00561F65">
        <w:t xml:space="preserve"> </w:t>
      </w:r>
      <w:r w:rsidRPr="00561F65">
        <w:tab/>
        <w:t xml:space="preserve">Voir par exemple </w:t>
      </w:r>
      <w:r w:rsidRPr="0001629D">
        <w:rPr>
          <w:i/>
          <w:iCs/>
        </w:rPr>
        <w:t xml:space="preserve">Commission des droits de la personne et des droits de la jeunesse (E.B.) </w:t>
      </w:r>
      <w:r w:rsidRPr="00282214">
        <w:t>c</w:t>
      </w:r>
      <w:r w:rsidR="009112FC" w:rsidRPr="0001629D">
        <w:rPr>
          <w:i/>
          <w:iCs/>
        </w:rPr>
        <w:t>.</w:t>
      </w:r>
      <w:r w:rsidR="005C5B01" w:rsidRPr="0001629D">
        <w:rPr>
          <w:i/>
          <w:iCs/>
        </w:rPr>
        <w:t> </w:t>
      </w:r>
      <w:r w:rsidRPr="0001629D">
        <w:rPr>
          <w:i/>
          <w:iCs/>
        </w:rPr>
        <w:t xml:space="preserve">9302-6573 Québec </w:t>
      </w:r>
      <w:proofErr w:type="spellStart"/>
      <w:r w:rsidRPr="0001629D">
        <w:rPr>
          <w:i/>
          <w:iCs/>
        </w:rPr>
        <w:t>inc</w:t>
      </w:r>
      <w:r w:rsidRPr="004D524E">
        <w:t>.</w:t>
      </w:r>
      <w:proofErr w:type="spellEnd"/>
      <w:r w:rsidRPr="004D524E">
        <w:t xml:space="preserve"> (Bar Lucky</w:t>
      </w:r>
      <w:r w:rsidR="005C5B01" w:rsidRPr="004D524E">
        <w:t> </w:t>
      </w:r>
      <w:r w:rsidRPr="004D524E">
        <w:t>7)</w:t>
      </w:r>
      <w:r w:rsidRPr="00561F65">
        <w:t xml:space="preserve">, </w:t>
      </w:r>
      <w:proofErr w:type="spellStart"/>
      <w:r w:rsidR="001C2A4B" w:rsidRPr="00561F65">
        <w:t>préc</w:t>
      </w:r>
      <w:proofErr w:type="spellEnd"/>
      <w:r w:rsidR="001C2A4B" w:rsidRPr="00561F65">
        <w:t xml:space="preserve">., note </w:t>
      </w:r>
      <w:r w:rsidR="001C2A4B" w:rsidRPr="00561F65">
        <w:fldChar w:fldCharType="begin"/>
      </w:r>
      <w:r w:rsidR="001C2A4B" w:rsidRPr="00561F65">
        <w:instrText xml:space="preserve"> NOTEREF _Ref219291741 \h </w:instrText>
      </w:r>
      <w:r w:rsidR="007017CF" w:rsidRPr="00561F65">
        <w:instrText xml:space="preserve"> \* MERGEFORMAT </w:instrText>
      </w:r>
      <w:r w:rsidR="001C2A4B" w:rsidRPr="00561F65">
        <w:fldChar w:fldCharType="separate"/>
      </w:r>
      <w:r w:rsidR="000374E3" w:rsidRPr="00561F65">
        <w:t>142</w:t>
      </w:r>
      <w:r w:rsidR="001C2A4B" w:rsidRPr="00561F65">
        <w:fldChar w:fldCharType="end"/>
      </w:r>
      <w:r w:rsidR="00BD6329" w:rsidRPr="00561F65">
        <w:rPr>
          <w:rFonts w:ascii="Arial" w:hAnsi="Arial" w:cs="Arial"/>
        </w:rPr>
        <w:t> </w:t>
      </w:r>
      <w:r w:rsidRPr="00561F65">
        <w:t xml:space="preserve">; </w:t>
      </w:r>
      <w:r w:rsidRPr="0001629D">
        <w:rPr>
          <w:i/>
          <w:iCs/>
        </w:rPr>
        <w:t xml:space="preserve">Commission des droits de la personne et des droits de la jeunesse (Rivest) </w:t>
      </w:r>
      <w:r w:rsidRPr="00282214">
        <w:t>c</w:t>
      </w:r>
      <w:r w:rsidR="007439A0" w:rsidRPr="0001629D">
        <w:rPr>
          <w:i/>
          <w:iCs/>
        </w:rPr>
        <w:t>.</w:t>
      </w:r>
      <w:r w:rsidR="005C5B01" w:rsidRPr="0001629D">
        <w:rPr>
          <w:i/>
          <w:iCs/>
        </w:rPr>
        <w:t> </w:t>
      </w:r>
      <w:r w:rsidRPr="0001629D">
        <w:rPr>
          <w:i/>
          <w:iCs/>
        </w:rPr>
        <w:t xml:space="preserve">9113-0831 Québec </w:t>
      </w:r>
      <w:proofErr w:type="spellStart"/>
      <w:r w:rsidRPr="0001629D">
        <w:rPr>
          <w:i/>
          <w:iCs/>
        </w:rPr>
        <w:t>inc.</w:t>
      </w:r>
      <w:proofErr w:type="spellEnd"/>
      <w:r w:rsidRPr="0001629D">
        <w:rPr>
          <w:i/>
          <w:iCs/>
        </w:rPr>
        <w:t xml:space="preserve"> (Bronzage Évasion au soleil du monde)</w:t>
      </w:r>
      <w:r w:rsidRPr="00561F65">
        <w:t xml:space="preserve">, </w:t>
      </w:r>
      <w:proofErr w:type="spellStart"/>
      <w:r w:rsidR="00481793" w:rsidRPr="00561F65">
        <w:t>préc</w:t>
      </w:r>
      <w:proofErr w:type="spellEnd"/>
      <w:r w:rsidR="00481793" w:rsidRPr="00561F65">
        <w:t xml:space="preserve">., note </w:t>
      </w:r>
      <w:r w:rsidR="00481793" w:rsidRPr="00561F65">
        <w:fldChar w:fldCharType="begin"/>
      </w:r>
      <w:r w:rsidR="00481793" w:rsidRPr="00561F65">
        <w:instrText xml:space="preserve"> NOTEREF _Ref219806911 \h </w:instrText>
      </w:r>
      <w:r w:rsidR="004E4354">
        <w:instrText xml:space="preserve"> \* MERGEFORMAT </w:instrText>
      </w:r>
      <w:r w:rsidR="00481793" w:rsidRPr="00561F65">
        <w:fldChar w:fldCharType="separate"/>
      </w:r>
      <w:r w:rsidR="000374E3" w:rsidRPr="00561F65">
        <w:t>141</w:t>
      </w:r>
      <w:r w:rsidR="00481793" w:rsidRPr="00561F65">
        <w:fldChar w:fldCharType="end"/>
      </w:r>
      <w:r w:rsidR="00481793" w:rsidRPr="00561F65">
        <w:t>.</w:t>
      </w:r>
    </w:p>
  </w:footnote>
  <w:footnote w:id="195">
    <w:p w14:paraId="1E4A34D5" w14:textId="0F26597A" w:rsidR="006239EC" w:rsidRPr="00561F65" w:rsidRDefault="006239EC" w:rsidP="004E4354">
      <w:pPr>
        <w:pStyle w:val="NotesBasPage"/>
      </w:pPr>
      <w:r w:rsidRPr="00561F65">
        <w:rPr>
          <w:rStyle w:val="Appelnotedebasdep"/>
        </w:rPr>
        <w:footnoteRef/>
      </w:r>
      <w:r w:rsidRPr="00561F65">
        <w:t xml:space="preserve"> </w:t>
      </w:r>
      <w:r w:rsidRPr="00561F65">
        <w:tab/>
        <w:t xml:space="preserve">Voir par exemple </w:t>
      </w:r>
      <w:r w:rsidRPr="00561F65">
        <w:rPr>
          <w:i/>
        </w:rPr>
        <w:t>Commission des droits de la personne et des droits de la jeunesse (Mme</w:t>
      </w:r>
      <w:r w:rsidR="00421E33" w:rsidRPr="00561F65">
        <w:rPr>
          <w:i/>
        </w:rPr>
        <w:t> </w:t>
      </w:r>
      <w:r w:rsidRPr="00561F65">
        <w:rPr>
          <w:i/>
        </w:rPr>
        <w:t>B)</w:t>
      </w:r>
      <w:r w:rsidRPr="00561F65">
        <w:t xml:space="preserve"> c. </w:t>
      </w:r>
      <w:r w:rsidRPr="004C5E0D">
        <w:rPr>
          <w:i/>
          <w:iCs/>
        </w:rPr>
        <w:t>140998 Canada</w:t>
      </w:r>
      <w:r w:rsidRPr="00561F65">
        <w:t xml:space="preserve"> </w:t>
      </w:r>
      <w:proofErr w:type="spellStart"/>
      <w:r w:rsidRPr="00561F65">
        <w:t>inc.</w:t>
      </w:r>
      <w:proofErr w:type="spellEnd"/>
      <w:r w:rsidRPr="00561F65">
        <w:t xml:space="preserve">, </w:t>
      </w:r>
      <w:proofErr w:type="spellStart"/>
      <w:r w:rsidR="00A600B9" w:rsidRPr="00561F65">
        <w:t>préc</w:t>
      </w:r>
      <w:proofErr w:type="spellEnd"/>
      <w:r w:rsidR="00A600B9" w:rsidRPr="00561F65">
        <w:t xml:space="preserve">., note </w:t>
      </w:r>
      <w:r w:rsidR="00A600B9" w:rsidRPr="00561F65">
        <w:fldChar w:fldCharType="begin"/>
      </w:r>
      <w:r w:rsidR="00A600B9" w:rsidRPr="00561F65">
        <w:instrText xml:space="preserve"> NOTEREF _Ref219299826 \h </w:instrText>
      </w:r>
      <w:r w:rsidR="007017CF" w:rsidRPr="00561F65">
        <w:instrText xml:space="preserve"> \* MERGEFORMAT </w:instrText>
      </w:r>
      <w:r w:rsidR="00A600B9" w:rsidRPr="00561F65">
        <w:fldChar w:fldCharType="separate"/>
      </w:r>
      <w:r w:rsidR="000374E3" w:rsidRPr="00561F65">
        <w:t>176</w:t>
      </w:r>
      <w:r w:rsidR="00A600B9" w:rsidRPr="00561F65">
        <w:fldChar w:fldCharType="end"/>
      </w:r>
      <w:r w:rsidRPr="00561F65">
        <w:t>, par. 78.</w:t>
      </w:r>
    </w:p>
  </w:footnote>
  <w:footnote w:id="196">
    <w:p w14:paraId="658B7724" w14:textId="004B144B" w:rsidR="00294D75" w:rsidRPr="00561F65" w:rsidRDefault="00294D75" w:rsidP="004E4354">
      <w:pPr>
        <w:pStyle w:val="NotesBasPage"/>
      </w:pPr>
      <w:r w:rsidRPr="00561F65">
        <w:rPr>
          <w:rStyle w:val="Appelnotedebasdep"/>
        </w:rPr>
        <w:footnoteRef/>
      </w:r>
      <w:r w:rsidRPr="00561F65">
        <w:t xml:space="preserve"> </w:t>
      </w:r>
      <w:r w:rsidRPr="00561F65">
        <w:tab/>
      </w:r>
      <w:r w:rsidR="00665864">
        <w:t>C.c.Q.</w:t>
      </w:r>
      <w:r w:rsidR="00AD496E">
        <w:t xml:space="preserve">, </w:t>
      </w:r>
      <w:r w:rsidR="00AD496E" w:rsidRPr="00561F65">
        <w:t>art.</w:t>
      </w:r>
      <w:r w:rsidR="005C5B01" w:rsidRPr="00561F65">
        <w:t> </w:t>
      </w:r>
      <w:r w:rsidRPr="00561F65">
        <w:t>2087</w:t>
      </w:r>
      <w:r w:rsidR="00BD6329" w:rsidRPr="00561F65">
        <w:rPr>
          <w:rFonts w:ascii="Arial" w:hAnsi="Arial" w:cs="Arial"/>
        </w:rPr>
        <w:t> </w:t>
      </w:r>
      <w:r w:rsidRPr="00561F65">
        <w:t xml:space="preserve">; </w:t>
      </w:r>
      <w:r w:rsidRPr="00B046CB">
        <w:rPr>
          <w:i/>
          <w:iCs/>
        </w:rPr>
        <w:t>Loi sur la santé et la sécurité au travail</w:t>
      </w:r>
      <w:r w:rsidRPr="00561F65">
        <w:t>, RLRQ, c. S</w:t>
      </w:r>
      <w:r w:rsidR="005C5B01" w:rsidRPr="00561F65">
        <w:t> </w:t>
      </w:r>
      <w:r w:rsidRPr="00561F65">
        <w:t>-2.1, art.</w:t>
      </w:r>
      <w:r w:rsidR="005C5B01" w:rsidRPr="00561F65">
        <w:t> </w:t>
      </w:r>
      <w:r w:rsidRPr="00561F65">
        <w:t xml:space="preserve">51 (1) (16). Voir notamment </w:t>
      </w:r>
      <w:r w:rsidRPr="00347419">
        <w:rPr>
          <w:i/>
          <w:iCs/>
        </w:rPr>
        <w:t>Commission des droits de la personne et des droits de la jeunesse (Mme</w:t>
      </w:r>
      <w:r w:rsidR="00421E33" w:rsidRPr="00347419">
        <w:rPr>
          <w:i/>
          <w:iCs/>
        </w:rPr>
        <w:t> </w:t>
      </w:r>
      <w:r w:rsidRPr="00347419">
        <w:rPr>
          <w:i/>
          <w:iCs/>
        </w:rPr>
        <w:t>B)</w:t>
      </w:r>
      <w:r w:rsidRPr="00561F65">
        <w:t xml:space="preserve"> c.</w:t>
      </w:r>
      <w:r w:rsidR="005C5B01" w:rsidRPr="00561F65">
        <w:t> </w:t>
      </w:r>
      <w:r w:rsidRPr="00347419">
        <w:rPr>
          <w:i/>
          <w:iCs/>
        </w:rPr>
        <w:t xml:space="preserve">140998 Canada </w:t>
      </w:r>
      <w:proofErr w:type="spellStart"/>
      <w:r w:rsidRPr="00347419">
        <w:rPr>
          <w:i/>
          <w:iCs/>
        </w:rPr>
        <w:t>inc</w:t>
      </w:r>
      <w:r w:rsidRPr="00561F65">
        <w:t>.</w:t>
      </w:r>
      <w:proofErr w:type="spellEnd"/>
      <w:r w:rsidRPr="00561F65">
        <w:t xml:space="preserve">, </w:t>
      </w:r>
      <w:proofErr w:type="spellStart"/>
      <w:r w:rsidR="00A600B9" w:rsidRPr="00561F65">
        <w:t>préc</w:t>
      </w:r>
      <w:proofErr w:type="spellEnd"/>
      <w:r w:rsidR="00A600B9" w:rsidRPr="00561F65">
        <w:t xml:space="preserve">., note </w:t>
      </w:r>
      <w:r w:rsidR="006E4F77" w:rsidRPr="00561F65">
        <w:fldChar w:fldCharType="begin"/>
      </w:r>
      <w:r w:rsidR="006E4F77" w:rsidRPr="00561F65">
        <w:instrText xml:space="preserve"> NOTEREF _Ref219299826 \h </w:instrText>
      </w:r>
      <w:r w:rsidR="007017CF" w:rsidRPr="00561F65">
        <w:instrText xml:space="preserve"> \* MERGEFORMAT </w:instrText>
      </w:r>
      <w:r w:rsidR="006E4F77" w:rsidRPr="00561F65">
        <w:fldChar w:fldCharType="separate"/>
      </w:r>
      <w:r w:rsidR="000374E3" w:rsidRPr="00561F65">
        <w:t>176</w:t>
      </w:r>
      <w:r w:rsidR="006E4F77" w:rsidRPr="00561F65">
        <w:fldChar w:fldCharType="end"/>
      </w:r>
      <w:r w:rsidR="005C293F" w:rsidRPr="00561F65">
        <w:rPr>
          <w:rFonts w:ascii="Arial" w:hAnsi="Arial" w:cs="Arial"/>
        </w:rPr>
        <w:t> </w:t>
      </w:r>
      <w:r w:rsidRPr="00561F65">
        <w:t xml:space="preserve">; </w:t>
      </w:r>
      <w:r w:rsidRPr="00744CE8">
        <w:rPr>
          <w:i/>
          <w:iCs/>
        </w:rPr>
        <w:t>Commission des droits de la personne et des droits de la jeunesse (E.B.)</w:t>
      </w:r>
      <w:r w:rsidRPr="00561F65">
        <w:t xml:space="preserve"> c.</w:t>
      </w:r>
      <w:r w:rsidR="005C5B01" w:rsidRPr="00561F65">
        <w:t> </w:t>
      </w:r>
      <w:r w:rsidRPr="00744CE8">
        <w:rPr>
          <w:i/>
          <w:iCs/>
        </w:rPr>
        <w:t xml:space="preserve">9302-6573 Québec </w:t>
      </w:r>
      <w:proofErr w:type="spellStart"/>
      <w:r w:rsidRPr="00744CE8">
        <w:rPr>
          <w:i/>
          <w:iCs/>
        </w:rPr>
        <w:t>inc.</w:t>
      </w:r>
      <w:proofErr w:type="spellEnd"/>
      <w:r w:rsidRPr="00744CE8">
        <w:rPr>
          <w:i/>
          <w:iCs/>
        </w:rPr>
        <w:t xml:space="preserve"> (Bar Lucky</w:t>
      </w:r>
      <w:r w:rsidR="005C5B01" w:rsidRPr="00744CE8">
        <w:rPr>
          <w:i/>
          <w:iCs/>
        </w:rPr>
        <w:t> </w:t>
      </w:r>
      <w:r w:rsidRPr="00744CE8">
        <w:rPr>
          <w:i/>
          <w:iCs/>
        </w:rPr>
        <w:t>7)</w:t>
      </w:r>
      <w:r w:rsidRPr="00561F65">
        <w:t xml:space="preserve">, </w:t>
      </w:r>
      <w:proofErr w:type="spellStart"/>
      <w:r w:rsidR="00D84F65" w:rsidRPr="00561F65">
        <w:t>préc</w:t>
      </w:r>
      <w:proofErr w:type="spellEnd"/>
      <w:r w:rsidR="00D84F65" w:rsidRPr="00561F65">
        <w:t xml:space="preserve">., note </w:t>
      </w:r>
      <w:r w:rsidR="00D84F65" w:rsidRPr="00561F65">
        <w:fldChar w:fldCharType="begin"/>
      </w:r>
      <w:r w:rsidR="00D84F65" w:rsidRPr="00561F65">
        <w:instrText xml:space="preserve"> NOTEREF _Ref219291741 \h </w:instrText>
      </w:r>
      <w:r w:rsidR="007017CF" w:rsidRPr="00561F65">
        <w:instrText xml:space="preserve"> \* MERGEFORMAT </w:instrText>
      </w:r>
      <w:r w:rsidR="00D84F65" w:rsidRPr="00561F65">
        <w:fldChar w:fldCharType="separate"/>
      </w:r>
      <w:r w:rsidR="000374E3" w:rsidRPr="00561F65">
        <w:t>142</w:t>
      </w:r>
      <w:r w:rsidR="00D84F65" w:rsidRPr="00561F65">
        <w:fldChar w:fldCharType="end"/>
      </w:r>
      <w:r w:rsidR="00D84F65" w:rsidRPr="00561F65">
        <w:t xml:space="preserve">, </w:t>
      </w:r>
      <w:r w:rsidRPr="00561F65">
        <w:t>par. 92-94.</w:t>
      </w:r>
    </w:p>
  </w:footnote>
  <w:footnote w:id="197">
    <w:p w14:paraId="1B1251E1" w14:textId="757EABC4" w:rsidR="00EC684B" w:rsidRPr="00561F65" w:rsidRDefault="00EC684B" w:rsidP="004E4354">
      <w:pPr>
        <w:pStyle w:val="NotesBasPage"/>
      </w:pPr>
      <w:r w:rsidRPr="00561F65">
        <w:rPr>
          <w:rStyle w:val="Appelnotedebasdep"/>
        </w:rPr>
        <w:footnoteRef/>
      </w:r>
      <w:r w:rsidRPr="00561F65">
        <w:t xml:space="preserve"> </w:t>
      </w:r>
      <w:r w:rsidRPr="00561F65">
        <w:tab/>
        <w:t xml:space="preserve">Pierre </w:t>
      </w:r>
      <w:r w:rsidRPr="00561F65">
        <w:rPr>
          <w:smallCaps/>
        </w:rPr>
        <w:t>B</w:t>
      </w:r>
      <w:r w:rsidR="00037E2C" w:rsidRPr="00561F65">
        <w:rPr>
          <w:smallCaps/>
        </w:rPr>
        <w:t>osset</w:t>
      </w:r>
      <w:r w:rsidRPr="00561F65">
        <w:t>, «</w:t>
      </w:r>
      <w:r w:rsidR="00AB4C13" w:rsidRPr="00561F65">
        <w:rPr>
          <w:rFonts w:ascii="Arial" w:hAnsi="Arial" w:cs="Arial"/>
        </w:rPr>
        <w:t> </w:t>
      </w:r>
      <w:r w:rsidRPr="00561F65">
        <w:t>Les fondements juridiques et l’évolution de l’obligation d’accommodement</w:t>
      </w:r>
      <w:r w:rsidR="00AB4C13" w:rsidRPr="00561F65">
        <w:rPr>
          <w:rFonts w:ascii="Arial" w:hAnsi="Arial" w:cs="Arial"/>
        </w:rPr>
        <w:t> </w:t>
      </w:r>
      <w:r w:rsidRPr="00561F65">
        <w:t xml:space="preserve">», dans Myriam </w:t>
      </w:r>
      <w:r w:rsidRPr="00561F65">
        <w:rPr>
          <w:smallCaps/>
        </w:rPr>
        <w:t>J</w:t>
      </w:r>
      <w:r w:rsidR="007A616C" w:rsidRPr="00561F65">
        <w:rPr>
          <w:smallCaps/>
        </w:rPr>
        <w:t>ézéque</w:t>
      </w:r>
      <w:r w:rsidRPr="00561F65">
        <w:rPr>
          <w:smallCaps/>
        </w:rPr>
        <w:t>L</w:t>
      </w:r>
      <w:r w:rsidRPr="00561F65">
        <w:t xml:space="preserve"> (</w:t>
      </w:r>
      <w:proofErr w:type="spellStart"/>
      <w:r w:rsidRPr="00561F65">
        <w:t>dir</w:t>
      </w:r>
      <w:proofErr w:type="spellEnd"/>
      <w:r w:rsidRPr="00561F65">
        <w:t xml:space="preserve">.), </w:t>
      </w:r>
      <w:r w:rsidRPr="00561F65">
        <w:rPr>
          <w:i/>
        </w:rPr>
        <w:t>Les accommodements raisonnables</w:t>
      </w:r>
      <w:r w:rsidR="00F01F5E" w:rsidRPr="00561F65">
        <w:rPr>
          <w:i/>
        </w:rPr>
        <w:t> </w:t>
      </w:r>
      <w:r w:rsidRPr="00561F65">
        <w:rPr>
          <w:i/>
        </w:rPr>
        <w:t>: quoi</w:t>
      </w:r>
      <w:r w:rsidR="00577C83" w:rsidRPr="00561F65">
        <w:rPr>
          <w:rFonts w:ascii="Arial" w:hAnsi="Arial" w:cs="Arial"/>
          <w:i/>
        </w:rPr>
        <w:t> </w:t>
      </w:r>
      <w:r w:rsidRPr="00561F65">
        <w:rPr>
          <w:i/>
        </w:rPr>
        <w:t>? comment</w:t>
      </w:r>
      <w:r w:rsidR="00577C83" w:rsidRPr="00561F65">
        <w:rPr>
          <w:rFonts w:ascii="Arial" w:hAnsi="Arial" w:cs="Arial"/>
          <w:i/>
        </w:rPr>
        <w:t> </w:t>
      </w:r>
      <w:r w:rsidRPr="00561F65">
        <w:rPr>
          <w:i/>
        </w:rPr>
        <w:t>? jusqu'où</w:t>
      </w:r>
      <w:r w:rsidR="00577C83" w:rsidRPr="00561F65">
        <w:rPr>
          <w:rFonts w:ascii="Arial" w:hAnsi="Arial" w:cs="Arial"/>
          <w:i/>
        </w:rPr>
        <w:t> </w:t>
      </w:r>
      <w:r w:rsidRPr="00561F65">
        <w:rPr>
          <w:i/>
        </w:rPr>
        <w:t>? Des outils pour tous</w:t>
      </w:r>
      <w:r w:rsidRPr="00561F65">
        <w:t>, Cowansville, Éditions Yvon Blais, 2007, 3, p.</w:t>
      </w:r>
      <w:r w:rsidR="005C5B01" w:rsidRPr="00561F65">
        <w:t> </w:t>
      </w:r>
      <w:r w:rsidRPr="00561F65">
        <w:t xml:space="preserve">10, [En ligne]. </w:t>
      </w:r>
      <w:hyperlink r:id="rId97" w:history="1">
        <w:r w:rsidRPr="00B5626D">
          <w:rPr>
            <w:rStyle w:val="Lienhypertexte"/>
          </w:rPr>
          <w:t>https://www.cdpdj.qc.ca/storage/app/media/publications/accommodements_fondements_juridiques.pdf</w:t>
        </w:r>
      </w:hyperlink>
      <w:r w:rsidRPr="00561F65">
        <w:t xml:space="preserve"> </w:t>
      </w:r>
    </w:p>
  </w:footnote>
  <w:footnote w:id="198">
    <w:p w14:paraId="41CFD32C" w14:textId="14E4E7D9" w:rsidR="00D35C73" w:rsidRPr="00561F65" w:rsidRDefault="00D35C73" w:rsidP="004E4354">
      <w:pPr>
        <w:pStyle w:val="NotesBasPage"/>
      </w:pPr>
      <w:r w:rsidRPr="00561F65">
        <w:rPr>
          <w:rStyle w:val="Appelnotedebasdep"/>
        </w:rPr>
        <w:footnoteRef/>
      </w:r>
      <w:r w:rsidRPr="00561F65">
        <w:t xml:space="preserve"> </w:t>
      </w:r>
      <w:r w:rsidR="003A74A6" w:rsidRPr="00561F65">
        <w:tab/>
      </w:r>
      <w:r w:rsidRPr="00561F65">
        <w:rPr>
          <w:i/>
        </w:rPr>
        <w:t>Colombie-Britannique</w:t>
      </w:r>
      <w:r w:rsidRPr="00561F65">
        <w:t xml:space="preserve"> c. </w:t>
      </w:r>
      <w:r w:rsidRPr="00561F65">
        <w:rPr>
          <w:i/>
        </w:rPr>
        <w:t>B.C.G.S.E.U</w:t>
      </w:r>
      <w:r w:rsidRPr="00561F65">
        <w:t>., [1999] 3</w:t>
      </w:r>
      <w:r w:rsidR="005516C0" w:rsidRPr="00561F65">
        <w:t> </w:t>
      </w:r>
      <w:r w:rsidRPr="00561F65">
        <w:t>R.C.S.</w:t>
      </w:r>
      <w:r w:rsidR="005C5B01" w:rsidRPr="00561F65">
        <w:t> </w:t>
      </w:r>
      <w:r w:rsidRPr="00561F65">
        <w:t>3, par. 68.</w:t>
      </w:r>
    </w:p>
  </w:footnote>
  <w:footnote w:id="199">
    <w:p w14:paraId="5CE5208A" w14:textId="6B0AE80F" w:rsidR="00D35C73" w:rsidRPr="00561F65" w:rsidRDefault="00D35C73" w:rsidP="004E4354">
      <w:pPr>
        <w:pStyle w:val="NotesBasPage"/>
      </w:pPr>
      <w:r w:rsidRPr="00561F65">
        <w:rPr>
          <w:rStyle w:val="Appelnotedebasdep"/>
        </w:rPr>
        <w:footnoteRef/>
      </w:r>
      <w:r w:rsidRPr="00561F65">
        <w:t xml:space="preserve"> </w:t>
      </w:r>
      <w:r w:rsidR="003A74A6" w:rsidRPr="00561F65">
        <w:tab/>
      </w:r>
      <w:r w:rsidR="00FB59A6" w:rsidRPr="00561F65">
        <w:rPr>
          <w:rStyle w:val="NotesBasPageCar"/>
        </w:rPr>
        <w:t xml:space="preserve">Daniel </w:t>
      </w:r>
      <w:r w:rsidR="00FB59A6" w:rsidRPr="00561F65">
        <w:rPr>
          <w:rStyle w:val="NotesBasPageCar"/>
          <w:smallCaps/>
        </w:rPr>
        <w:t>Proulx</w:t>
      </w:r>
      <w:r w:rsidR="00FB59A6" w:rsidRPr="00561F65">
        <w:rPr>
          <w:rStyle w:val="NotesBasPageCar"/>
        </w:rPr>
        <w:t xml:space="preserve"> et Frédérick J. </w:t>
      </w:r>
      <w:r w:rsidR="00FB59A6" w:rsidRPr="00561F65">
        <w:rPr>
          <w:rStyle w:val="NotesBasPageCar"/>
          <w:smallCaps/>
        </w:rPr>
        <w:t>Doucet</w:t>
      </w:r>
      <w:r w:rsidR="00FB59A6" w:rsidRPr="00561F65">
        <w:rPr>
          <w:rStyle w:val="NotesBasPageCar"/>
        </w:rPr>
        <w:t xml:space="preserve">, </w:t>
      </w:r>
      <w:r w:rsidR="0060587B" w:rsidRPr="0060587B">
        <w:t xml:space="preserve">« Le droit à l’égalité », dans </w:t>
      </w:r>
      <w:proofErr w:type="spellStart"/>
      <w:r w:rsidR="0060587B" w:rsidRPr="0060587B">
        <w:t>JurisClasseur</w:t>
      </w:r>
      <w:proofErr w:type="spellEnd"/>
      <w:r w:rsidR="0060587B" w:rsidRPr="0060587B">
        <w:t xml:space="preserve"> Québec, coll. « Droit constitutionnel »,</w:t>
      </w:r>
      <w:r w:rsidR="006D2A30">
        <w:t xml:space="preserve"> </w:t>
      </w:r>
      <w:r w:rsidR="0060587B" w:rsidRPr="0060587B">
        <w:t xml:space="preserve">Montréal, LexisNexis Canada, </w:t>
      </w:r>
      <w:r w:rsidR="00FB59A6" w:rsidRPr="00561F65">
        <w:rPr>
          <w:rStyle w:val="NotesBasPageCar"/>
        </w:rPr>
        <w:t>2023,</w:t>
      </w:r>
      <w:r w:rsidRPr="00561F65">
        <w:t xml:space="preserve"> par. 4, 89, 114.</w:t>
      </w:r>
    </w:p>
  </w:footnote>
  <w:footnote w:id="200">
    <w:p w14:paraId="5D1E3B01" w14:textId="17B241AB" w:rsidR="00D35C73" w:rsidRPr="00561F65" w:rsidRDefault="00D35C73"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xml:space="preserve">, </w:t>
      </w:r>
      <w:r w:rsidRPr="00561F65">
        <w:rPr>
          <w:i/>
        </w:rPr>
        <w:t>Guide d’accompagnement, Traitement d’une demande d’accommodement</w:t>
      </w:r>
      <w:r w:rsidRPr="00561F65">
        <w:t>, 2012 (2018), 32 p., [En ligne].</w:t>
      </w:r>
      <w:r w:rsidR="001823FA" w:rsidRPr="001823FA">
        <w:t xml:space="preserve"> </w:t>
      </w:r>
      <w:hyperlink r:id="rId98" w:history="1">
        <w:r w:rsidR="001823FA" w:rsidRPr="007912CF">
          <w:rPr>
            <w:rStyle w:val="Lienhypertexte"/>
          </w:rPr>
          <w:t>https://cdpdj.qc.ca/storage/app/media/blocs-informations/pour-en-savoir-plus-accommodement-raisonnable/Guide_virtuel_accommodement.pdf</w:t>
        </w:r>
      </w:hyperlink>
      <w:r w:rsidRPr="00561F65">
        <w:t xml:space="preserve"> </w:t>
      </w:r>
    </w:p>
  </w:footnote>
  <w:footnote w:id="201">
    <w:p w14:paraId="2982A32F" w14:textId="74C85BEA" w:rsidR="001D3ABE" w:rsidRPr="00561F65" w:rsidRDefault="00D35C73"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xml:space="preserve">, </w:t>
      </w:r>
      <w:r w:rsidRPr="00561F65">
        <w:rPr>
          <w:i/>
        </w:rPr>
        <w:t>Autoformation. L’accommodement raisonnable</w:t>
      </w:r>
      <w:r w:rsidR="00F01F5E" w:rsidRPr="00561F65">
        <w:rPr>
          <w:i/>
        </w:rPr>
        <w:t> </w:t>
      </w:r>
      <w:r w:rsidRPr="00561F65">
        <w:rPr>
          <w:i/>
        </w:rPr>
        <w:t>: un moyen d’assurer l’égalité</w:t>
      </w:r>
      <w:r w:rsidRPr="00561F65">
        <w:t xml:space="preserve">, 2024, [En ligne]. </w:t>
      </w:r>
      <w:hyperlink r:id="rId99" w:history="1">
        <w:r w:rsidR="001D3ABE" w:rsidRPr="007912CF">
          <w:rPr>
            <w:rStyle w:val="Lienhypertexte"/>
          </w:rPr>
          <w:t>https://cdpdj.qc.ca/fr/publications/autoformation-accommodement-raisonnable</w:t>
        </w:r>
      </w:hyperlink>
    </w:p>
  </w:footnote>
  <w:footnote w:id="202">
    <w:p w14:paraId="1A47C7D4" w14:textId="421BB129" w:rsidR="0011763A" w:rsidRPr="00561F65" w:rsidRDefault="0011763A" w:rsidP="004E4354">
      <w:pPr>
        <w:pStyle w:val="NotesBasPage"/>
      </w:pPr>
      <w:r w:rsidRPr="00561F65">
        <w:rPr>
          <w:rStyle w:val="Appelnotedebasdep"/>
        </w:rPr>
        <w:footnoteRef/>
      </w:r>
      <w:r w:rsidRPr="00561F65">
        <w:t xml:space="preserve"> </w:t>
      </w:r>
      <w:r w:rsidRPr="00561F65">
        <w:tab/>
      </w:r>
      <w:r w:rsidRPr="00561F65">
        <w:rPr>
          <w:smallCaps/>
        </w:rPr>
        <w:t>Institut de la statistique du Québec</w:t>
      </w:r>
      <w:r w:rsidRPr="00972580">
        <w:rPr>
          <w:i/>
          <w:iCs/>
        </w:rPr>
        <w:t>, Personnes de minorités sexuelles et de genre</w:t>
      </w:r>
      <w:r w:rsidRPr="00561F65">
        <w:t xml:space="preserve">, 2024, [En ligne]. </w:t>
      </w:r>
      <w:hyperlink r:id="rId100" w:history="1">
        <w:r w:rsidRPr="00443F5E">
          <w:rPr>
            <w:rStyle w:val="Lienhypertexte"/>
          </w:rPr>
          <w:t>https://statistique.quebec.ca/vitrine/egalite/dimensions-egalite/demographie/personnes-minorites-sexuelles-et-genre</w:t>
        </w:r>
      </w:hyperlink>
      <w:r w:rsidR="002D3961" w:rsidRPr="00561F65">
        <w:t xml:space="preserve"> (page consultée le 19</w:t>
      </w:r>
      <w:r w:rsidR="00750B1D">
        <w:t> </w:t>
      </w:r>
      <w:r w:rsidR="002D3961" w:rsidRPr="00561F65">
        <w:t>janvier 2026).</w:t>
      </w:r>
    </w:p>
  </w:footnote>
  <w:footnote w:id="203">
    <w:p w14:paraId="0DE59CEB" w14:textId="13418492" w:rsidR="00250167" w:rsidRPr="00561F65" w:rsidRDefault="00250167" w:rsidP="004E4354">
      <w:pPr>
        <w:pStyle w:val="NotesBasPage"/>
      </w:pPr>
      <w:r w:rsidRPr="00561F65">
        <w:rPr>
          <w:rStyle w:val="Appelnotedebasdep"/>
        </w:rPr>
        <w:footnoteRef/>
      </w:r>
      <w:r w:rsidRPr="00561F65">
        <w:t xml:space="preserve"> </w:t>
      </w:r>
      <w:r w:rsidR="0041700E" w:rsidRPr="00561F65">
        <w:tab/>
      </w:r>
      <w:r w:rsidRPr="00561F65">
        <w:t>Sur un potentiel de 339</w:t>
      </w:r>
      <w:r w:rsidR="005516C0" w:rsidRPr="00561F65">
        <w:t> </w:t>
      </w:r>
      <w:r w:rsidRPr="00561F65">
        <w:t>plaintes pour discrimination en emploi fondée sur l’orientation sexuelle et l’identité ou l’expression de genre qui ont été fermées sur décision de la Commission, 108</w:t>
      </w:r>
      <w:r w:rsidR="005516C0" w:rsidRPr="00561F65">
        <w:t> </w:t>
      </w:r>
      <w:r w:rsidRPr="00561F65">
        <w:t>dossiers n’ont pu être retracés et 30 ont été exclus.</w:t>
      </w:r>
    </w:p>
  </w:footnote>
  <w:footnote w:id="204">
    <w:p w14:paraId="40E8942B" w14:textId="7689C734" w:rsidR="00906188" w:rsidRPr="00561F65" w:rsidRDefault="00906188" w:rsidP="004E4354">
      <w:pPr>
        <w:pStyle w:val="NotesBasPage"/>
      </w:pPr>
      <w:r w:rsidRPr="00561F65">
        <w:rPr>
          <w:rStyle w:val="Appelnotedebasdep"/>
        </w:rPr>
        <w:footnoteRef/>
      </w:r>
      <w:r w:rsidRPr="00561F65">
        <w:t xml:space="preserve"> </w:t>
      </w:r>
      <w:r w:rsidR="00B0206B" w:rsidRPr="00561F65">
        <w:tab/>
      </w:r>
      <w:r w:rsidRPr="000B0FEF">
        <w:rPr>
          <w:smallCaps/>
        </w:rPr>
        <w:t>Commission des droits de la personne et des droits de la jeunesse</w:t>
      </w:r>
      <w:r w:rsidRPr="00561F65">
        <w:t xml:space="preserve">, </w:t>
      </w:r>
      <w:proofErr w:type="spellStart"/>
      <w:r w:rsidR="009E13AD" w:rsidRPr="00561F65">
        <w:t>préc</w:t>
      </w:r>
      <w:proofErr w:type="spellEnd"/>
      <w:r w:rsidR="009E13AD" w:rsidRPr="00561F65">
        <w:t xml:space="preserve">., note </w:t>
      </w:r>
      <w:r w:rsidR="009E13AD" w:rsidRPr="00561F65">
        <w:fldChar w:fldCharType="begin"/>
      </w:r>
      <w:r w:rsidR="009E13AD" w:rsidRPr="00561F65">
        <w:instrText xml:space="preserve"> NOTEREF _Ref216861339 \h </w:instrText>
      </w:r>
      <w:r w:rsidR="007017CF" w:rsidRPr="00561F65">
        <w:instrText xml:space="preserve"> \* MERGEFORMAT </w:instrText>
      </w:r>
      <w:r w:rsidR="009E13AD" w:rsidRPr="00561F65">
        <w:fldChar w:fldCharType="separate"/>
      </w:r>
      <w:r w:rsidR="000374E3" w:rsidRPr="00561F65">
        <w:t>5</w:t>
      </w:r>
      <w:r w:rsidR="009E13AD" w:rsidRPr="00561F65">
        <w:fldChar w:fldCharType="end"/>
      </w:r>
      <w:r w:rsidR="000A6202" w:rsidRPr="00561F65">
        <w:t>.</w:t>
      </w:r>
    </w:p>
  </w:footnote>
  <w:footnote w:id="205">
    <w:p w14:paraId="35891EAC" w14:textId="700C0004" w:rsidR="00906188" w:rsidRPr="00561F65" w:rsidRDefault="00906188" w:rsidP="004E4354">
      <w:pPr>
        <w:pStyle w:val="NotesBasPage"/>
      </w:pPr>
      <w:r w:rsidRPr="00561F65">
        <w:rPr>
          <w:rStyle w:val="Appelnotedebasdep"/>
        </w:rPr>
        <w:footnoteRef/>
      </w:r>
      <w:r w:rsidRPr="00561F65">
        <w:t xml:space="preserve"> </w:t>
      </w:r>
      <w:r w:rsidR="00435F8A" w:rsidRPr="00561F65">
        <w:tab/>
      </w:r>
      <w:r w:rsidRPr="00561F65">
        <w:t>Voir section</w:t>
      </w:r>
      <w:r w:rsidR="005C5B01" w:rsidRPr="00561F65">
        <w:t> </w:t>
      </w:r>
      <w:r w:rsidRPr="00561F65">
        <w:t>2.4 du présent rapport.</w:t>
      </w:r>
    </w:p>
  </w:footnote>
  <w:footnote w:id="206">
    <w:p w14:paraId="772E42AF" w14:textId="36AA5B6D" w:rsidR="008C6CE2" w:rsidRPr="00561F65" w:rsidRDefault="008C6CE2"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xml:space="preserve">, </w:t>
      </w:r>
      <w:r w:rsidRPr="00561F65">
        <w:rPr>
          <w:i/>
        </w:rPr>
        <w:t>Rapport annuel</w:t>
      </w:r>
      <w:r w:rsidRPr="00561F65">
        <w:t>, 1999, p. 34, [En ligne].</w:t>
      </w:r>
      <w:r w:rsidR="00935E41" w:rsidRPr="00935E41">
        <w:t xml:space="preserve"> </w:t>
      </w:r>
      <w:hyperlink r:id="rId101" w:history="1">
        <w:r w:rsidR="00935E41" w:rsidRPr="007912CF">
          <w:rPr>
            <w:rStyle w:val="Lienhypertexte"/>
          </w:rPr>
          <w:t>https://www.cdpdj.qc.ca/storage/app/media/publications/ra99.pdf</w:t>
        </w:r>
      </w:hyperlink>
      <w:r w:rsidRPr="00561F65">
        <w:t xml:space="preserve"> </w:t>
      </w:r>
      <w:hyperlink r:id="rId102" w:history="1"/>
      <w:r w:rsidR="00BD6329" w:rsidRPr="00561F65">
        <w:rPr>
          <w:rFonts w:ascii="Arial" w:hAnsi="Arial" w:cs="Arial"/>
        </w:rPr>
        <w:t> </w:t>
      </w:r>
      <w:r w:rsidRPr="00561F65">
        <w:t xml:space="preserve">; </w:t>
      </w:r>
      <w:r w:rsidRPr="00561F65">
        <w:rPr>
          <w:smallCaps/>
        </w:rPr>
        <w:t>Commission des droits de la personne et des droits de la jeunesse</w:t>
      </w:r>
      <w:r w:rsidRPr="00561F65">
        <w:t xml:space="preserve">, </w:t>
      </w:r>
      <w:r w:rsidRPr="00561F65">
        <w:rPr>
          <w:i/>
        </w:rPr>
        <w:t>Rapport annuel</w:t>
      </w:r>
      <w:r w:rsidRPr="00561F65">
        <w:t xml:space="preserve">, 2000, p. 31, [En ligne]. </w:t>
      </w:r>
      <w:hyperlink r:id="rId103" w:history="1">
        <w:r w:rsidRPr="00A60ED3">
          <w:rPr>
            <w:rStyle w:val="Lienhypertexte"/>
          </w:rPr>
          <w:t>https://www.cdpdj.qc.ca/storage/app/media/publications/ra_2000.pdf</w:t>
        </w:r>
      </w:hyperlink>
    </w:p>
  </w:footnote>
  <w:footnote w:id="207">
    <w:p w14:paraId="262E4445" w14:textId="589354DB" w:rsidR="008C6CE2" w:rsidRPr="00561F65" w:rsidRDefault="008C6CE2"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xml:space="preserve">, </w:t>
      </w:r>
      <w:r w:rsidRPr="00561F65">
        <w:rPr>
          <w:i/>
        </w:rPr>
        <w:t>Rapport d’activités et de gestion</w:t>
      </w:r>
      <w:r w:rsidR="005C5B01" w:rsidRPr="00561F65">
        <w:t> </w:t>
      </w:r>
      <w:r w:rsidRPr="00561F65">
        <w:rPr>
          <w:i/>
        </w:rPr>
        <w:t>2006-2007</w:t>
      </w:r>
      <w:r w:rsidRPr="00561F65">
        <w:t>, 2007, p. 29, [En ligne].</w:t>
      </w:r>
      <w:r w:rsidR="00A71124" w:rsidRPr="00A71124">
        <w:t xml:space="preserve"> </w:t>
      </w:r>
      <w:hyperlink r:id="rId104" w:history="1">
        <w:r w:rsidR="00A71124" w:rsidRPr="007912CF">
          <w:rPr>
            <w:rStyle w:val="Lienhypertexte"/>
          </w:rPr>
          <w:t>https://www.cdpdj.qc.ca/storage/app/media/publications/RA_2006_2007.pdf</w:t>
        </w:r>
      </w:hyperlink>
      <w:r w:rsidR="00A71124">
        <w:t xml:space="preserve"> </w:t>
      </w:r>
      <w:r w:rsidR="00A71124" w:rsidRPr="00561F65">
        <w:t xml:space="preserve"> </w:t>
      </w:r>
    </w:p>
  </w:footnote>
  <w:footnote w:id="208">
    <w:p w14:paraId="763D031F" w14:textId="17EC9BFD" w:rsidR="00606BBE" w:rsidRPr="00561F65" w:rsidRDefault="008C6CE2"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xml:space="preserve">, </w:t>
      </w:r>
      <w:r w:rsidRPr="00561F65">
        <w:rPr>
          <w:i/>
        </w:rPr>
        <w:t>Rapport d’activités et de gestion</w:t>
      </w:r>
      <w:r w:rsidR="005C5B01" w:rsidRPr="00561F65">
        <w:t> </w:t>
      </w:r>
      <w:r w:rsidRPr="00561F65">
        <w:rPr>
          <w:i/>
        </w:rPr>
        <w:t>2007-2008</w:t>
      </w:r>
      <w:r w:rsidRPr="00561F65">
        <w:t xml:space="preserve">, 2008, p. 39, [En ligne]. </w:t>
      </w:r>
      <w:hyperlink r:id="rId105" w:history="1">
        <w:r w:rsidR="00606BBE" w:rsidRPr="007912CF">
          <w:rPr>
            <w:rStyle w:val="Lienhypertexte"/>
          </w:rPr>
          <w:t>https://www.cdpdj.qc.ca/storage/app/media/publications/RA_2007_2008.pdf</w:t>
        </w:r>
      </w:hyperlink>
    </w:p>
  </w:footnote>
  <w:footnote w:id="209">
    <w:p w14:paraId="080998C0" w14:textId="7617F323" w:rsidR="008C6CE2" w:rsidRPr="00561F65" w:rsidRDefault="008C6CE2" w:rsidP="004E4354">
      <w:pPr>
        <w:pStyle w:val="NotesBasPage"/>
      </w:pPr>
      <w:r w:rsidRPr="00561F65">
        <w:rPr>
          <w:rStyle w:val="Appelnotedebasdep"/>
        </w:rPr>
        <w:footnoteRef/>
      </w:r>
      <w:r w:rsidRPr="00561F65">
        <w:t xml:space="preserve"> </w:t>
      </w:r>
      <w:r w:rsidRPr="00561F65">
        <w:tab/>
        <w:t>Voir la section</w:t>
      </w:r>
      <w:r w:rsidR="005C5B01" w:rsidRPr="00561F65">
        <w:t> </w:t>
      </w:r>
      <w:r w:rsidRPr="00561F65">
        <w:t xml:space="preserve">4.3 du présent rapport. </w:t>
      </w:r>
    </w:p>
  </w:footnote>
  <w:footnote w:id="210">
    <w:p w14:paraId="35276D91" w14:textId="62A2EF28" w:rsidR="001F18A9" w:rsidRPr="00561F65" w:rsidRDefault="001F18A9" w:rsidP="004E4354">
      <w:pPr>
        <w:pStyle w:val="NotesBasPage"/>
      </w:pPr>
      <w:r w:rsidRPr="00561F65">
        <w:rPr>
          <w:rStyle w:val="Appelnotedebasdep"/>
        </w:rPr>
        <w:footnoteRef/>
      </w:r>
      <w:r w:rsidRPr="00561F65">
        <w:t xml:space="preserve"> </w:t>
      </w:r>
      <w:r w:rsidRPr="00561F65">
        <w:tab/>
      </w:r>
      <w:r w:rsidR="00BA49E4" w:rsidRPr="00BA49E4">
        <w:t>L.n.t</w:t>
      </w:r>
      <w:r w:rsidR="00DA39A6">
        <w:t xml:space="preserve">, </w:t>
      </w:r>
      <w:r w:rsidR="000406C8" w:rsidRPr="00561F65">
        <w:t>section</w:t>
      </w:r>
      <w:r w:rsidR="00A430BD" w:rsidRPr="00561F65">
        <w:t>s</w:t>
      </w:r>
      <w:r w:rsidR="00291541">
        <w:t> </w:t>
      </w:r>
      <w:r w:rsidR="000406C8" w:rsidRPr="00561F65">
        <w:t>V.2</w:t>
      </w:r>
      <w:r w:rsidR="00A430BD" w:rsidRPr="00561F65">
        <w:t xml:space="preserve"> et II.1.</w:t>
      </w:r>
    </w:p>
  </w:footnote>
  <w:footnote w:id="211">
    <w:p w14:paraId="2B79A93B" w14:textId="281314AD" w:rsidR="001E1FF9" w:rsidRPr="00561F65" w:rsidRDefault="001E1FF9" w:rsidP="004E4354">
      <w:pPr>
        <w:pStyle w:val="NotesBasPage"/>
      </w:pPr>
      <w:r w:rsidRPr="00561F65">
        <w:rPr>
          <w:rStyle w:val="Appelnotedebasdep"/>
        </w:rPr>
        <w:footnoteRef/>
      </w:r>
      <w:r w:rsidRPr="00561F65">
        <w:t xml:space="preserve"> </w:t>
      </w:r>
      <w:r w:rsidRPr="00561F65">
        <w:tab/>
      </w:r>
      <w:r w:rsidR="00B85D39" w:rsidRPr="00561F65">
        <w:rPr>
          <w:smallCaps/>
        </w:rPr>
        <w:t>Commission des droits de la personne et des droits de la jeunesse</w:t>
      </w:r>
      <w:r w:rsidR="00B85D39" w:rsidRPr="00561F65">
        <w:t xml:space="preserve">, </w:t>
      </w:r>
      <w:r w:rsidR="00206AC6" w:rsidRPr="00606BBE">
        <w:rPr>
          <w:i/>
          <w:iCs/>
        </w:rPr>
        <w:t>Commentaires relatifs à la consultation portant sur le rapport de mise en œuvre du plan d’action gouvernemental en matière d’agression sexuelle</w:t>
      </w:r>
      <w:r w:rsidR="00206AC6" w:rsidRPr="00561F65">
        <w:t>, 2015, p</w:t>
      </w:r>
      <w:r w:rsidR="00B82C77" w:rsidRPr="00561F65">
        <w:t>. 24, 28-</w:t>
      </w:r>
      <w:r w:rsidR="00B85D39" w:rsidRPr="00561F65">
        <w:t>31</w:t>
      </w:r>
      <w:r w:rsidR="001F18A9" w:rsidRPr="00561F65">
        <w:t>, [En ligne</w:t>
      </w:r>
      <w:hyperlink r:id="rId106" w:history="1">
        <w:r w:rsidR="001F18A9" w:rsidRPr="00207010">
          <w:rPr>
            <w:rStyle w:val="Lienhypertexte"/>
          </w:rPr>
          <w:t>]. https://www.cdpdj.qc.ca/storage/app/media/publications/commentaires_plan_action_agression_sexuelle.pdf</w:t>
        </w:r>
      </w:hyperlink>
      <w:r w:rsidR="001F18A9" w:rsidRPr="00561F65">
        <w:t xml:space="preserve"> </w:t>
      </w:r>
    </w:p>
  </w:footnote>
  <w:footnote w:id="212">
    <w:p w14:paraId="7335B87E" w14:textId="2C94074C" w:rsidR="008C6CE2" w:rsidRPr="00561F65" w:rsidRDefault="008C6CE2" w:rsidP="004E4354">
      <w:pPr>
        <w:pStyle w:val="NotesBasPage"/>
      </w:pPr>
      <w:r w:rsidRPr="00561F65">
        <w:rPr>
          <w:rStyle w:val="Appelnotedebasdep"/>
        </w:rPr>
        <w:footnoteRef/>
      </w:r>
      <w:r w:rsidRPr="00561F65">
        <w:t xml:space="preserve"> </w:t>
      </w:r>
      <w:r w:rsidR="00F058A3" w:rsidRPr="00561F65">
        <w:tab/>
      </w:r>
      <w:r w:rsidRPr="00561F65">
        <w:t>Voir section</w:t>
      </w:r>
      <w:r w:rsidR="005C5B01" w:rsidRPr="00561F65">
        <w:t> </w:t>
      </w:r>
      <w:r w:rsidRPr="00561F65">
        <w:t>1.3 du présent rapport.</w:t>
      </w:r>
    </w:p>
  </w:footnote>
  <w:footnote w:id="213">
    <w:p w14:paraId="0912ADED" w14:textId="77777777" w:rsidR="005751CF" w:rsidRPr="00561F65" w:rsidRDefault="005751CF" w:rsidP="004E4354">
      <w:pPr>
        <w:pStyle w:val="NotesBasPage"/>
      </w:pPr>
      <w:r w:rsidRPr="00561F65">
        <w:rPr>
          <w:rStyle w:val="Appelnotedebasdep"/>
        </w:rPr>
        <w:footnoteRef/>
      </w:r>
      <w:r w:rsidRPr="00561F65">
        <w:t xml:space="preserve"> </w:t>
      </w:r>
      <w:r w:rsidRPr="00561F65">
        <w:tab/>
      </w:r>
      <w:r w:rsidRPr="00207010">
        <w:rPr>
          <w:i/>
          <w:iCs/>
        </w:rPr>
        <w:t>Loi visant à protéger les personnes contre les thérapies de conversion dispensées pour changer leur orientation sexuelle, leur identité de genre ou leur expression de genre</w:t>
      </w:r>
      <w:r w:rsidRPr="00561F65">
        <w:t>, RLRQ, c. P-42.2</w:t>
      </w:r>
    </w:p>
  </w:footnote>
  <w:footnote w:id="214">
    <w:p w14:paraId="2CA70DF4" w14:textId="72A999BE" w:rsidR="005751CF" w:rsidRPr="00561F65" w:rsidRDefault="005751CF"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Pr="00561F65">
        <w:rPr>
          <w:i/>
          <w:lang w:val="en-CA"/>
        </w:rPr>
        <w:t>Centre for Gender Advocacy</w:t>
      </w:r>
      <w:r w:rsidRPr="00561F65">
        <w:rPr>
          <w:lang w:val="en-CA"/>
        </w:rPr>
        <w:t xml:space="preserve"> c. </w:t>
      </w:r>
      <w:r w:rsidRPr="00561F65">
        <w:rPr>
          <w:i/>
          <w:lang w:val="en-CA"/>
        </w:rPr>
        <w:t>Attorney General of Quebec</w:t>
      </w:r>
      <w:r w:rsidRPr="00561F65">
        <w:rPr>
          <w:lang w:val="en-CA"/>
        </w:rPr>
        <w:t xml:space="preserve">, </w:t>
      </w:r>
      <w:proofErr w:type="spellStart"/>
      <w:r w:rsidR="00046440" w:rsidRPr="00561F65">
        <w:rPr>
          <w:lang w:val="en-CA"/>
        </w:rPr>
        <w:t>préc</w:t>
      </w:r>
      <w:proofErr w:type="spellEnd"/>
      <w:r w:rsidR="00046440" w:rsidRPr="00561F65">
        <w:rPr>
          <w:lang w:val="en-CA"/>
        </w:rPr>
        <w:t>., note</w:t>
      </w:r>
      <w:r w:rsidR="00AB1B44">
        <w:rPr>
          <w:lang w:val="en-CA"/>
        </w:rPr>
        <w:t> </w:t>
      </w:r>
      <w:r w:rsidR="007A16F8" w:rsidRPr="00561F65">
        <w:fldChar w:fldCharType="begin"/>
      </w:r>
      <w:r w:rsidR="007A16F8" w:rsidRPr="00561F65">
        <w:rPr>
          <w:lang w:val="en-CA"/>
        </w:rPr>
        <w:instrText xml:space="preserve"> NOTEREF _Ref219291600 \h </w:instrText>
      </w:r>
      <w:r w:rsidR="007017CF" w:rsidRPr="00561F65">
        <w:rPr>
          <w:lang w:val="en-CA"/>
        </w:rPr>
        <w:instrText xml:space="preserve"> \* MERGEFORMAT </w:instrText>
      </w:r>
      <w:r w:rsidR="007A16F8" w:rsidRPr="00561F65">
        <w:fldChar w:fldCharType="separate"/>
      </w:r>
      <w:r w:rsidR="000374E3" w:rsidRPr="00561F65">
        <w:rPr>
          <w:lang w:val="en-CA"/>
        </w:rPr>
        <w:t>168</w:t>
      </w:r>
      <w:r w:rsidR="007A16F8" w:rsidRPr="00561F65">
        <w:fldChar w:fldCharType="end"/>
      </w:r>
      <w:r w:rsidR="007A16F8" w:rsidRPr="00561F65">
        <w:rPr>
          <w:lang w:val="en-CA"/>
        </w:rPr>
        <w:t>.</w:t>
      </w:r>
    </w:p>
  </w:footnote>
  <w:footnote w:id="215">
    <w:p w14:paraId="1FCF0D9A" w14:textId="10BD74B4" w:rsidR="005751CF" w:rsidRPr="00561F65" w:rsidRDefault="005751CF" w:rsidP="004E4354">
      <w:pPr>
        <w:pStyle w:val="NotesBasPage"/>
      </w:pPr>
      <w:r w:rsidRPr="00561F65">
        <w:rPr>
          <w:rStyle w:val="Appelnotedebasdep"/>
        </w:rPr>
        <w:footnoteRef/>
      </w:r>
      <w:r w:rsidRPr="00561F65">
        <w:t xml:space="preserve"> </w:t>
      </w:r>
      <w:r w:rsidRPr="00561F65">
        <w:tab/>
      </w:r>
      <w:r w:rsidRPr="00207010">
        <w:rPr>
          <w:i/>
          <w:iCs/>
        </w:rPr>
        <w:t>Loi portant sur la réforme du droit de la famille en matière de filiation et modifiant le Code civil en matière de droits de la personnalité et d’état civil</w:t>
      </w:r>
      <w:r w:rsidRPr="00561F65">
        <w:t>, L.Q.</w:t>
      </w:r>
      <w:r w:rsidR="005C5B01" w:rsidRPr="00561F65">
        <w:t> </w:t>
      </w:r>
      <w:r w:rsidRPr="00561F65">
        <w:t>2022, c.</w:t>
      </w:r>
      <w:r w:rsidR="005C5B01" w:rsidRPr="00561F65">
        <w:t> </w:t>
      </w:r>
      <w:r w:rsidRPr="00561F65">
        <w:t>22.</w:t>
      </w:r>
    </w:p>
  </w:footnote>
  <w:footnote w:id="216">
    <w:p w14:paraId="65499D1E" w14:textId="6F11D08A" w:rsidR="005751CF" w:rsidRPr="00561F65" w:rsidRDefault="005751CF" w:rsidP="004E4354">
      <w:pPr>
        <w:pStyle w:val="NotesBasPage"/>
      </w:pPr>
      <w:r w:rsidRPr="00561F65">
        <w:rPr>
          <w:rStyle w:val="Appelnotedebasdep"/>
        </w:rPr>
        <w:footnoteRef/>
      </w:r>
      <w:r w:rsidRPr="00561F65">
        <w:t xml:space="preserve"> </w:t>
      </w:r>
      <w:r w:rsidRPr="00561F65">
        <w:tab/>
      </w:r>
      <w:r w:rsidRPr="00561F65">
        <w:rPr>
          <w:smallCaps/>
        </w:rPr>
        <w:t>Gouvernement du Québec, Cabinet du ministre de la Famille</w:t>
      </w:r>
      <w:r w:rsidRPr="00561F65">
        <w:t>, «</w:t>
      </w:r>
      <w:r w:rsidR="00AB4C13" w:rsidRPr="00561F65">
        <w:rPr>
          <w:rFonts w:ascii="Arial" w:hAnsi="Arial" w:cs="Arial"/>
        </w:rPr>
        <w:t> </w:t>
      </w:r>
      <w:r w:rsidRPr="00561F65">
        <w:t>Mise sur pied du Comité de sages sur l'identité de genre</w:t>
      </w:r>
      <w:r w:rsidR="00AB4C13" w:rsidRPr="00561F65">
        <w:rPr>
          <w:rFonts w:ascii="Arial" w:hAnsi="Arial" w:cs="Arial"/>
        </w:rPr>
        <w:t> </w:t>
      </w:r>
      <w:r w:rsidRPr="00561F65">
        <w:t>», 5</w:t>
      </w:r>
      <w:r w:rsidR="00937C69" w:rsidRPr="00561F65">
        <w:t> </w:t>
      </w:r>
      <w:r w:rsidRPr="00561F65">
        <w:t xml:space="preserve">décembre 2023, [En ligne]. </w:t>
      </w:r>
      <w:hyperlink r:id="rId107" w:history="1">
        <w:r w:rsidR="00C14C7C" w:rsidRPr="007912CF">
          <w:rPr>
            <w:rStyle w:val="Lienhypertexte"/>
          </w:rPr>
          <w:t>https://www.quebec.ca/nouvelles/actualites/details/mise-sur-pied-du-comite-de-sages-sur-lidentite-de-genre-52578</w:t>
        </w:r>
      </w:hyperlink>
      <w:r w:rsidRPr="00561F65">
        <w:t xml:space="preserve"> </w:t>
      </w:r>
    </w:p>
  </w:footnote>
  <w:footnote w:id="217">
    <w:p w14:paraId="74ECBBD2" w14:textId="04889953" w:rsidR="00FC5C28" w:rsidRPr="00561F65" w:rsidRDefault="00FC5C28"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xml:space="preserve">, </w:t>
      </w:r>
      <w:r w:rsidRPr="008B6534">
        <w:rPr>
          <w:i/>
          <w:iCs/>
        </w:rPr>
        <w:t>Commentaires sur le projet loi n° 35, Loi modifiant le Code civil en matière d’état civil, de successions et de publicité des droits</w:t>
      </w:r>
      <w:r w:rsidR="00CD60EF">
        <w:t xml:space="preserve">, </w:t>
      </w:r>
      <w:r w:rsidRPr="00561F65">
        <w:t xml:space="preserve">2013, p. 1 à 10, [En ligne]. </w:t>
      </w:r>
      <w:hyperlink r:id="rId108" w:history="1">
        <w:r w:rsidRPr="00EA10EF">
          <w:rPr>
            <w:rStyle w:val="Lienhypertexte"/>
          </w:rPr>
          <w:t>https://www.cdpdj.qc.ca/fr/publications/commentaires-sur-le-projet-de-17</w:t>
        </w:r>
      </w:hyperlink>
    </w:p>
  </w:footnote>
  <w:footnote w:id="218">
    <w:p w14:paraId="59FD4D2C" w14:textId="6AD27970" w:rsidR="000752F3" w:rsidRPr="00561F65" w:rsidRDefault="000752F3" w:rsidP="004E4354">
      <w:pPr>
        <w:pStyle w:val="NotesBasPage"/>
      </w:pPr>
      <w:r w:rsidRPr="00561F65">
        <w:rPr>
          <w:rStyle w:val="Appelnotedebasdep"/>
        </w:rPr>
        <w:footnoteRef/>
      </w:r>
      <w:r w:rsidRPr="00561F65">
        <w:t xml:space="preserve"> </w:t>
      </w:r>
      <w:r w:rsidRPr="00561F65">
        <w:tab/>
      </w:r>
      <w:r w:rsidRPr="00561F65">
        <w:rPr>
          <w:smallCaps/>
        </w:rPr>
        <w:t>Statistique Canada</w:t>
      </w:r>
      <w:r w:rsidRPr="00561F65">
        <w:t>, </w:t>
      </w:r>
      <w:r w:rsidRPr="00561F65">
        <w:rPr>
          <w:i/>
        </w:rPr>
        <w:t>Tableau 13-10-0876-</w:t>
      </w:r>
      <w:r w:rsidR="00B30485" w:rsidRPr="00561F65">
        <w:rPr>
          <w:rFonts w:ascii="Arial" w:hAnsi="Arial" w:cs="Arial"/>
          <w:i/>
        </w:rPr>
        <w:t> </w:t>
      </w:r>
      <w:r w:rsidRPr="00561F65">
        <w:rPr>
          <w:i/>
        </w:rPr>
        <w:t>01, Caractéristiques socioéconomiques de la population LGB+, 2019 à 2021</w:t>
      </w:r>
      <w:r w:rsidRPr="00561F65">
        <w:t>,</w:t>
      </w:r>
      <w:r w:rsidR="00CA3671" w:rsidRPr="00CA3671">
        <w:t xml:space="preserve"> </w:t>
      </w:r>
      <w:hyperlink r:id="rId109" w:history="1">
        <w:r w:rsidR="00CA3671" w:rsidRPr="007912CF">
          <w:rPr>
            <w:rStyle w:val="Lienhypertexte"/>
          </w:rPr>
          <w:t>https://www150.statcan.gc.ca/t1/tbl1/fr/tv.action?pid=1310087601</w:t>
        </w:r>
      </w:hyperlink>
      <w:r w:rsidRPr="00561F65">
        <w:t> </w:t>
      </w:r>
      <w:r w:rsidR="00CA3671" w:rsidRPr="00561F65">
        <w:t xml:space="preserve"> </w:t>
      </w:r>
    </w:p>
  </w:footnote>
  <w:footnote w:id="219">
    <w:p w14:paraId="47EF80E3" w14:textId="483F1414" w:rsidR="00F361A9" w:rsidRPr="00561F65" w:rsidRDefault="000752F3" w:rsidP="004E4354">
      <w:pPr>
        <w:pStyle w:val="NotesBasPage"/>
      </w:pPr>
      <w:r w:rsidRPr="00561F65">
        <w:rPr>
          <w:rStyle w:val="Appelnotedebasdep"/>
        </w:rPr>
        <w:footnoteRef/>
      </w:r>
      <w:r w:rsidRPr="00561F65">
        <w:t xml:space="preserve"> </w:t>
      </w:r>
      <w:r w:rsidRPr="00561F65">
        <w:tab/>
        <w:t xml:space="preserve">Wendy </w:t>
      </w:r>
      <w:r w:rsidRPr="00561F65">
        <w:rPr>
          <w:smallCaps/>
        </w:rPr>
        <w:t>Cukier</w:t>
      </w:r>
      <w:r w:rsidRPr="00561F65">
        <w:t xml:space="preserve">, Andrew </w:t>
      </w:r>
      <w:r w:rsidRPr="00561F65">
        <w:rPr>
          <w:smallCaps/>
        </w:rPr>
        <w:t>Parkin</w:t>
      </w:r>
      <w:r w:rsidRPr="00561F65">
        <w:t xml:space="preserve">, Alyssa </w:t>
      </w:r>
      <w:r w:rsidRPr="00561F65">
        <w:rPr>
          <w:smallCaps/>
        </w:rPr>
        <w:t>Saiphoo</w:t>
      </w:r>
      <w:r w:rsidRPr="00561F65">
        <w:t xml:space="preserve">, Betina </w:t>
      </w:r>
      <w:r w:rsidRPr="00561F65">
        <w:rPr>
          <w:smallCaps/>
        </w:rPr>
        <w:t>Borova</w:t>
      </w:r>
      <w:r w:rsidRPr="00561F65">
        <w:t xml:space="preserve"> et Matthew </w:t>
      </w:r>
      <w:r w:rsidRPr="00561F65">
        <w:rPr>
          <w:smallCaps/>
        </w:rPr>
        <w:t>Edwards</w:t>
      </w:r>
      <w:r w:rsidRPr="00561F65">
        <w:t xml:space="preserve">, </w:t>
      </w:r>
      <w:r w:rsidRPr="00561F65">
        <w:rPr>
          <w:i/>
        </w:rPr>
        <w:t>Genre, diversité et discrimination en milieu de travail</w:t>
      </w:r>
      <w:r w:rsidRPr="00561F65">
        <w:t>, 2024, p.</w:t>
      </w:r>
      <w:r w:rsidR="005C5B01" w:rsidRPr="00561F65">
        <w:t> </w:t>
      </w:r>
      <w:r w:rsidRPr="00561F65">
        <w:t xml:space="preserve">14, [En ligne]. </w:t>
      </w:r>
      <w:hyperlink r:id="rId110" w:history="1">
        <w:r w:rsidR="00F361A9" w:rsidRPr="007912CF">
          <w:rPr>
            <w:rStyle w:val="Lienhypertexte"/>
          </w:rPr>
          <w:t>https://www.torontomu.ca/content/dam/diversity/reports/gender--diversity-and-discrimination-in-the-workplace/Genre,%20diversit%C3%A9%20et%20discrimination_FR.pdf</w:t>
        </w:r>
      </w:hyperlink>
    </w:p>
  </w:footnote>
  <w:footnote w:id="220">
    <w:p w14:paraId="703E7803" w14:textId="1718470D" w:rsidR="000752F3" w:rsidRPr="00561F65" w:rsidRDefault="000752F3" w:rsidP="004E4354">
      <w:pPr>
        <w:pStyle w:val="NotesBasPage"/>
      </w:pPr>
      <w:r w:rsidRPr="00561F65">
        <w:rPr>
          <w:rStyle w:val="Appelnotedebasdep"/>
        </w:rPr>
        <w:footnoteRef/>
      </w:r>
      <w:r w:rsidRPr="00561F65">
        <w:t xml:space="preserve"> </w:t>
      </w:r>
      <w:r w:rsidRPr="00561F65">
        <w:tab/>
      </w:r>
      <w:r w:rsidR="00EA43AF" w:rsidRPr="003B28BE">
        <w:rPr>
          <w:smallCaps/>
        </w:rPr>
        <w:t>Chaire de recherche sur la diversité sexuelle et la pluralité des genres</w:t>
      </w:r>
      <w:r w:rsidR="00EA43AF" w:rsidRPr="00561F65">
        <w:t xml:space="preserve">, </w:t>
      </w:r>
      <w:proofErr w:type="spellStart"/>
      <w:r w:rsidR="00EA43AF" w:rsidRPr="00561F65">
        <w:t>préc</w:t>
      </w:r>
      <w:proofErr w:type="spellEnd"/>
      <w:r w:rsidR="00EA43AF" w:rsidRPr="00561F65">
        <w:t xml:space="preserve">., note </w:t>
      </w:r>
      <w:r w:rsidR="00EA43AF" w:rsidRPr="00561F65">
        <w:fldChar w:fldCharType="begin"/>
      </w:r>
      <w:r w:rsidR="00EA43AF" w:rsidRPr="00561F65">
        <w:instrText xml:space="preserve"> NOTEREF _Ref218500043 \h  \* MERGEFORMAT </w:instrText>
      </w:r>
      <w:r w:rsidR="00EA43AF" w:rsidRPr="00561F65">
        <w:fldChar w:fldCharType="separate"/>
      </w:r>
      <w:r w:rsidR="000374E3" w:rsidRPr="00561F65">
        <w:t>13</w:t>
      </w:r>
      <w:r w:rsidR="00EA43AF" w:rsidRPr="00561F65">
        <w:fldChar w:fldCharType="end"/>
      </w:r>
      <w:r w:rsidR="007929DD" w:rsidRPr="00561F65">
        <w:t>.</w:t>
      </w:r>
    </w:p>
  </w:footnote>
  <w:footnote w:id="221">
    <w:p w14:paraId="05CE53E7" w14:textId="1FAA7909" w:rsidR="00BB2D65" w:rsidRPr="002F1D12" w:rsidRDefault="00BB2D65" w:rsidP="004E4354">
      <w:pPr>
        <w:pStyle w:val="NotesBasPage"/>
      </w:pPr>
      <w:r w:rsidRPr="00617AC8">
        <w:rPr>
          <w:rStyle w:val="Appelnotedebasdep"/>
        </w:rPr>
        <w:footnoteRef/>
      </w:r>
      <w:r w:rsidRPr="00617AC8">
        <w:t xml:space="preserve"> </w:t>
      </w:r>
      <w:r w:rsidR="002F1D12" w:rsidRPr="00617AC8">
        <w:tab/>
      </w:r>
      <w:r w:rsidR="002F1D12" w:rsidRPr="00617AC8">
        <w:rPr>
          <w:i/>
          <w:iCs/>
        </w:rPr>
        <w:t>Id.</w:t>
      </w:r>
    </w:p>
  </w:footnote>
  <w:footnote w:id="222">
    <w:p w14:paraId="278F005B" w14:textId="1D52206A" w:rsidR="000752F3" w:rsidRPr="00561F65" w:rsidRDefault="000752F3" w:rsidP="004E4354">
      <w:pPr>
        <w:pStyle w:val="NotesBasPage"/>
      </w:pPr>
      <w:r w:rsidRPr="00561F65">
        <w:rPr>
          <w:rStyle w:val="Appelnotedebasdep"/>
        </w:rPr>
        <w:footnoteRef/>
      </w:r>
      <w:r w:rsidRPr="00561F65">
        <w:t xml:space="preserve"> </w:t>
      </w:r>
      <w:r w:rsidRPr="00561F65">
        <w:tab/>
      </w:r>
      <w:r w:rsidRPr="00346216">
        <w:rPr>
          <w:smallCaps/>
        </w:rPr>
        <w:t>Christelle Lebreton</w:t>
      </w:r>
      <w:r w:rsidRPr="00561F65">
        <w:t xml:space="preserve"> (2017).</w:t>
      </w:r>
      <w:r w:rsidR="00F93EB4" w:rsidRPr="00561F65">
        <w:t xml:space="preserve"> </w:t>
      </w:r>
      <w:r w:rsidRPr="00561F65">
        <w:rPr>
          <w:i/>
        </w:rPr>
        <w:t>Adolescences lesbiennes. De l’invisibilité à la reconnaissance.</w:t>
      </w:r>
      <w:r w:rsidR="00F93EB4" w:rsidRPr="00561F65">
        <w:t xml:space="preserve"> </w:t>
      </w:r>
      <w:r w:rsidRPr="00561F65">
        <w:t>Montréal (Québec) : Les éditions du remue-ménage.</w:t>
      </w:r>
    </w:p>
  </w:footnote>
  <w:footnote w:id="223">
    <w:p w14:paraId="1685F28D" w14:textId="3E736E45" w:rsidR="00263753" w:rsidRPr="00561F65" w:rsidRDefault="000752F3" w:rsidP="004E4354">
      <w:pPr>
        <w:pStyle w:val="NotesBasPage"/>
      </w:pPr>
      <w:r w:rsidRPr="00561F65">
        <w:rPr>
          <w:rStyle w:val="Appelnotedebasdep"/>
        </w:rPr>
        <w:footnoteRef/>
      </w:r>
      <w:r w:rsidRPr="00561F65">
        <w:t xml:space="preserve"> </w:t>
      </w:r>
      <w:r w:rsidRPr="00561F65">
        <w:tab/>
      </w:r>
      <w:r w:rsidR="00741973" w:rsidRPr="00561F65">
        <w:t xml:space="preserve">Line </w:t>
      </w:r>
      <w:r w:rsidRPr="00561F65">
        <w:rPr>
          <w:smallCaps/>
        </w:rPr>
        <w:t>Chamberland</w:t>
      </w:r>
      <w:r w:rsidRPr="00561F65">
        <w:t xml:space="preserve"> &amp; Julie </w:t>
      </w:r>
      <w:r w:rsidRPr="00561F65">
        <w:rPr>
          <w:smallCaps/>
        </w:rPr>
        <w:t>Théroux-Séguin</w:t>
      </w:r>
      <w:r w:rsidRPr="00561F65">
        <w:t>, «</w:t>
      </w:r>
      <w:r w:rsidR="00AB4C13" w:rsidRPr="00561F65">
        <w:rPr>
          <w:rFonts w:ascii="Arial" w:hAnsi="Arial" w:cs="Arial"/>
        </w:rPr>
        <w:t> </w:t>
      </w:r>
      <w:r w:rsidRPr="00561F65">
        <w:t>Sexualité lesbienne et catégories de genre</w:t>
      </w:r>
      <w:r w:rsidR="00AB4C13" w:rsidRPr="00561F65">
        <w:rPr>
          <w:rFonts w:ascii="Arial" w:hAnsi="Arial" w:cs="Arial"/>
        </w:rPr>
        <w:t> </w:t>
      </w:r>
      <w:r w:rsidRPr="00561F65">
        <w:t>» (2009) 1</w:t>
      </w:r>
      <w:r w:rsidR="005516C0" w:rsidRPr="00561F65">
        <w:t> </w:t>
      </w:r>
      <w:r w:rsidRPr="00561F65">
        <w:t xml:space="preserve">Genre, sexualité &amp; société, </w:t>
      </w:r>
      <w:r w:rsidR="00EE1FD2" w:rsidRPr="00561F65">
        <w:t>[En</w:t>
      </w:r>
      <w:r w:rsidRPr="00561F65">
        <w:t xml:space="preserve"> ligne</w:t>
      </w:r>
      <w:r w:rsidR="00EE1FD2" w:rsidRPr="00561F65">
        <w:t>].</w:t>
      </w:r>
      <w:r w:rsidR="00B5160C" w:rsidRPr="00561F65">
        <w:t xml:space="preserve"> </w:t>
      </w:r>
      <w:hyperlink r:id="rId111" w:history="1">
        <w:r w:rsidR="00263753" w:rsidRPr="007912CF">
          <w:rPr>
            <w:rStyle w:val="Lienhypertexte"/>
          </w:rPr>
          <w:t>https://journals.openedition.org/gss/772</w:t>
        </w:r>
      </w:hyperlink>
    </w:p>
  </w:footnote>
  <w:footnote w:id="224">
    <w:p w14:paraId="004A4599" w14:textId="12E41F80" w:rsidR="000752F3" w:rsidRPr="00561F65" w:rsidRDefault="000752F3" w:rsidP="004E4354">
      <w:pPr>
        <w:pStyle w:val="NotesBasPage"/>
      </w:pPr>
      <w:r w:rsidRPr="00561F65">
        <w:rPr>
          <w:rStyle w:val="Appelnotedebasdep"/>
        </w:rPr>
        <w:footnoteRef/>
      </w:r>
      <w:r w:rsidRPr="00561F65">
        <w:t xml:space="preserve"> </w:t>
      </w:r>
      <w:r w:rsidRPr="00561F65">
        <w:tab/>
      </w:r>
      <w:r w:rsidR="00B5160C" w:rsidRPr="00561F65">
        <w:t xml:space="preserve">Anne </w:t>
      </w:r>
      <w:r w:rsidRPr="00561F65">
        <w:rPr>
          <w:smallCaps/>
        </w:rPr>
        <w:t>Revillard</w:t>
      </w:r>
      <w:r w:rsidRPr="00561F65">
        <w:t>, «</w:t>
      </w:r>
      <w:r w:rsidR="00AB4C13" w:rsidRPr="00561F65">
        <w:rPr>
          <w:rFonts w:ascii="Arial" w:hAnsi="Arial" w:cs="Arial"/>
        </w:rPr>
        <w:t> </w:t>
      </w:r>
      <w:r w:rsidRPr="00561F65">
        <w:t>L’identité lesbienne entre nature et construction</w:t>
      </w:r>
      <w:r w:rsidR="00AB4C13" w:rsidRPr="00561F65">
        <w:rPr>
          <w:rFonts w:ascii="Arial" w:hAnsi="Arial" w:cs="Arial"/>
        </w:rPr>
        <w:t> </w:t>
      </w:r>
      <w:r w:rsidRPr="00561F65">
        <w:t xml:space="preserve">» (2002) 19:1 </w:t>
      </w:r>
      <w:r w:rsidRPr="00A56461">
        <w:rPr>
          <w:i/>
          <w:iCs/>
        </w:rPr>
        <w:t>Revue du MAUSS</w:t>
      </w:r>
      <w:r w:rsidR="005C5B01" w:rsidRPr="00561F65">
        <w:t> </w:t>
      </w:r>
      <w:r w:rsidRPr="00561F65">
        <w:t>168</w:t>
      </w:r>
      <w:r w:rsidRPr="00561F65">
        <w:noBreakHyphen/>
        <w:t>182, p.</w:t>
      </w:r>
      <w:r w:rsidR="005C5B01" w:rsidRPr="00561F65">
        <w:t> </w:t>
      </w:r>
      <w:r w:rsidRPr="00561F65">
        <w:t>175-177.</w:t>
      </w:r>
    </w:p>
  </w:footnote>
  <w:footnote w:id="225">
    <w:p w14:paraId="3C5CB85A" w14:textId="1F51EFBD" w:rsidR="000752F3" w:rsidRPr="00561F65" w:rsidRDefault="000752F3" w:rsidP="004E4354">
      <w:pPr>
        <w:pStyle w:val="NotesBasPage"/>
      </w:pPr>
      <w:r w:rsidRPr="00561F65">
        <w:rPr>
          <w:rStyle w:val="Appelnotedebasdep"/>
        </w:rPr>
        <w:footnoteRef/>
      </w:r>
      <w:r w:rsidRPr="00561F65">
        <w:t xml:space="preserve"> </w:t>
      </w:r>
      <w:r w:rsidRPr="00561F65">
        <w:tab/>
      </w:r>
      <w:r w:rsidR="00DA6B84" w:rsidRPr="00561F65">
        <w:t xml:space="preserve">É. </w:t>
      </w:r>
      <w:r w:rsidR="00DA6B84" w:rsidRPr="00561F65">
        <w:rPr>
          <w:smallCaps/>
        </w:rPr>
        <w:t>Morand</w:t>
      </w:r>
      <w:r w:rsidR="00DA6B84" w:rsidRPr="00561F65">
        <w:t>, M.</w:t>
      </w:r>
      <w:r w:rsidR="00BC48F0">
        <w:t> </w:t>
      </w:r>
      <w:r w:rsidR="00DA6B84" w:rsidRPr="00561F65">
        <w:rPr>
          <w:smallCaps/>
        </w:rPr>
        <w:t>Blais</w:t>
      </w:r>
      <w:r w:rsidR="00DA6B84" w:rsidRPr="00561F65">
        <w:t>, I.</w:t>
      </w:r>
      <w:r w:rsidR="00E328B0">
        <w:t> </w:t>
      </w:r>
      <w:r w:rsidR="00DA6B84" w:rsidRPr="00561F65">
        <w:rPr>
          <w:smallCaps/>
        </w:rPr>
        <w:t>Côté</w:t>
      </w:r>
      <w:r w:rsidR="00DA6B84" w:rsidRPr="00561F65">
        <w:t>, L.</w:t>
      </w:r>
      <w:r w:rsidR="00E328B0">
        <w:t> </w:t>
      </w:r>
      <w:r w:rsidR="00DA6B84" w:rsidRPr="00561F65">
        <w:rPr>
          <w:smallCaps/>
        </w:rPr>
        <w:t>Chamberland</w:t>
      </w:r>
      <w:r w:rsidR="00DA6B84" w:rsidRPr="00561F65">
        <w:t>, M.</w:t>
      </w:r>
      <w:r w:rsidR="00BC48F0">
        <w:t> </w:t>
      </w:r>
      <w:r w:rsidR="00DA6B84" w:rsidRPr="00561F65">
        <w:rPr>
          <w:smallCaps/>
        </w:rPr>
        <w:t>Baiocco</w:t>
      </w:r>
      <w:r w:rsidR="00DA6B84" w:rsidRPr="00561F65">
        <w:t xml:space="preserve"> et M.</w:t>
      </w:r>
      <w:r w:rsidR="00BC48F0">
        <w:t> </w:t>
      </w:r>
      <w:r w:rsidR="00DA6B84" w:rsidRPr="00561F65">
        <w:rPr>
          <w:smallCaps/>
        </w:rPr>
        <w:t>Samoilenko</w:t>
      </w:r>
      <w:r w:rsidR="00DA6B84" w:rsidRPr="00561F65">
        <w:t xml:space="preserve">, </w:t>
      </w:r>
      <w:proofErr w:type="spellStart"/>
      <w:r w:rsidR="00DA6B84" w:rsidRPr="00561F65">
        <w:t>préc</w:t>
      </w:r>
      <w:proofErr w:type="spellEnd"/>
      <w:r w:rsidR="00DA6B84" w:rsidRPr="00561F65">
        <w:t xml:space="preserve">., note </w:t>
      </w:r>
      <w:r w:rsidR="00DA6B84" w:rsidRPr="00561F65">
        <w:fldChar w:fldCharType="begin"/>
      </w:r>
      <w:r w:rsidR="00DA6B84" w:rsidRPr="00561F65">
        <w:instrText xml:space="preserve"> NOTEREF _Ref216856817 \h </w:instrText>
      </w:r>
      <w:r w:rsidR="007017CF" w:rsidRPr="00561F65">
        <w:instrText xml:space="preserve"> \* MERGEFORMAT </w:instrText>
      </w:r>
      <w:r w:rsidR="00DA6B84" w:rsidRPr="00561F65">
        <w:fldChar w:fldCharType="separate"/>
      </w:r>
      <w:r w:rsidR="000374E3" w:rsidRPr="00561F65">
        <w:t>49</w:t>
      </w:r>
      <w:r w:rsidR="00DA6B84" w:rsidRPr="00561F65">
        <w:fldChar w:fldCharType="end"/>
      </w:r>
      <w:r w:rsidRPr="00561F65">
        <w:t>, p. 19.</w:t>
      </w:r>
    </w:p>
  </w:footnote>
  <w:footnote w:id="226">
    <w:p w14:paraId="1C21BE0D" w14:textId="0C40CA96" w:rsidR="00671271" w:rsidRPr="00561F65" w:rsidRDefault="00671271" w:rsidP="004E4354">
      <w:pPr>
        <w:pStyle w:val="NotesBasPage"/>
      </w:pPr>
      <w:r w:rsidRPr="00561F65">
        <w:rPr>
          <w:rStyle w:val="Appelnotedebasdep"/>
        </w:rPr>
        <w:footnoteRef/>
      </w:r>
      <w:r w:rsidRPr="00561F65">
        <w:t xml:space="preserve"> </w:t>
      </w:r>
      <w:r w:rsidRPr="00561F65">
        <w:tab/>
      </w:r>
      <w:r w:rsidR="00FC61E5" w:rsidRPr="00561F65">
        <w:rPr>
          <w:smallCaps/>
        </w:rPr>
        <w:t>Gouvernement</w:t>
      </w:r>
      <w:r w:rsidRPr="00561F65">
        <w:rPr>
          <w:smallCaps/>
        </w:rPr>
        <w:t xml:space="preserve"> du Québec</w:t>
      </w:r>
      <w:r w:rsidRPr="00561F65">
        <w:t>, «</w:t>
      </w:r>
      <w:r w:rsidR="00AB4C13" w:rsidRPr="00561F65">
        <w:rPr>
          <w:rFonts w:ascii="Arial" w:hAnsi="Arial" w:cs="Arial"/>
        </w:rPr>
        <w:t> </w:t>
      </w:r>
      <w:r w:rsidRPr="00561F65">
        <w:t>Personnes de minorités sexuelles et de genre</w:t>
      </w:r>
      <w:r w:rsidR="00AB4C13" w:rsidRPr="00561F65">
        <w:rPr>
          <w:rFonts w:ascii="Arial" w:hAnsi="Arial" w:cs="Arial"/>
        </w:rPr>
        <w:t> </w:t>
      </w:r>
      <w:r w:rsidRPr="00561F65">
        <w:t xml:space="preserve">», 2024, [En ligne]. </w:t>
      </w:r>
      <w:hyperlink r:id="rId112" w:history="1">
        <w:r w:rsidRPr="0061770B">
          <w:rPr>
            <w:rStyle w:val="Lienhypertexte"/>
          </w:rPr>
          <w:t>https://statistique.quebec.ca/vitrine/egalite/dimensions-egalite/demographie/personnes-minorites-sexuelles-et-genre</w:t>
        </w:r>
      </w:hyperlink>
    </w:p>
  </w:footnote>
  <w:footnote w:id="227">
    <w:p w14:paraId="13ECCDFF" w14:textId="1AB20F55" w:rsidR="00671271" w:rsidRPr="00561F65" w:rsidRDefault="00671271" w:rsidP="004E4354">
      <w:pPr>
        <w:pStyle w:val="NotesBasPage"/>
      </w:pPr>
      <w:r w:rsidRPr="00561F65">
        <w:rPr>
          <w:rStyle w:val="Appelnotedebasdep"/>
        </w:rPr>
        <w:footnoteRef/>
      </w:r>
      <w:r w:rsidRPr="00561F65">
        <w:t xml:space="preserve"> </w:t>
      </w:r>
      <w:r w:rsidRPr="00561F65">
        <w:tab/>
      </w:r>
      <w:r w:rsidRPr="00561F65">
        <w:rPr>
          <w:smallCaps/>
        </w:rPr>
        <w:t>Statistique Canada</w:t>
      </w:r>
      <w:r w:rsidRPr="00561F65">
        <w:t>.</w:t>
      </w:r>
      <w:r w:rsidR="00F93EB4" w:rsidRPr="00561F65">
        <w:t xml:space="preserve"> </w:t>
      </w:r>
      <w:r w:rsidRPr="00561F65">
        <w:rPr>
          <w:i/>
        </w:rPr>
        <w:t>Tableau 98-10-0036-01 Grands groupes d’âge et genre</w:t>
      </w:r>
      <w:r w:rsidR="00F01F5E" w:rsidRPr="00561F65">
        <w:rPr>
          <w:i/>
        </w:rPr>
        <w:t> </w:t>
      </w:r>
      <w:r w:rsidRPr="00561F65">
        <w:rPr>
          <w:i/>
        </w:rPr>
        <w:t>: Canada, provinces et territoires</w:t>
      </w:r>
      <w:r w:rsidRPr="00561F65">
        <w:t xml:space="preserve">, </w:t>
      </w:r>
      <w:r w:rsidR="0002513E" w:rsidRPr="00561F65">
        <w:t xml:space="preserve">[En ligne]. </w:t>
      </w:r>
      <w:hyperlink r:id="rId113" w:history="1">
        <w:r w:rsidR="006F4DE2" w:rsidRPr="007912CF">
          <w:rPr>
            <w:rStyle w:val="Lienhypertexte"/>
          </w:rPr>
          <w:t>https://www150.statcan.gc.ca/t1/tbl1/fr/tv.action?pid=9810003601</w:t>
        </w:r>
      </w:hyperlink>
      <w:r w:rsidRPr="00561F65">
        <w:t>Des données genrées sur la participation des personnes trans et non binaires au marché du travail ne sont pas disponibles.</w:t>
      </w:r>
    </w:p>
  </w:footnote>
  <w:footnote w:id="228">
    <w:p w14:paraId="7EA767C1" w14:textId="4F000562" w:rsidR="00671271" w:rsidRPr="00561F65" w:rsidRDefault="00671271" w:rsidP="004E4354">
      <w:pPr>
        <w:pStyle w:val="NotesBasPage"/>
      </w:pPr>
      <w:r w:rsidRPr="00561F65">
        <w:rPr>
          <w:rStyle w:val="Appelnotedebasdep"/>
        </w:rPr>
        <w:footnoteRef/>
      </w:r>
      <w:r w:rsidRPr="00561F65">
        <w:t xml:space="preserve"> </w:t>
      </w:r>
      <w:r w:rsidRPr="00561F65">
        <w:tab/>
      </w:r>
      <w:r w:rsidR="00EA43AF" w:rsidRPr="00A5160A">
        <w:rPr>
          <w:smallCaps/>
        </w:rPr>
        <w:t>Chaire de recherche sur la diversité sexuelle et la pluralité des genres</w:t>
      </w:r>
      <w:r w:rsidR="00EA43AF" w:rsidRPr="00561F65">
        <w:t xml:space="preserve">, </w:t>
      </w:r>
      <w:proofErr w:type="spellStart"/>
      <w:r w:rsidR="00EA43AF" w:rsidRPr="00561F65">
        <w:t>préc</w:t>
      </w:r>
      <w:proofErr w:type="spellEnd"/>
      <w:r w:rsidR="00EA43AF" w:rsidRPr="00561F65">
        <w:t xml:space="preserve">., note </w:t>
      </w:r>
      <w:r w:rsidR="00EA43AF" w:rsidRPr="00561F65">
        <w:fldChar w:fldCharType="begin"/>
      </w:r>
      <w:r w:rsidR="00EA43AF" w:rsidRPr="00561F65">
        <w:instrText xml:space="preserve"> NOTEREF _Ref218500043 \h  \* MERGEFORMAT </w:instrText>
      </w:r>
      <w:r w:rsidR="00EA43AF" w:rsidRPr="00561F65">
        <w:fldChar w:fldCharType="separate"/>
      </w:r>
      <w:r w:rsidR="000374E3" w:rsidRPr="00561F65">
        <w:t>13</w:t>
      </w:r>
      <w:r w:rsidR="00EA43AF" w:rsidRPr="00561F65">
        <w:fldChar w:fldCharType="end"/>
      </w:r>
      <w:r w:rsidR="007929DD" w:rsidRPr="00561F65">
        <w:t>.</w:t>
      </w:r>
    </w:p>
  </w:footnote>
  <w:footnote w:id="229">
    <w:p w14:paraId="77445930" w14:textId="5109A8A2" w:rsidR="00671271" w:rsidRPr="00561F65" w:rsidRDefault="00671271" w:rsidP="004E4354">
      <w:pPr>
        <w:pStyle w:val="NotesBasPage"/>
      </w:pPr>
      <w:r w:rsidRPr="00561F65">
        <w:rPr>
          <w:rStyle w:val="Appelnotedebasdep"/>
        </w:rPr>
        <w:footnoteRef/>
      </w:r>
      <w:r w:rsidRPr="00561F65">
        <w:t xml:space="preserve"> </w:t>
      </w:r>
      <w:r w:rsidRPr="00561F65">
        <w:tab/>
      </w:r>
      <w:r w:rsidRPr="00561F65">
        <w:rPr>
          <w:smallCaps/>
        </w:rPr>
        <w:t>Commission des droits de la personne et des droits de la jeunesse</w:t>
      </w:r>
      <w:r w:rsidRPr="00561F65">
        <w:t xml:space="preserve">, </w:t>
      </w:r>
      <w:proofErr w:type="spellStart"/>
      <w:r w:rsidR="00770DAE" w:rsidRPr="00561F65">
        <w:t>pré</w:t>
      </w:r>
      <w:r w:rsidR="00774169" w:rsidRPr="00561F65">
        <w:t>c</w:t>
      </w:r>
      <w:proofErr w:type="spellEnd"/>
      <w:r w:rsidR="00774169" w:rsidRPr="00561F65">
        <w:t xml:space="preserve">., note </w:t>
      </w:r>
      <w:r w:rsidR="00770DAE" w:rsidRPr="00561F65">
        <w:fldChar w:fldCharType="begin"/>
      </w:r>
      <w:r w:rsidR="00770DAE" w:rsidRPr="00561F65">
        <w:instrText xml:space="preserve"> NOTEREF _Ref219195115 \h </w:instrText>
      </w:r>
      <w:r w:rsidR="007017CF" w:rsidRPr="00561F65">
        <w:instrText xml:space="preserve"> \* MERGEFORMAT </w:instrText>
      </w:r>
      <w:r w:rsidR="00770DAE" w:rsidRPr="00561F65">
        <w:fldChar w:fldCharType="separate"/>
      </w:r>
      <w:r w:rsidR="000374E3" w:rsidRPr="00561F65">
        <w:t>34</w:t>
      </w:r>
      <w:r w:rsidR="00770DAE" w:rsidRPr="00561F65">
        <w:fldChar w:fldCharType="end"/>
      </w:r>
      <w:r w:rsidR="00770DAE" w:rsidRPr="00561F65">
        <w:t>, p. 14-17.</w:t>
      </w:r>
    </w:p>
  </w:footnote>
  <w:footnote w:id="230">
    <w:p w14:paraId="141E6CDE" w14:textId="1781B7A0" w:rsidR="00671271" w:rsidRPr="00561F65" w:rsidRDefault="00671271" w:rsidP="004E4354">
      <w:pPr>
        <w:pStyle w:val="NotesBasPage"/>
      </w:pPr>
      <w:r w:rsidRPr="00561F65">
        <w:rPr>
          <w:rStyle w:val="Appelnotedebasdep"/>
        </w:rPr>
        <w:footnoteRef/>
      </w:r>
      <w:r w:rsidRPr="00561F65">
        <w:t xml:space="preserve"> </w:t>
      </w:r>
      <w:r w:rsidRPr="00561F65">
        <w:tab/>
        <w:t>EGALE</w:t>
      </w:r>
      <w:r w:rsidR="0084139E" w:rsidRPr="0084139E">
        <w:t xml:space="preserve">, </w:t>
      </w:r>
      <w:proofErr w:type="spellStart"/>
      <w:r w:rsidR="0084139E" w:rsidRPr="0084139E">
        <w:t>préc</w:t>
      </w:r>
      <w:proofErr w:type="spellEnd"/>
      <w:r w:rsidR="0084139E" w:rsidRPr="0084139E">
        <w:t xml:space="preserve">., note </w:t>
      </w:r>
      <w:r w:rsidR="0084139E" w:rsidRPr="00561F65">
        <w:fldChar w:fldCharType="begin"/>
      </w:r>
      <w:r w:rsidR="0084139E" w:rsidRPr="0084139E">
        <w:instrText xml:space="preserve"> NOTEREF _Ref218503799 \h  \* MERGEFORMAT </w:instrText>
      </w:r>
      <w:r w:rsidR="0084139E" w:rsidRPr="00561F65">
        <w:fldChar w:fldCharType="separate"/>
      </w:r>
      <w:r w:rsidR="0084139E">
        <w:t>64</w:t>
      </w:r>
      <w:r w:rsidR="0084139E" w:rsidRPr="00561F65">
        <w:fldChar w:fldCharType="end"/>
      </w:r>
      <w:r w:rsidRPr="0084139E">
        <w:t>,</w:t>
      </w:r>
      <w:r w:rsidRPr="00561F65">
        <w:t xml:space="preserve"> p.</w:t>
      </w:r>
      <w:r w:rsidR="005C5B01" w:rsidRPr="00561F65">
        <w:t> </w:t>
      </w:r>
      <w:r w:rsidRPr="00561F65">
        <w:t>32</w:t>
      </w:r>
      <w:r w:rsidR="0084139E" w:rsidRPr="0084139E">
        <w:t>.</w:t>
      </w:r>
    </w:p>
  </w:footnote>
  <w:footnote w:id="231">
    <w:p w14:paraId="620120A0" w14:textId="2DD5CE10" w:rsidR="00656BC1" w:rsidRPr="00561F65" w:rsidRDefault="00656BC1" w:rsidP="004E4354">
      <w:pPr>
        <w:pStyle w:val="NotesBasPage"/>
      </w:pPr>
      <w:r w:rsidRPr="00561F65">
        <w:rPr>
          <w:rStyle w:val="Appelnotedebasdep"/>
        </w:rPr>
        <w:footnoteRef/>
      </w:r>
      <w:r w:rsidRPr="00561F65">
        <w:t xml:space="preserve"> </w:t>
      </w:r>
      <w:r w:rsidRPr="00561F65">
        <w:tab/>
        <w:t xml:space="preserve">Florence </w:t>
      </w:r>
      <w:r w:rsidRPr="00561F65">
        <w:rPr>
          <w:smallCaps/>
        </w:rPr>
        <w:t>Ashley</w:t>
      </w:r>
      <w:r w:rsidRPr="00561F65">
        <w:t>, « L’In/visibilité constitutive du sujet trans</w:t>
      </w:r>
      <w:r w:rsidR="00F01F5E" w:rsidRPr="00561F65">
        <w:rPr>
          <w:rFonts w:ascii="Arial" w:hAnsi="Arial" w:cs="Arial"/>
        </w:rPr>
        <w:t> </w:t>
      </w:r>
      <w:r w:rsidRPr="00561F65">
        <w:t>: l</w:t>
      </w:r>
      <w:r w:rsidRPr="00561F65">
        <w:rPr>
          <w:rFonts w:cs="Aptos"/>
        </w:rPr>
        <w:t>’</w:t>
      </w:r>
      <w:r w:rsidRPr="00561F65">
        <w:t>exemple du droit qu</w:t>
      </w:r>
      <w:r w:rsidRPr="00561F65">
        <w:rPr>
          <w:rFonts w:cs="Aptos"/>
        </w:rPr>
        <w:t>é</w:t>
      </w:r>
      <w:r w:rsidRPr="00561F65">
        <w:t>b</w:t>
      </w:r>
      <w:r w:rsidRPr="00561F65">
        <w:rPr>
          <w:rFonts w:cs="Aptos"/>
        </w:rPr>
        <w:t>é</w:t>
      </w:r>
      <w:r w:rsidRPr="00561F65">
        <w:t>cois</w:t>
      </w:r>
      <w:r w:rsidRPr="00561F65">
        <w:rPr>
          <w:rFonts w:cs="Aptos"/>
        </w:rPr>
        <w:t> »</w:t>
      </w:r>
      <w:r w:rsidRPr="00561F65">
        <w:t xml:space="preserve">, (2020) 35-2 </w:t>
      </w:r>
      <w:r w:rsidRPr="00561F65">
        <w:rPr>
          <w:i/>
        </w:rPr>
        <w:t>Canadian Journal of Law and Society / Revue Canadienne Droit et Société</w:t>
      </w:r>
      <w:r w:rsidR="005C5B01" w:rsidRPr="00561F65">
        <w:t> </w:t>
      </w:r>
      <w:r w:rsidRPr="00561F65">
        <w:t>317</w:t>
      </w:r>
      <w:r w:rsidRPr="00561F65">
        <w:noBreakHyphen/>
        <w:t>340,</w:t>
      </w:r>
      <w:r w:rsidR="00DF30B3" w:rsidRPr="00DF30B3">
        <w:t xml:space="preserve"> </w:t>
      </w:r>
      <w:hyperlink r:id="rId114" w:history="1">
        <w:r w:rsidR="00DF30B3" w:rsidRPr="00827038">
          <w:rPr>
            <w:rStyle w:val="Lienhypertexte"/>
          </w:rPr>
          <w:t>https://doi.org/10.1017/cls.2020.16</w:t>
        </w:r>
      </w:hyperlink>
      <w:r w:rsidR="00DF30B3">
        <w:t xml:space="preserve"> </w:t>
      </w:r>
      <w:r w:rsidRPr="00561F65">
        <w:t>[renvois omis].</w:t>
      </w:r>
    </w:p>
  </w:footnote>
  <w:footnote w:id="232">
    <w:p w14:paraId="02F5C798" w14:textId="27A92111" w:rsidR="008911FD" w:rsidRPr="00561F65" w:rsidRDefault="008911FD" w:rsidP="004E4354">
      <w:pPr>
        <w:pStyle w:val="NotesBasPage"/>
      </w:pPr>
      <w:r w:rsidRPr="00561F65">
        <w:rPr>
          <w:rStyle w:val="Appelnotedebasdep"/>
        </w:rPr>
        <w:footnoteRef/>
      </w:r>
      <w:r w:rsidRPr="00561F65">
        <w:t xml:space="preserve"> </w:t>
      </w:r>
      <w:r w:rsidRPr="00561F65">
        <w:tab/>
      </w:r>
      <w:r w:rsidR="007B7346" w:rsidRPr="00303DD8">
        <w:rPr>
          <w:smallCaps/>
        </w:rPr>
        <w:t>Emploi et Développement social Canada</w:t>
      </w:r>
      <w:r w:rsidRPr="00067A57">
        <w:rPr>
          <w:i/>
          <w:iCs/>
        </w:rPr>
        <w:t>, Réaliser et soutenir l’équité en matière d’emploi</w:t>
      </w:r>
      <w:r w:rsidR="00F01F5E" w:rsidRPr="00067A57">
        <w:rPr>
          <w:i/>
          <w:iCs/>
        </w:rPr>
        <w:t> </w:t>
      </w:r>
      <w:r w:rsidRPr="00067A57">
        <w:rPr>
          <w:i/>
          <w:iCs/>
        </w:rPr>
        <w:t>: un cadre transformatif – Rapport du Groupe de travail sur l’examen de la Loi sur l’équité en matière d’emploi</w:t>
      </w:r>
      <w:r w:rsidRPr="00561F65">
        <w:t>,</w:t>
      </w:r>
      <w:r w:rsidR="007B7346" w:rsidRPr="00561F65">
        <w:t xml:space="preserve"> Adelle </w:t>
      </w:r>
      <w:r w:rsidR="007B7346" w:rsidRPr="00561F65">
        <w:rPr>
          <w:smallCaps/>
        </w:rPr>
        <w:t>Blackett,</w:t>
      </w:r>
      <w:r w:rsidRPr="00561F65">
        <w:t xml:space="preserve"> 2023, p.</w:t>
      </w:r>
      <w:r w:rsidR="005C5B01" w:rsidRPr="00561F65">
        <w:t> </w:t>
      </w:r>
      <w:r w:rsidRPr="00561F65">
        <w:t>178, [En ligne]</w:t>
      </w:r>
      <w:r w:rsidR="00522B7D" w:rsidRPr="00522B7D">
        <w:t xml:space="preserve"> </w:t>
      </w:r>
      <w:hyperlink r:id="rId115" w:history="1">
        <w:r w:rsidR="00522B7D" w:rsidRPr="00E058E4">
          <w:rPr>
            <w:rStyle w:val="Lienhypertexte"/>
          </w:rPr>
          <w:t>https://www.canada.ca/fr/emploi-developpement-social/ministere/portefeuille/travail/programmes/equite-emploi/rapports/groupe-examen-loi.html</w:t>
        </w:r>
      </w:hyperlink>
      <w:r w:rsidRPr="00561F65">
        <w:t>.</w:t>
      </w:r>
      <w:r w:rsidR="00CF3F3A">
        <w:t xml:space="preserve"> </w:t>
      </w:r>
      <w:r w:rsidRPr="00561F65">
        <w:t xml:space="preserve"> </w:t>
      </w:r>
    </w:p>
  </w:footnote>
  <w:footnote w:id="233">
    <w:p w14:paraId="29F6CB17" w14:textId="3699581E" w:rsidR="008911FD" w:rsidRPr="00302D72" w:rsidRDefault="008911FD" w:rsidP="004E4354">
      <w:pPr>
        <w:pStyle w:val="NotesBasPage"/>
        <w:rPr>
          <w:lang w:val="en-CA"/>
        </w:rPr>
      </w:pPr>
      <w:r w:rsidRPr="00561F65">
        <w:rPr>
          <w:rStyle w:val="Appelnotedebasdep"/>
        </w:rPr>
        <w:footnoteRef/>
      </w:r>
      <w:r w:rsidRPr="00302D72">
        <w:rPr>
          <w:lang w:val="en-CA"/>
        </w:rPr>
        <w:t xml:space="preserve"> </w:t>
      </w:r>
      <w:r w:rsidRPr="00302D72">
        <w:rPr>
          <w:lang w:val="en-CA"/>
        </w:rPr>
        <w:tab/>
      </w:r>
      <w:proofErr w:type="spellStart"/>
      <w:r w:rsidRPr="00302D72">
        <w:rPr>
          <w:smallCaps/>
          <w:lang w:val="en-CA"/>
        </w:rPr>
        <w:t>Statistique</w:t>
      </w:r>
      <w:proofErr w:type="spellEnd"/>
      <w:r w:rsidRPr="00302D72">
        <w:rPr>
          <w:smallCaps/>
          <w:lang w:val="en-CA"/>
        </w:rPr>
        <w:t xml:space="preserve"> Canada</w:t>
      </w:r>
      <w:r w:rsidRPr="00302D72">
        <w:rPr>
          <w:lang w:val="en-CA"/>
        </w:rPr>
        <w:t xml:space="preserve">, </w:t>
      </w:r>
      <w:proofErr w:type="spellStart"/>
      <w:r w:rsidR="00266C79" w:rsidRPr="00302D72">
        <w:rPr>
          <w:lang w:val="en-CA"/>
        </w:rPr>
        <w:t>préc</w:t>
      </w:r>
      <w:proofErr w:type="spellEnd"/>
      <w:r w:rsidR="00266C79" w:rsidRPr="00302D72">
        <w:rPr>
          <w:lang w:val="en-CA"/>
        </w:rPr>
        <w:t xml:space="preserve">., note </w:t>
      </w:r>
      <w:r w:rsidR="00266C79">
        <w:fldChar w:fldCharType="begin"/>
      </w:r>
      <w:r w:rsidR="00266C79" w:rsidRPr="00302D72">
        <w:rPr>
          <w:lang w:val="en-CA"/>
        </w:rPr>
        <w:instrText xml:space="preserve"> NOTEREF _Ref229144645 \h </w:instrText>
      </w:r>
      <w:r w:rsidR="004E4354" w:rsidRPr="00302D72">
        <w:rPr>
          <w:lang w:val="en-CA"/>
        </w:rPr>
        <w:instrText xml:space="preserve"> \* MERGEFORMAT </w:instrText>
      </w:r>
      <w:r w:rsidR="00266C79">
        <w:fldChar w:fldCharType="separate"/>
      </w:r>
      <w:r w:rsidR="00266C79" w:rsidRPr="00302D72">
        <w:rPr>
          <w:lang w:val="en-CA"/>
        </w:rPr>
        <w:t>121</w:t>
      </w:r>
      <w:r w:rsidR="00266C79">
        <w:fldChar w:fldCharType="end"/>
      </w:r>
      <w:r w:rsidR="00266C79" w:rsidRPr="00302D72">
        <w:rPr>
          <w:lang w:val="en-CA"/>
        </w:rPr>
        <w:t>.</w:t>
      </w:r>
    </w:p>
  </w:footnote>
  <w:footnote w:id="234">
    <w:p w14:paraId="7866DDC9" w14:textId="01A0A924" w:rsidR="00675B65" w:rsidRPr="007567E3" w:rsidRDefault="008911FD" w:rsidP="004E4354">
      <w:pPr>
        <w:pStyle w:val="NotesBasPage"/>
      </w:pPr>
      <w:r w:rsidRPr="00561F65">
        <w:rPr>
          <w:rStyle w:val="Appelnotedebasdep"/>
        </w:rPr>
        <w:footnoteRef/>
      </w:r>
      <w:r w:rsidRPr="00561F65">
        <w:rPr>
          <w:lang w:val="en-CA"/>
        </w:rPr>
        <w:t xml:space="preserve"> </w:t>
      </w:r>
      <w:r w:rsidRPr="00561F65">
        <w:rPr>
          <w:lang w:val="en-CA"/>
        </w:rPr>
        <w:tab/>
      </w:r>
      <w:r w:rsidR="000D60B2" w:rsidRPr="00561F65">
        <w:rPr>
          <w:lang w:val="en-CA"/>
        </w:rPr>
        <w:t xml:space="preserve">Stephanie L </w:t>
      </w:r>
      <w:r w:rsidRPr="00561F65">
        <w:rPr>
          <w:smallCaps/>
          <w:lang w:val="en-CA"/>
        </w:rPr>
        <w:t>Budge</w:t>
      </w:r>
      <w:r w:rsidRPr="00561F65">
        <w:rPr>
          <w:lang w:val="en-CA"/>
        </w:rPr>
        <w:t xml:space="preserve">, Esther N </w:t>
      </w:r>
      <w:r w:rsidRPr="00561F65">
        <w:rPr>
          <w:smallCaps/>
          <w:lang w:val="en-CA"/>
        </w:rPr>
        <w:t>Tebbe</w:t>
      </w:r>
      <w:r w:rsidRPr="00561F65">
        <w:rPr>
          <w:lang w:val="en-CA"/>
        </w:rPr>
        <w:t xml:space="preserve"> &amp; Kimberly A S</w:t>
      </w:r>
      <w:r w:rsidR="00135B4F">
        <w:rPr>
          <w:lang w:val="en-CA"/>
        </w:rPr>
        <w:t> </w:t>
      </w:r>
      <w:r w:rsidRPr="00561F65">
        <w:rPr>
          <w:smallCaps/>
          <w:lang w:val="en-CA"/>
        </w:rPr>
        <w:t>Howard</w:t>
      </w:r>
      <w:r w:rsidRPr="00561F65">
        <w:rPr>
          <w:lang w:val="en-CA"/>
        </w:rPr>
        <w:t xml:space="preserve">, « The work experiences of transgender individuals: Negotiating the transition and career decision-making processes » (2010) 57:4 </w:t>
      </w:r>
      <w:r w:rsidRPr="00561F65">
        <w:rPr>
          <w:i/>
          <w:lang w:val="en-CA"/>
        </w:rPr>
        <w:t>Journal of Counseling Psychology</w:t>
      </w:r>
      <w:r w:rsidR="00AB1B44">
        <w:rPr>
          <w:lang w:val="en-CA"/>
        </w:rPr>
        <w:t> </w:t>
      </w:r>
      <w:r w:rsidRPr="00561F65">
        <w:rPr>
          <w:lang w:val="en-CA"/>
        </w:rPr>
        <w:t>377</w:t>
      </w:r>
      <w:r w:rsidRPr="00561F65">
        <w:rPr>
          <w:lang w:val="en-CA"/>
        </w:rPr>
        <w:noBreakHyphen/>
        <w:t xml:space="preserve">393; EGALE, </w:t>
      </w:r>
      <w:r w:rsidRPr="00561F65">
        <w:rPr>
          <w:i/>
          <w:lang w:val="en-CA"/>
        </w:rPr>
        <w:t>LGBTQI2S Workplace Inclusion: Literature Review</w:t>
      </w:r>
      <w:r w:rsidRPr="00561F65">
        <w:rPr>
          <w:lang w:val="en-CA"/>
        </w:rPr>
        <w:t xml:space="preserve">, 2020, p. 18-20, [En </w:t>
      </w:r>
      <w:proofErr w:type="spellStart"/>
      <w:r w:rsidRPr="00561F65">
        <w:rPr>
          <w:lang w:val="en-CA"/>
        </w:rPr>
        <w:t>ligne</w:t>
      </w:r>
      <w:proofErr w:type="spellEnd"/>
      <w:r w:rsidRPr="00561F65">
        <w:rPr>
          <w:lang w:val="en-CA"/>
        </w:rPr>
        <w:t xml:space="preserve">]. </w:t>
      </w:r>
      <w:hyperlink r:id="rId116" w:history="1">
        <w:r w:rsidR="00675B65" w:rsidRPr="007567E3">
          <w:rPr>
            <w:rStyle w:val="Lienhypertexte"/>
          </w:rPr>
          <w:t>https://egale.ca/awareness/workplace-literature-review/</w:t>
        </w:r>
      </w:hyperlink>
    </w:p>
  </w:footnote>
  <w:footnote w:id="235">
    <w:p w14:paraId="76260EC2" w14:textId="33D63A8F" w:rsidR="008911FD" w:rsidRPr="00561F65" w:rsidRDefault="008911FD" w:rsidP="004E4354">
      <w:pPr>
        <w:pStyle w:val="NotesBasPage"/>
      </w:pPr>
      <w:r w:rsidRPr="00561F65">
        <w:rPr>
          <w:rStyle w:val="Appelnotedebasdep"/>
        </w:rPr>
        <w:footnoteRef/>
      </w:r>
      <w:r w:rsidRPr="00561F65">
        <w:t xml:space="preserve"> </w:t>
      </w:r>
      <w:r w:rsidRPr="00561F65">
        <w:tab/>
      </w:r>
      <w:r w:rsidRPr="00561F65">
        <w:rPr>
          <w:smallCaps/>
        </w:rPr>
        <w:t>Statistique Canada</w:t>
      </w:r>
      <w:r w:rsidRPr="00561F65">
        <w:t xml:space="preserve">, </w:t>
      </w:r>
      <w:proofErr w:type="spellStart"/>
      <w:r w:rsidR="00BB669B" w:rsidRPr="00561F65">
        <w:t>préc</w:t>
      </w:r>
      <w:proofErr w:type="spellEnd"/>
      <w:r w:rsidR="00BB669B" w:rsidRPr="00561F65">
        <w:t>.,</w:t>
      </w:r>
      <w:r w:rsidR="006949B1" w:rsidRPr="00561F65">
        <w:t xml:space="preserve"> note</w:t>
      </w:r>
      <w:r w:rsidR="009519FF">
        <w:t xml:space="preserve"> </w:t>
      </w:r>
      <w:r w:rsidR="009519FF">
        <w:fldChar w:fldCharType="begin"/>
      </w:r>
      <w:r w:rsidR="009519FF">
        <w:instrText xml:space="preserve"> NOTEREF _Ref229144645 \h </w:instrText>
      </w:r>
      <w:r w:rsidR="004E4354">
        <w:instrText xml:space="preserve"> \* MERGEFORMAT </w:instrText>
      </w:r>
      <w:r w:rsidR="009519FF">
        <w:fldChar w:fldCharType="separate"/>
      </w:r>
      <w:r w:rsidR="009519FF">
        <w:t>121</w:t>
      </w:r>
      <w:r w:rsidR="009519FF">
        <w:fldChar w:fldCharType="end"/>
      </w:r>
      <w:r w:rsidR="006949B1" w:rsidRPr="00561F65">
        <w:t>.</w:t>
      </w:r>
      <w:r w:rsidRPr="00561F65">
        <w:t xml:space="preserve"> </w:t>
      </w:r>
    </w:p>
  </w:footnote>
  <w:footnote w:id="236">
    <w:p w14:paraId="2D112EF9" w14:textId="1AF29D1E" w:rsidR="008911FD" w:rsidRPr="00561F65" w:rsidRDefault="008911FD" w:rsidP="004E4354">
      <w:pPr>
        <w:pStyle w:val="NotesBasPage"/>
      </w:pPr>
      <w:r w:rsidRPr="00561F65">
        <w:rPr>
          <w:rStyle w:val="Appelnotedebasdep"/>
        </w:rPr>
        <w:footnoteRef/>
      </w:r>
      <w:r w:rsidRPr="00561F65">
        <w:t xml:space="preserve"> </w:t>
      </w:r>
      <w:r w:rsidRPr="00561F65">
        <w:tab/>
        <w:t>Voir section</w:t>
      </w:r>
      <w:r w:rsidR="005C5B01" w:rsidRPr="00561F65">
        <w:t> </w:t>
      </w:r>
      <w:r w:rsidRPr="00561F65">
        <w:t>3.5</w:t>
      </w:r>
      <w:r w:rsidR="00F17D4F">
        <w:t xml:space="preserve"> du présent rapport.</w:t>
      </w:r>
    </w:p>
  </w:footnote>
  <w:footnote w:id="237">
    <w:p w14:paraId="0743E219" w14:textId="3C915A9D" w:rsidR="008911FD" w:rsidRPr="00561F65" w:rsidRDefault="008911FD" w:rsidP="004E4354">
      <w:pPr>
        <w:pStyle w:val="NotesBasPage"/>
      </w:pPr>
      <w:r w:rsidRPr="00561F65">
        <w:rPr>
          <w:rStyle w:val="Appelnotedebasdep"/>
        </w:rPr>
        <w:footnoteRef/>
      </w:r>
      <w:r w:rsidRPr="00561F65">
        <w:t xml:space="preserve"> </w:t>
      </w:r>
      <w:r w:rsidRPr="00561F65">
        <w:tab/>
      </w:r>
      <w:r w:rsidRPr="00561F65">
        <w:rPr>
          <w:smallCaps/>
        </w:rPr>
        <w:t>Statistique Canada</w:t>
      </w:r>
      <w:r w:rsidRPr="00561F65">
        <w:t xml:space="preserve">, </w:t>
      </w:r>
      <w:proofErr w:type="spellStart"/>
      <w:r w:rsidR="006949B1" w:rsidRPr="00561F65">
        <w:t>préc</w:t>
      </w:r>
      <w:proofErr w:type="spellEnd"/>
      <w:r w:rsidR="006949B1" w:rsidRPr="00561F65">
        <w:t>.</w:t>
      </w:r>
      <w:r w:rsidR="000834AA" w:rsidRPr="00561F65">
        <w:t>, note</w:t>
      </w:r>
      <w:r w:rsidR="009519FF">
        <w:t xml:space="preserve"> </w:t>
      </w:r>
      <w:r w:rsidR="009519FF">
        <w:fldChar w:fldCharType="begin"/>
      </w:r>
      <w:r w:rsidR="009519FF">
        <w:instrText xml:space="preserve"> NOTEREF _Ref229144645 \h </w:instrText>
      </w:r>
      <w:r w:rsidR="004E4354">
        <w:instrText xml:space="preserve"> \* MERGEFORMAT </w:instrText>
      </w:r>
      <w:r w:rsidR="009519FF">
        <w:fldChar w:fldCharType="separate"/>
      </w:r>
      <w:r w:rsidR="009519FF">
        <w:t>121</w:t>
      </w:r>
      <w:r w:rsidR="009519FF">
        <w:fldChar w:fldCharType="end"/>
      </w:r>
      <w:r w:rsidR="000834AA" w:rsidRPr="00561F65">
        <w:t>.</w:t>
      </w:r>
      <w:r w:rsidRPr="00561F65">
        <w:t xml:space="preserve"> Statistique Canada prévient que ces données concernant les femmes lesbiennes et bisexuelles et les hommes gais doivent être utilisées avec prudence.</w:t>
      </w:r>
    </w:p>
  </w:footnote>
  <w:footnote w:id="238">
    <w:p w14:paraId="5245922D" w14:textId="4CD3E087" w:rsidR="008911FD" w:rsidRPr="00561F65" w:rsidRDefault="008911FD"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000834AA" w:rsidRPr="00561F65">
        <w:rPr>
          <w:i/>
          <w:lang w:val="en-CA"/>
        </w:rPr>
        <w:t>Id</w:t>
      </w:r>
      <w:r w:rsidR="000834AA" w:rsidRPr="00561F65">
        <w:rPr>
          <w:lang w:val="en-CA"/>
        </w:rPr>
        <w:t>.</w:t>
      </w:r>
    </w:p>
  </w:footnote>
  <w:footnote w:id="239">
    <w:p w14:paraId="5205B1EC" w14:textId="2F4E0AA2" w:rsidR="008911FD" w:rsidRPr="00561F65" w:rsidRDefault="008911FD" w:rsidP="004E4354">
      <w:pPr>
        <w:pStyle w:val="NotesBasPage"/>
        <w:rPr>
          <w:highlight w:val="yellow"/>
          <w:lang w:val="en-CA"/>
        </w:rPr>
      </w:pPr>
      <w:r w:rsidRPr="00561F65">
        <w:rPr>
          <w:rStyle w:val="Appelnotedebasdep"/>
        </w:rPr>
        <w:footnoteRef/>
      </w:r>
      <w:r w:rsidRPr="00561F65">
        <w:rPr>
          <w:lang w:val="en-CA"/>
        </w:rPr>
        <w:t xml:space="preserve"> </w:t>
      </w:r>
      <w:r w:rsidRPr="00561F65">
        <w:rPr>
          <w:lang w:val="en-CA"/>
        </w:rPr>
        <w:tab/>
        <w:t xml:space="preserve">Wendy </w:t>
      </w:r>
      <w:r w:rsidRPr="00561F65">
        <w:rPr>
          <w:smallCaps/>
          <w:lang w:val="en-CA"/>
        </w:rPr>
        <w:t>Cukier</w:t>
      </w:r>
      <w:r w:rsidRPr="00561F65">
        <w:rPr>
          <w:lang w:val="en-CA"/>
        </w:rPr>
        <w:t xml:space="preserve">, Andrew </w:t>
      </w:r>
      <w:r w:rsidRPr="00561F65">
        <w:rPr>
          <w:smallCaps/>
          <w:lang w:val="en-CA"/>
        </w:rPr>
        <w:t>Parkin</w:t>
      </w:r>
      <w:r w:rsidRPr="00561F65">
        <w:rPr>
          <w:lang w:val="en-CA"/>
        </w:rPr>
        <w:t xml:space="preserve">, Alyssa </w:t>
      </w:r>
      <w:r w:rsidRPr="00561F65">
        <w:rPr>
          <w:smallCaps/>
          <w:lang w:val="en-CA"/>
        </w:rPr>
        <w:t>Saiphoo</w:t>
      </w:r>
      <w:r w:rsidRPr="00561F65">
        <w:rPr>
          <w:lang w:val="en-CA"/>
        </w:rPr>
        <w:t xml:space="preserve">, Betina </w:t>
      </w:r>
      <w:proofErr w:type="spellStart"/>
      <w:r w:rsidRPr="00561F65">
        <w:rPr>
          <w:smallCaps/>
          <w:lang w:val="en-CA"/>
        </w:rPr>
        <w:t>Borova</w:t>
      </w:r>
      <w:proofErr w:type="spellEnd"/>
      <w:r w:rsidRPr="00561F65">
        <w:rPr>
          <w:lang w:val="en-CA"/>
        </w:rPr>
        <w:t xml:space="preserve"> et Matthew </w:t>
      </w:r>
      <w:r w:rsidRPr="00561F65">
        <w:rPr>
          <w:smallCaps/>
          <w:lang w:val="en-CA"/>
        </w:rPr>
        <w:t>Edwards</w:t>
      </w:r>
      <w:r w:rsidRPr="00561F65">
        <w:rPr>
          <w:lang w:val="en-CA"/>
        </w:rPr>
        <w:t xml:space="preserve">, </w:t>
      </w:r>
      <w:proofErr w:type="spellStart"/>
      <w:r w:rsidR="0040249F" w:rsidRPr="00561F65">
        <w:rPr>
          <w:lang w:val="en-CA"/>
        </w:rPr>
        <w:t>préc</w:t>
      </w:r>
      <w:proofErr w:type="spellEnd"/>
      <w:r w:rsidR="0040249F" w:rsidRPr="00561F65">
        <w:rPr>
          <w:lang w:val="en-CA"/>
        </w:rPr>
        <w:t>., note</w:t>
      </w:r>
      <w:r w:rsidR="00AB1B44">
        <w:rPr>
          <w:lang w:val="en-CA"/>
        </w:rPr>
        <w:t> </w:t>
      </w:r>
      <w:r w:rsidR="0040249F" w:rsidRPr="00561F65">
        <w:rPr>
          <w:iCs/>
        </w:rPr>
        <w:fldChar w:fldCharType="begin"/>
      </w:r>
      <w:r w:rsidR="0040249F" w:rsidRPr="00561F65">
        <w:rPr>
          <w:lang w:val="en-CA"/>
        </w:rPr>
        <w:instrText xml:space="preserve"> NOTEREF _Ref222322968 \h </w:instrText>
      </w:r>
      <w:r w:rsidR="004E4354" w:rsidRPr="004E4354">
        <w:rPr>
          <w:iCs/>
          <w:lang w:val="en-CA"/>
        </w:rPr>
        <w:instrText xml:space="preserve"> \* MERGEFORMAT </w:instrText>
      </w:r>
      <w:r w:rsidR="0040249F" w:rsidRPr="00561F65">
        <w:rPr>
          <w:iCs/>
        </w:rPr>
      </w:r>
      <w:r w:rsidR="0040249F" w:rsidRPr="00561F65">
        <w:rPr>
          <w:iCs/>
        </w:rPr>
        <w:fldChar w:fldCharType="separate"/>
      </w:r>
      <w:r w:rsidR="000374E3" w:rsidRPr="00561F65">
        <w:rPr>
          <w:lang w:val="en-CA"/>
        </w:rPr>
        <w:t>218</w:t>
      </w:r>
      <w:r w:rsidR="0040249F" w:rsidRPr="00561F65">
        <w:rPr>
          <w:iCs/>
        </w:rPr>
        <w:fldChar w:fldCharType="end"/>
      </w:r>
      <w:r w:rsidRPr="00561F65">
        <w:rPr>
          <w:lang w:val="en-CA"/>
        </w:rPr>
        <w:t>, p.</w:t>
      </w:r>
      <w:r w:rsidR="005C5B01" w:rsidRPr="00561F65">
        <w:rPr>
          <w:lang w:val="en-CA"/>
        </w:rPr>
        <w:t> </w:t>
      </w:r>
      <w:r w:rsidRPr="00561F65">
        <w:rPr>
          <w:lang w:val="en-CA"/>
        </w:rPr>
        <w:t>18</w:t>
      </w:r>
      <w:r w:rsidR="0040249F" w:rsidRPr="00561F65">
        <w:rPr>
          <w:lang w:val="en-CA"/>
        </w:rPr>
        <w:t>.</w:t>
      </w:r>
    </w:p>
  </w:footnote>
  <w:footnote w:id="240">
    <w:p w14:paraId="4F69DA2C" w14:textId="454DBFD1" w:rsidR="00FE7F9B" w:rsidRPr="00561F65" w:rsidRDefault="00FE7F9B" w:rsidP="004E4354">
      <w:pPr>
        <w:pStyle w:val="NotesBasPage"/>
      </w:pPr>
      <w:r w:rsidRPr="00561F65">
        <w:rPr>
          <w:rStyle w:val="Appelnotedebasdep"/>
        </w:rPr>
        <w:footnoteRef/>
      </w:r>
      <w:r w:rsidRPr="00561F65">
        <w:t xml:space="preserve"> </w:t>
      </w:r>
      <w:r w:rsidR="008A7D43" w:rsidRPr="00561F65">
        <w:tab/>
      </w:r>
      <w:r w:rsidRPr="00561F65">
        <w:t xml:space="preserve">Pour cette variable, les plaintes reçues avant 2005 ont été exclues. En effet, à partir de ce moment, la Commission a perdu sa compétence pour recevoir </w:t>
      </w:r>
      <w:r w:rsidR="008A7D43" w:rsidRPr="00561F65">
        <w:t>la</w:t>
      </w:r>
      <w:r w:rsidRPr="00561F65">
        <w:t xml:space="preserve"> plupart des plaintes provenant de milieux syndiqués, ce qui a affecté la taille des entreprises et organismes visés. Par exemple, la Commission reçoit moins de plaintes visant de grands employeurs du secteur public.</w:t>
      </w:r>
    </w:p>
  </w:footnote>
  <w:footnote w:id="241">
    <w:p w14:paraId="3A6BBCEC" w14:textId="46538DD7" w:rsidR="008F69CC" w:rsidRPr="00561F65" w:rsidRDefault="008F69CC" w:rsidP="004E4354">
      <w:pPr>
        <w:pStyle w:val="NotesBasPage"/>
      </w:pPr>
      <w:r w:rsidRPr="00561F65">
        <w:rPr>
          <w:rStyle w:val="Appelnotedebasdep"/>
        </w:rPr>
        <w:footnoteRef/>
      </w:r>
      <w:r w:rsidRPr="00561F65">
        <w:t xml:space="preserve"> </w:t>
      </w:r>
      <w:r w:rsidR="00F94CCE" w:rsidRPr="00561F65">
        <w:tab/>
      </w:r>
      <w:r w:rsidR="00914BA8" w:rsidRPr="00561F65">
        <w:rPr>
          <w:smallCaps/>
        </w:rPr>
        <w:t>Statistique Canada</w:t>
      </w:r>
      <w:r w:rsidR="00914BA8" w:rsidRPr="00561F65">
        <w:t xml:space="preserve">, </w:t>
      </w:r>
      <w:r w:rsidR="003A2972" w:rsidRPr="00172693">
        <w:rPr>
          <w:i/>
          <w:iCs/>
        </w:rPr>
        <w:t xml:space="preserve">Contribution à l'emploi du secteur privé, la création brute d'emplois et la destruction par taille d'entreprise, provinces et les territoires, </w:t>
      </w:r>
      <w:r w:rsidR="00081418" w:rsidRPr="00172693">
        <w:rPr>
          <w:i/>
          <w:iCs/>
        </w:rPr>
        <w:t>Tableau : 33-10-0093-01</w:t>
      </w:r>
      <w:r w:rsidR="00081418" w:rsidRPr="00561F65">
        <w:t xml:space="preserve">, </w:t>
      </w:r>
      <w:r w:rsidR="00C76430">
        <w:t>[E</w:t>
      </w:r>
      <w:r w:rsidR="009F6357" w:rsidRPr="00561F65">
        <w:t>n ligne</w:t>
      </w:r>
      <w:r w:rsidR="00C76430">
        <w:t xml:space="preserve">]. </w:t>
      </w:r>
      <w:hyperlink r:id="rId117" w:history="1">
        <w:r w:rsidR="00901C05" w:rsidRPr="00E83EED">
          <w:rPr>
            <w:rStyle w:val="Lienhypertexte"/>
          </w:rPr>
          <w:t>https://www150.statcan.gc.ca/t1/tbl1/fr/cv.action?pid=3310009301</w:t>
        </w:r>
      </w:hyperlink>
      <w:r w:rsidR="009F6357" w:rsidRPr="00561F65">
        <w:t xml:space="preserve"> (consulté le 3</w:t>
      </w:r>
      <w:r w:rsidR="00750B1D">
        <w:t> </w:t>
      </w:r>
      <w:r w:rsidR="009F6357" w:rsidRPr="00561F65">
        <w:t>mars 2026).</w:t>
      </w:r>
    </w:p>
  </w:footnote>
  <w:footnote w:id="242">
    <w:p w14:paraId="149A5431" w14:textId="5A803B7F" w:rsidR="00217A3A" w:rsidRPr="00561F65" w:rsidRDefault="00217A3A" w:rsidP="004E4354">
      <w:pPr>
        <w:pStyle w:val="NotesBasPage"/>
      </w:pPr>
      <w:r w:rsidRPr="00561F65">
        <w:rPr>
          <w:rStyle w:val="Appelnotedebasdep"/>
        </w:rPr>
        <w:footnoteRef/>
      </w:r>
      <w:r w:rsidRPr="00561F65">
        <w:rPr>
          <w:smallCaps/>
        </w:rPr>
        <w:t xml:space="preserve"> </w:t>
      </w:r>
      <w:r w:rsidRPr="00561F65">
        <w:rPr>
          <w:smallCaps/>
        </w:rPr>
        <w:tab/>
        <w:t>Innovation, Sciences et Développement économique Canada</w:t>
      </w:r>
      <w:r w:rsidRPr="00561F65">
        <w:t xml:space="preserve">, </w:t>
      </w:r>
      <w:r w:rsidRPr="00561F65">
        <w:rPr>
          <w:i/>
        </w:rPr>
        <w:t>Principales statistiques relatives aux petites entreprises 2024</w:t>
      </w:r>
      <w:r w:rsidRPr="00561F65">
        <w:t xml:space="preserve">, </w:t>
      </w:r>
      <w:r w:rsidR="005C79D2">
        <w:t>[E</w:t>
      </w:r>
      <w:r w:rsidR="005C79D2" w:rsidRPr="00561F65">
        <w:t>n ligne</w:t>
      </w:r>
      <w:r w:rsidR="005C79D2">
        <w:t xml:space="preserve">]. </w:t>
      </w:r>
      <w:hyperlink r:id="rId118" w:history="1">
        <w:r w:rsidR="005C79D2" w:rsidRPr="00E058E4">
          <w:rPr>
            <w:rStyle w:val="Lienhypertexte"/>
          </w:rPr>
          <w:t>https://ised-isde.canada.ca/site/recherche-statistique-pme/fr/principales-statistiques-relatives-aux-petites-entreprises/principales-statistiques-relatives-aux-petites-entreprises-2024</w:t>
        </w:r>
      </w:hyperlink>
      <w:r w:rsidRPr="00561F65">
        <w:t xml:space="preserve"> </w:t>
      </w:r>
    </w:p>
  </w:footnote>
  <w:footnote w:id="243">
    <w:p w14:paraId="154C71A1" w14:textId="5FFABB45" w:rsidR="001744CE" w:rsidRPr="00561F65" w:rsidRDefault="001744CE" w:rsidP="004E4354">
      <w:pPr>
        <w:pStyle w:val="NotesBasPage"/>
      </w:pPr>
      <w:r w:rsidRPr="00561F65">
        <w:rPr>
          <w:rStyle w:val="Appelnotedebasdep"/>
        </w:rPr>
        <w:footnoteRef/>
      </w:r>
      <w:r w:rsidRPr="00561F65">
        <w:t xml:space="preserve"> </w:t>
      </w:r>
      <w:r w:rsidRPr="00561F65">
        <w:tab/>
      </w:r>
      <w:r w:rsidR="002176CE" w:rsidRPr="00561F65">
        <w:rPr>
          <w:smallCaps/>
        </w:rPr>
        <w:t>Statistique Canada</w:t>
      </w:r>
      <w:r w:rsidR="002176CE" w:rsidRPr="00FC4F5D">
        <w:rPr>
          <w:i/>
          <w:iCs/>
        </w:rPr>
        <w:t xml:space="preserve">, </w:t>
      </w:r>
      <w:proofErr w:type="spellStart"/>
      <w:r w:rsidR="007003A4">
        <w:t>préc</w:t>
      </w:r>
      <w:proofErr w:type="spellEnd"/>
      <w:r w:rsidR="007003A4">
        <w:t xml:space="preserve">., note </w:t>
      </w:r>
      <w:r w:rsidR="007003A4">
        <w:fldChar w:fldCharType="begin"/>
      </w:r>
      <w:r w:rsidR="007003A4">
        <w:instrText xml:space="preserve"> NOTEREF _Ref229389573 \h </w:instrText>
      </w:r>
      <w:r w:rsidR="004E4354">
        <w:instrText xml:space="preserve"> \* MERGEFORMAT </w:instrText>
      </w:r>
      <w:r w:rsidR="007003A4">
        <w:fldChar w:fldCharType="separate"/>
      </w:r>
      <w:r w:rsidR="007003A4">
        <w:t>240</w:t>
      </w:r>
      <w:r w:rsidR="007003A4">
        <w:fldChar w:fldCharType="end"/>
      </w:r>
      <w:r w:rsidR="007003A4">
        <w:t>.</w:t>
      </w:r>
    </w:p>
  </w:footnote>
  <w:footnote w:id="244">
    <w:p w14:paraId="5139044E" w14:textId="51967C27" w:rsidR="008F69CC" w:rsidRPr="00561F65" w:rsidRDefault="008F69CC" w:rsidP="004E4354">
      <w:pPr>
        <w:pStyle w:val="NotesBasPage"/>
      </w:pPr>
      <w:r w:rsidRPr="00561F65">
        <w:rPr>
          <w:rStyle w:val="Appelnotedebasdep"/>
        </w:rPr>
        <w:footnoteRef/>
      </w:r>
      <w:r w:rsidRPr="00561F65">
        <w:t xml:space="preserve"> </w:t>
      </w:r>
      <w:r w:rsidRPr="00561F65">
        <w:tab/>
        <w:t xml:space="preserve">Voir </w:t>
      </w:r>
      <w:r w:rsidRPr="00561F65">
        <w:rPr>
          <w:smallCaps/>
        </w:rPr>
        <w:t>Commission des droits de la personne et des droits de la jeunesse</w:t>
      </w:r>
      <w:r w:rsidRPr="00561F65">
        <w:t xml:space="preserve">, </w:t>
      </w:r>
      <w:r w:rsidRPr="00561F65">
        <w:rPr>
          <w:i/>
        </w:rPr>
        <w:t>Les obstacles à l’embauche, à l’intégration et au maintien en emploi des personnes en situation de handicap</w:t>
      </w:r>
      <w:r w:rsidRPr="00561F65">
        <w:t>, 2025, p. 45,</w:t>
      </w:r>
      <w:r w:rsidR="005C79D2">
        <w:t xml:space="preserve"> [E</w:t>
      </w:r>
      <w:r w:rsidR="005C79D2" w:rsidRPr="00561F65">
        <w:t>n ligne</w:t>
      </w:r>
      <w:r w:rsidR="005C79D2">
        <w:t xml:space="preserve">]. </w:t>
      </w:r>
      <w:hyperlink r:id="rId119" w:history="1">
        <w:r w:rsidR="007D6476" w:rsidRPr="00E058E4">
          <w:rPr>
            <w:rStyle w:val="Lienhypertexte"/>
          </w:rPr>
          <w:t>https://www.cdpdj.qc.ca/fr/publications/etude-handicap-emploi</w:t>
        </w:r>
      </w:hyperlink>
      <w:r w:rsidRPr="00561F65">
        <w:t xml:space="preserve"> </w:t>
      </w:r>
    </w:p>
  </w:footnote>
  <w:footnote w:id="245">
    <w:p w14:paraId="27A9253E" w14:textId="30EF3EC7" w:rsidR="006E2E34" w:rsidRPr="00561F65" w:rsidRDefault="006E2E34" w:rsidP="004E4354">
      <w:pPr>
        <w:pStyle w:val="NotesBasPage"/>
      </w:pPr>
      <w:r w:rsidRPr="00561F65">
        <w:rPr>
          <w:rStyle w:val="Appelnotedebasdep"/>
        </w:rPr>
        <w:footnoteRef/>
      </w:r>
      <w:r w:rsidRPr="00561F65">
        <w:t xml:space="preserve"> </w:t>
      </w:r>
      <w:r w:rsidRPr="00561F65">
        <w:tab/>
      </w:r>
      <w:r w:rsidR="002176CE" w:rsidRPr="00561F65">
        <w:rPr>
          <w:smallCaps/>
        </w:rPr>
        <w:t>Statistique Canada</w:t>
      </w:r>
      <w:r w:rsidR="002176CE" w:rsidRPr="00561F65">
        <w:t xml:space="preserve">, </w:t>
      </w:r>
      <w:proofErr w:type="spellStart"/>
      <w:r w:rsidR="007D6476">
        <w:t>préc</w:t>
      </w:r>
      <w:proofErr w:type="spellEnd"/>
      <w:r w:rsidR="007D6476">
        <w:t>., note</w:t>
      </w:r>
      <w:r w:rsidR="007003A4">
        <w:fldChar w:fldCharType="begin"/>
      </w:r>
      <w:r w:rsidR="007003A4">
        <w:instrText xml:space="preserve"> NOTEREF _Ref229389573 \h </w:instrText>
      </w:r>
      <w:r w:rsidR="004E4354">
        <w:instrText xml:space="preserve"> \* MERGEFORMAT </w:instrText>
      </w:r>
      <w:r w:rsidR="007003A4">
        <w:fldChar w:fldCharType="separate"/>
      </w:r>
      <w:r w:rsidR="007003A4">
        <w:t>240</w:t>
      </w:r>
      <w:r w:rsidR="007003A4">
        <w:fldChar w:fldCharType="end"/>
      </w:r>
      <w:r w:rsidR="007D6476">
        <w:t>.</w:t>
      </w:r>
    </w:p>
  </w:footnote>
  <w:footnote w:id="246">
    <w:p w14:paraId="70BCE95E" w14:textId="4762F963" w:rsidR="009A3B70" w:rsidRPr="00561F65" w:rsidRDefault="009A3B70" w:rsidP="004E4354">
      <w:pPr>
        <w:pStyle w:val="NotesBasPage"/>
      </w:pPr>
      <w:r w:rsidRPr="00561F65">
        <w:rPr>
          <w:rStyle w:val="Appelnotedebasdep"/>
        </w:rPr>
        <w:footnoteRef/>
      </w:r>
      <w:r w:rsidRPr="00561F65">
        <w:t xml:space="preserve"> </w:t>
      </w:r>
      <w:r w:rsidRPr="00561F65">
        <w:tab/>
      </w:r>
      <w:r w:rsidR="00DA6B84" w:rsidRPr="00561F65">
        <w:t xml:space="preserve">É. </w:t>
      </w:r>
      <w:r w:rsidR="00DA6B84" w:rsidRPr="00561F65">
        <w:rPr>
          <w:smallCaps/>
        </w:rPr>
        <w:t>Morand</w:t>
      </w:r>
      <w:r w:rsidR="00DA6B84" w:rsidRPr="00561F65">
        <w:t>, M.</w:t>
      </w:r>
      <w:r w:rsidR="00BC48F0">
        <w:t> </w:t>
      </w:r>
      <w:r w:rsidR="00DA6B84" w:rsidRPr="00561F65">
        <w:rPr>
          <w:smallCaps/>
        </w:rPr>
        <w:t>Blais</w:t>
      </w:r>
      <w:r w:rsidR="00DA6B84" w:rsidRPr="00561F65">
        <w:t>, I.</w:t>
      </w:r>
      <w:r w:rsidR="00E328B0">
        <w:t> </w:t>
      </w:r>
      <w:r w:rsidR="00DA6B84" w:rsidRPr="00561F65">
        <w:rPr>
          <w:smallCaps/>
        </w:rPr>
        <w:t>Côté</w:t>
      </w:r>
      <w:r w:rsidR="00DA6B84" w:rsidRPr="00561F65">
        <w:t>, L.</w:t>
      </w:r>
      <w:r w:rsidR="00E328B0">
        <w:t> </w:t>
      </w:r>
      <w:r w:rsidR="00DA6B84" w:rsidRPr="00561F65">
        <w:rPr>
          <w:smallCaps/>
        </w:rPr>
        <w:t>Chamberland</w:t>
      </w:r>
      <w:r w:rsidR="00DA6B84" w:rsidRPr="00561F65">
        <w:t>, M.</w:t>
      </w:r>
      <w:r w:rsidR="00BC48F0">
        <w:t> </w:t>
      </w:r>
      <w:r w:rsidR="00DA6B84" w:rsidRPr="00561F65">
        <w:rPr>
          <w:smallCaps/>
        </w:rPr>
        <w:t>Baiocco</w:t>
      </w:r>
      <w:r w:rsidR="00DA6B84" w:rsidRPr="00561F65">
        <w:t xml:space="preserve"> et M.</w:t>
      </w:r>
      <w:r w:rsidR="00BC48F0">
        <w:t> </w:t>
      </w:r>
      <w:r w:rsidR="00DA6B84" w:rsidRPr="00561F65">
        <w:rPr>
          <w:smallCaps/>
        </w:rPr>
        <w:t>Samoilenko</w:t>
      </w:r>
      <w:r w:rsidR="00DA6B84" w:rsidRPr="00561F65">
        <w:t xml:space="preserve">, </w:t>
      </w:r>
      <w:proofErr w:type="spellStart"/>
      <w:r w:rsidR="00DA6B84" w:rsidRPr="00561F65">
        <w:t>préc</w:t>
      </w:r>
      <w:proofErr w:type="spellEnd"/>
      <w:r w:rsidR="00DA6B84" w:rsidRPr="00561F65">
        <w:t xml:space="preserve">., note </w:t>
      </w:r>
      <w:r w:rsidR="00DA6B84" w:rsidRPr="00561F65">
        <w:fldChar w:fldCharType="begin"/>
      </w:r>
      <w:r w:rsidR="00DA6B84" w:rsidRPr="00561F65">
        <w:instrText xml:space="preserve"> NOTEREF _Ref216856817 \h </w:instrText>
      </w:r>
      <w:r w:rsidR="007017CF" w:rsidRPr="00561F65">
        <w:instrText xml:space="preserve"> \* MERGEFORMAT </w:instrText>
      </w:r>
      <w:r w:rsidR="00DA6B84" w:rsidRPr="00561F65">
        <w:fldChar w:fldCharType="separate"/>
      </w:r>
      <w:r w:rsidR="000374E3" w:rsidRPr="00561F65">
        <w:t>49</w:t>
      </w:r>
      <w:r w:rsidR="00DA6B84" w:rsidRPr="00561F65">
        <w:fldChar w:fldCharType="end"/>
      </w:r>
      <w:r w:rsidR="00DA6B84" w:rsidRPr="00561F65">
        <w:t>,</w:t>
      </w:r>
      <w:r w:rsidRPr="00561F65">
        <w:t xml:space="preserve"> p. 21</w:t>
      </w:r>
      <w:r w:rsidR="005C293F" w:rsidRPr="00561F65">
        <w:rPr>
          <w:rFonts w:ascii="Arial" w:hAnsi="Arial" w:cs="Arial"/>
        </w:rPr>
        <w:t> </w:t>
      </w:r>
      <w:r w:rsidRPr="00561F65">
        <w:t xml:space="preserve">; EGALE, </w:t>
      </w:r>
      <w:proofErr w:type="spellStart"/>
      <w:r w:rsidR="00C658F8" w:rsidRPr="00561F65">
        <w:t>préc</w:t>
      </w:r>
      <w:proofErr w:type="spellEnd"/>
      <w:r w:rsidR="00C658F8" w:rsidRPr="00561F65">
        <w:t xml:space="preserve">., note </w:t>
      </w:r>
      <w:r w:rsidR="00C658F8" w:rsidRPr="00561F65">
        <w:fldChar w:fldCharType="begin"/>
      </w:r>
      <w:r w:rsidR="00C658F8" w:rsidRPr="00561F65">
        <w:instrText xml:space="preserve"> NOTEREF _Ref218503799 \h  \* MERGEFORMAT </w:instrText>
      </w:r>
      <w:r w:rsidR="00C658F8" w:rsidRPr="00561F65">
        <w:fldChar w:fldCharType="separate"/>
      </w:r>
      <w:r w:rsidR="000374E3" w:rsidRPr="00561F65">
        <w:t>64</w:t>
      </w:r>
      <w:r w:rsidR="00C658F8" w:rsidRPr="00561F65">
        <w:fldChar w:fldCharType="end"/>
      </w:r>
      <w:r w:rsidR="005C293F" w:rsidRPr="00561F65">
        <w:rPr>
          <w:rFonts w:ascii="Arial" w:hAnsi="Arial" w:cs="Arial"/>
        </w:rPr>
        <w:t> </w:t>
      </w:r>
      <w:r w:rsidR="007929DD" w:rsidRPr="00561F65">
        <w:t>;</w:t>
      </w:r>
      <w:r w:rsidRPr="00561F65">
        <w:t xml:space="preserve"> </w:t>
      </w:r>
      <w:r w:rsidR="001C7AE4" w:rsidRPr="00561F65">
        <w:t>K.</w:t>
      </w:r>
      <w:r w:rsidR="00E328B0">
        <w:t> </w:t>
      </w:r>
      <w:r w:rsidR="001C7AE4" w:rsidRPr="00561F65">
        <w:rPr>
          <w:smallCaps/>
        </w:rPr>
        <w:t>Brennan</w:t>
      </w:r>
      <w:r w:rsidR="001C7AE4" w:rsidRPr="00561F65">
        <w:t>, C.</w:t>
      </w:r>
      <w:r w:rsidR="00E328B0">
        <w:t> </w:t>
      </w:r>
      <w:r w:rsidR="001C7AE4" w:rsidRPr="00561F65">
        <w:rPr>
          <w:smallCaps/>
        </w:rPr>
        <w:t>Halpenny</w:t>
      </w:r>
      <w:r w:rsidR="001C7AE4" w:rsidRPr="00561F65">
        <w:t xml:space="preserve"> et B.</w:t>
      </w:r>
      <w:r w:rsidR="00E328B0">
        <w:t> </w:t>
      </w:r>
      <w:r w:rsidR="001C7AE4" w:rsidRPr="00561F65">
        <w:rPr>
          <w:smallCaps/>
        </w:rPr>
        <w:t>Pakula</w:t>
      </w:r>
      <w:r w:rsidR="001C7AE4" w:rsidRPr="00561F65">
        <w:t xml:space="preserve">, </w:t>
      </w:r>
      <w:proofErr w:type="spellStart"/>
      <w:r w:rsidR="001C7AE4" w:rsidRPr="00561F65">
        <w:t>préc</w:t>
      </w:r>
      <w:proofErr w:type="spellEnd"/>
      <w:r w:rsidR="001C7AE4" w:rsidRPr="00561F65">
        <w:t xml:space="preserve">., </w:t>
      </w:r>
      <w:r w:rsidR="008054A2" w:rsidRPr="00561F65">
        <w:t xml:space="preserve">note </w:t>
      </w:r>
      <w:r w:rsidR="008054A2" w:rsidRPr="00561F65">
        <w:fldChar w:fldCharType="begin"/>
      </w:r>
      <w:r w:rsidR="008054A2" w:rsidRPr="00561F65">
        <w:instrText xml:space="preserve"> NOTEREF _Ref219211343 \h </w:instrText>
      </w:r>
      <w:r w:rsidR="007017CF" w:rsidRPr="00561F65">
        <w:instrText xml:space="preserve"> \* MERGEFORMAT </w:instrText>
      </w:r>
      <w:r w:rsidR="008054A2" w:rsidRPr="00561F65">
        <w:fldChar w:fldCharType="separate"/>
      </w:r>
      <w:r w:rsidR="000374E3" w:rsidRPr="00561F65">
        <w:t>102</w:t>
      </w:r>
      <w:r w:rsidR="008054A2" w:rsidRPr="00561F65">
        <w:fldChar w:fldCharType="end"/>
      </w:r>
      <w:r w:rsidR="008054A2" w:rsidRPr="00561F65">
        <w:t>,</w:t>
      </w:r>
      <w:r w:rsidRPr="00561F65">
        <w:t xml:space="preserve"> p. 15-16</w:t>
      </w:r>
      <w:r w:rsidR="006A1B8A" w:rsidRPr="00561F65">
        <w:t>.</w:t>
      </w:r>
    </w:p>
  </w:footnote>
  <w:footnote w:id="247">
    <w:p w14:paraId="75108B16" w14:textId="4E00FEB9" w:rsidR="005041A3" w:rsidRPr="00561F65" w:rsidRDefault="005041A3" w:rsidP="004E4354">
      <w:pPr>
        <w:pStyle w:val="NotesBasPage"/>
      </w:pPr>
      <w:r w:rsidRPr="00561F65">
        <w:rPr>
          <w:rStyle w:val="Appelnotedebasdep"/>
        </w:rPr>
        <w:footnoteRef/>
      </w:r>
      <w:r w:rsidRPr="00561F65">
        <w:t xml:space="preserve"> </w:t>
      </w:r>
      <w:r w:rsidR="0085569B" w:rsidRPr="00561F65">
        <w:tab/>
      </w:r>
      <w:r w:rsidRPr="00561F65">
        <w:t xml:space="preserve">Le total des trois types de manifestations </w:t>
      </w:r>
      <w:r w:rsidR="00021D14" w:rsidRPr="00561F65">
        <w:t>—</w:t>
      </w:r>
      <w:r w:rsidR="00B30485" w:rsidRPr="00561F65">
        <w:rPr>
          <w:rFonts w:ascii="Arial" w:hAnsi="Arial" w:cs="Arial"/>
        </w:rPr>
        <w:t> </w:t>
      </w:r>
      <w:r w:rsidRPr="00561F65">
        <w:t>propos, conduites, normes</w:t>
      </w:r>
      <w:r w:rsidR="00B30485" w:rsidRPr="00561F65">
        <w:rPr>
          <w:rFonts w:ascii="Arial" w:hAnsi="Arial" w:cs="Arial"/>
        </w:rPr>
        <w:t> </w:t>
      </w:r>
      <w:r w:rsidR="00021D14" w:rsidRPr="00561F65">
        <w:t>—</w:t>
      </w:r>
      <w:r w:rsidRPr="00561F65">
        <w:t xml:space="preserve"> dépasse 100 % parce qu’une plainte peut en alléguer plusieurs. Il en va de même pour les sous-catégories. Pour ces dernières, les pourcentages sont calculés sur la base du nombre de plaintes reçues dans une catégorie donnée. Par exemple, 84 % des plaintes analysées pour discrimination en emploi fondée sur l’orientation sexuelle et l’identité ou l’expression de genre visent des propos. Parmi celles-ci, 42 % s’appuient sur des stéréotypes.</w:t>
      </w:r>
    </w:p>
  </w:footnote>
  <w:footnote w:id="248">
    <w:p w14:paraId="434025BF" w14:textId="0C248F80" w:rsidR="00576235" w:rsidRPr="00561F65" w:rsidRDefault="00576235" w:rsidP="004E4354">
      <w:pPr>
        <w:pStyle w:val="NotesBasPage"/>
      </w:pPr>
      <w:r w:rsidRPr="00561F65">
        <w:rPr>
          <w:rStyle w:val="Appelnotedebasdep"/>
        </w:rPr>
        <w:footnoteRef/>
      </w:r>
      <w:r w:rsidRPr="00561F65">
        <w:t xml:space="preserve"> </w:t>
      </w:r>
      <w:r w:rsidRPr="00561F65">
        <w:tab/>
      </w:r>
      <w:r w:rsidRPr="00524289">
        <w:rPr>
          <w:i/>
          <w:iCs/>
        </w:rPr>
        <w:t>Ward</w:t>
      </w:r>
      <w:r w:rsidRPr="00561F65">
        <w:t xml:space="preserve"> c</w:t>
      </w:r>
      <w:r w:rsidR="00A76A4E">
        <w:t>.</w:t>
      </w:r>
      <w:r w:rsidRPr="00561F65">
        <w:t xml:space="preserve"> </w:t>
      </w:r>
      <w:r w:rsidRPr="00524289">
        <w:rPr>
          <w:i/>
          <w:iCs/>
        </w:rPr>
        <w:t>Québec (Commission des droits de la personne et des droits de la jeunesse)</w:t>
      </w:r>
      <w:r w:rsidRPr="00561F65">
        <w:t>, 3 RCS</w:t>
      </w:r>
      <w:r w:rsidR="00AB1B44">
        <w:t> </w:t>
      </w:r>
      <w:r w:rsidRPr="00561F65">
        <w:t>176.</w:t>
      </w:r>
    </w:p>
  </w:footnote>
  <w:footnote w:id="249">
    <w:p w14:paraId="0EF4E522" w14:textId="61CE623D" w:rsidR="00576235" w:rsidRPr="00561F65" w:rsidRDefault="00576235" w:rsidP="004E4354">
      <w:pPr>
        <w:pStyle w:val="NotesBasPage"/>
      </w:pPr>
      <w:r w:rsidRPr="00561F65">
        <w:rPr>
          <w:rStyle w:val="Appelnotedebasdep"/>
        </w:rPr>
        <w:footnoteRef/>
      </w:r>
      <w:r w:rsidRPr="00561F65">
        <w:t xml:space="preserve"> </w:t>
      </w:r>
      <w:r w:rsidR="0085569B" w:rsidRPr="00561F65">
        <w:tab/>
      </w:r>
      <w:r w:rsidRPr="00561F65">
        <w:t xml:space="preserve">Pour une analyse des implications du jugement </w:t>
      </w:r>
      <w:r w:rsidRPr="00561F65">
        <w:rPr>
          <w:i/>
        </w:rPr>
        <w:t>Ward</w:t>
      </w:r>
      <w:r w:rsidRPr="00561F65">
        <w:t xml:space="preserve">, voir notamment </w:t>
      </w:r>
      <w:r w:rsidR="00DF4114" w:rsidRPr="00561F65">
        <w:t xml:space="preserve">Stéphanie </w:t>
      </w:r>
      <w:r w:rsidRPr="00561F65">
        <w:rPr>
          <w:smallCaps/>
        </w:rPr>
        <w:t>Fournier</w:t>
      </w:r>
      <w:r w:rsidRPr="00561F65">
        <w:t xml:space="preserve">, Geneviève </w:t>
      </w:r>
      <w:r w:rsidRPr="00561F65">
        <w:rPr>
          <w:smallCaps/>
        </w:rPr>
        <w:t>St-Laurent</w:t>
      </w:r>
      <w:r w:rsidRPr="00561F65">
        <w:t xml:space="preserve"> </w:t>
      </w:r>
      <w:r w:rsidR="00DF4114" w:rsidRPr="00561F65">
        <w:t>et</w:t>
      </w:r>
      <w:r w:rsidRPr="00561F65">
        <w:t xml:space="preserve"> Lysiane </w:t>
      </w:r>
      <w:r w:rsidRPr="00561F65">
        <w:rPr>
          <w:smallCaps/>
        </w:rPr>
        <w:t>Clément-Major</w:t>
      </w:r>
      <w:r w:rsidRPr="00561F65">
        <w:t>, «</w:t>
      </w:r>
      <w:r w:rsidR="00AB4C13" w:rsidRPr="00561F65">
        <w:rPr>
          <w:rFonts w:ascii="Arial" w:hAnsi="Arial" w:cs="Arial"/>
        </w:rPr>
        <w:t> </w:t>
      </w:r>
      <w:r w:rsidRPr="00561F65">
        <w:t xml:space="preserve">Le droit à l’égalité après l’arrêt </w:t>
      </w:r>
      <w:r w:rsidRPr="00561F65">
        <w:rPr>
          <w:i/>
        </w:rPr>
        <w:t>Ward</w:t>
      </w:r>
      <w:r w:rsidR="00F01F5E" w:rsidRPr="00561F65">
        <w:rPr>
          <w:rFonts w:ascii="Arial" w:hAnsi="Arial" w:cs="Arial"/>
        </w:rPr>
        <w:t> </w:t>
      </w:r>
      <w:r w:rsidRPr="00561F65">
        <w:t>: lumière sur les conséquences moins visibles de ce jugement</w:t>
      </w:r>
      <w:r w:rsidR="00AB4C13" w:rsidRPr="00561F65">
        <w:rPr>
          <w:rFonts w:ascii="Arial" w:hAnsi="Arial" w:cs="Arial"/>
        </w:rPr>
        <w:t> </w:t>
      </w:r>
      <w:r w:rsidRPr="00561F65">
        <w:t>» (2024) 53</w:t>
      </w:r>
      <w:r w:rsidR="005516C0" w:rsidRPr="00561F65">
        <w:t> </w:t>
      </w:r>
      <w:r w:rsidR="007F305E" w:rsidRPr="00561F65">
        <w:rPr>
          <w:i/>
        </w:rPr>
        <w:t>R.G.D.</w:t>
      </w:r>
      <w:r w:rsidR="005C5B01" w:rsidRPr="00561F65">
        <w:t> </w:t>
      </w:r>
      <w:r w:rsidRPr="00561F65">
        <w:t>83</w:t>
      </w:r>
      <w:r w:rsidRPr="00561F65">
        <w:noBreakHyphen/>
        <w:t>132.</w:t>
      </w:r>
    </w:p>
  </w:footnote>
  <w:footnote w:id="250">
    <w:p w14:paraId="64070D89" w14:textId="654823AB" w:rsidR="00576235" w:rsidRPr="00561F65" w:rsidRDefault="00576235" w:rsidP="004E4354">
      <w:pPr>
        <w:pStyle w:val="NotesBasPage"/>
      </w:pPr>
      <w:r w:rsidRPr="00561F65">
        <w:rPr>
          <w:rStyle w:val="Appelnotedebasdep"/>
        </w:rPr>
        <w:footnoteRef/>
      </w:r>
      <w:r w:rsidRPr="00561F65">
        <w:t xml:space="preserve"> </w:t>
      </w:r>
      <w:r w:rsidR="0085569B" w:rsidRPr="00561F65">
        <w:tab/>
      </w:r>
      <w:r w:rsidRPr="00524289">
        <w:rPr>
          <w:i/>
          <w:iCs/>
        </w:rPr>
        <w:t>Ward</w:t>
      </w:r>
      <w:r w:rsidRPr="00561F65">
        <w:t xml:space="preserve"> c</w:t>
      </w:r>
      <w:r w:rsidR="00A76A4E">
        <w:t>.</w:t>
      </w:r>
      <w:r w:rsidRPr="00561F65">
        <w:t xml:space="preserve"> </w:t>
      </w:r>
      <w:r w:rsidRPr="00524289">
        <w:rPr>
          <w:i/>
          <w:iCs/>
        </w:rPr>
        <w:t>Québec (Commission des droits de la personne et des droits de la jeunesse)</w:t>
      </w:r>
      <w:r w:rsidRPr="00561F65">
        <w:t xml:space="preserve">, </w:t>
      </w:r>
      <w:proofErr w:type="spellStart"/>
      <w:r w:rsidR="00DF4114" w:rsidRPr="00561F65">
        <w:t>préc</w:t>
      </w:r>
      <w:proofErr w:type="spellEnd"/>
      <w:r w:rsidR="00DF4114" w:rsidRPr="00561F65">
        <w:t xml:space="preserve">., note </w:t>
      </w:r>
      <w:r w:rsidR="000430C6" w:rsidRPr="00561F65">
        <w:fldChar w:fldCharType="begin"/>
      </w:r>
      <w:r w:rsidR="000430C6" w:rsidRPr="00561F65">
        <w:instrText xml:space="preserve"> NOTEREF _Ref219810413 \h </w:instrText>
      </w:r>
      <w:r w:rsidR="004E4354">
        <w:instrText xml:space="preserve"> \* MERGEFORMAT </w:instrText>
      </w:r>
      <w:r w:rsidR="000430C6" w:rsidRPr="00561F65">
        <w:fldChar w:fldCharType="separate"/>
      </w:r>
      <w:r w:rsidR="0084139E">
        <w:t>247</w:t>
      </w:r>
      <w:r w:rsidR="000430C6" w:rsidRPr="00561F65">
        <w:fldChar w:fldCharType="end"/>
      </w:r>
      <w:r w:rsidRPr="00561F65">
        <w:t>, par</w:t>
      </w:r>
      <w:r w:rsidR="00DF4114" w:rsidRPr="00561F65">
        <w:t>.</w:t>
      </w:r>
      <w:r w:rsidRPr="00561F65">
        <w:t xml:space="preserve"> 58, 63, 82-84. </w:t>
      </w:r>
    </w:p>
  </w:footnote>
  <w:footnote w:id="251">
    <w:p w14:paraId="449F96E3" w14:textId="2F587784" w:rsidR="00B03FDE" w:rsidRPr="00561F65" w:rsidRDefault="00B03FDE" w:rsidP="004E4354">
      <w:pPr>
        <w:pStyle w:val="NotesBasPage"/>
      </w:pPr>
      <w:r w:rsidRPr="00561F65">
        <w:rPr>
          <w:rStyle w:val="Appelnotedebasdep"/>
        </w:rPr>
        <w:footnoteRef/>
      </w:r>
      <w:r w:rsidRPr="00561F65">
        <w:t xml:space="preserve"> </w:t>
      </w:r>
      <w:r w:rsidRPr="00561F65">
        <w:tab/>
        <w:t xml:space="preserve">Pour des exemples de stéréotypes masculins et féminins, voir </w:t>
      </w:r>
      <w:r w:rsidRPr="00561F65">
        <w:rPr>
          <w:smallCaps/>
        </w:rPr>
        <w:t>Gouvernement du Québec</w:t>
      </w:r>
      <w:r w:rsidRPr="00561F65">
        <w:t xml:space="preserve">, </w:t>
      </w:r>
      <w:r w:rsidRPr="00BE2BF4">
        <w:rPr>
          <w:i/>
          <w:iCs/>
        </w:rPr>
        <w:t>Définition des stéréotypes</w:t>
      </w:r>
      <w:r w:rsidRPr="00561F65">
        <w:t>, 2023, [En ligne].</w:t>
      </w:r>
      <w:r w:rsidR="00253D4A" w:rsidRPr="00253D4A">
        <w:t xml:space="preserve"> </w:t>
      </w:r>
      <w:hyperlink r:id="rId120" w:anchor="c133277" w:history="1">
        <w:r w:rsidR="00253D4A" w:rsidRPr="007912CF">
          <w:rPr>
            <w:rStyle w:val="Lienhypertexte"/>
          </w:rPr>
          <w:t>https://www.quebec.ca/famille-et-soutien-aux-personnes/enfance/developpement-des-enfants/consequences-stereotypes-developpement/definition-stereotypes#c133277</w:t>
        </w:r>
      </w:hyperlink>
      <w:r w:rsidRPr="00561F65">
        <w:t xml:space="preserve"> </w:t>
      </w:r>
    </w:p>
  </w:footnote>
  <w:footnote w:id="252">
    <w:p w14:paraId="396C6765" w14:textId="60D5896E" w:rsidR="00B03FDE" w:rsidRPr="00561F65" w:rsidRDefault="00B03FDE" w:rsidP="004E4354">
      <w:pPr>
        <w:pStyle w:val="NotesBasPage"/>
      </w:pPr>
      <w:r w:rsidRPr="00561F65">
        <w:rPr>
          <w:rStyle w:val="Appelnotedebasdep"/>
        </w:rPr>
        <w:footnoteRef/>
      </w:r>
      <w:r w:rsidRPr="00561F65">
        <w:t xml:space="preserve"> </w:t>
      </w:r>
      <w:r w:rsidR="008A7D43" w:rsidRPr="00561F65">
        <w:tab/>
      </w:r>
      <w:r w:rsidRPr="00561F65">
        <w:t>«</w:t>
      </w:r>
      <w:r w:rsidRPr="00561F65">
        <w:rPr>
          <w:rFonts w:ascii="Arial" w:hAnsi="Arial" w:cs="Arial"/>
        </w:rPr>
        <w:t> </w:t>
      </w:r>
      <w:r w:rsidRPr="00561F65">
        <w:t>Il a déjà été décidé que des propos homophobes, tels que «</w:t>
      </w:r>
      <w:r w:rsidRPr="00561F65">
        <w:rPr>
          <w:rFonts w:ascii="Arial" w:hAnsi="Arial" w:cs="Arial"/>
        </w:rPr>
        <w:t> </w:t>
      </w:r>
      <w:r w:rsidRPr="00561F65">
        <w:t>fifi</w:t>
      </w:r>
      <w:r w:rsidRPr="00561F65">
        <w:rPr>
          <w:rFonts w:ascii="Arial" w:hAnsi="Arial" w:cs="Arial"/>
        </w:rPr>
        <w:t> </w:t>
      </w:r>
      <w:r w:rsidRPr="00561F65">
        <w:rPr>
          <w:rFonts w:cs="Aptos"/>
        </w:rPr>
        <w:t>»</w:t>
      </w:r>
      <w:r w:rsidRPr="00561F65">
        <w:t xml:space="preserve"> et </w:t>
      </w:r>
      <w:r w:rsidRPr="00561F65">
        <w:rPr>
          <w:rFonts w:cs="Aptos"/>
        </w:rPr>
        <w:t>«</w:t>
      </w:r>
      <w:r w:rsidRPr="00561F65">
        <w:rPr>
          <w:rFonts w:ascii="Arial" w:hAnsi="Arial" w:cs="Arial"/>
        </w:rPr>
        <w:t> </w:t>
      </w:r>
      <w:r w:rsidRPr="00561F65">
        <w:t>tapette</w:t>
      </w:r>
      <w:r w:rsidRPr="00561F65">
        <w:rPr>
          <w:rFonts w:ascii="Arial" w:hAnsi="Arial" w:cs="Arial"/>
        </w:rPr>
        <w:t> </w:t>
      </w:r>
      <w:r w:rsidRPr="00561F65">
        <w:rPr>
          <w:rFonts w:cs="Aptos"/>
        </w:rPr>
        <w:t>»</w:t>
      </w:r>
      <w:r w:rsidRPr="00561F65">
        <w:t>, constituent des propos m</w:t>
      </w:r>
      <w:r w:rsidRPr="00561F65">
        <w:rPr>
          <w:rFonts w:cs="Aptos"/>
        </w:rPr>
        <w:t>é</w:t>
      </w:r>
      <w:r w:rsidRPr="00561F65">
        <w:t xml:space="preserve">prisants </w:t>
      </w:r>
      <w:r w:rsidRPr="00561F65">
        <w:rPr>
          <w:rFonts w:cs="Aptos"/>
        </w:rPr>
        <w:t>à</w:t>
      </w:r>
      <w:r w:rsidRPr="00561F65">
        <w:t xml:space="preserve"> l</w:t>
      </w:r>
      <w:r w:rsidRPr="00561F65">
        <w:rPr>
          <w:rFonts w:cs="Aptos"/>
        </w:rPr>
        <w:t>’é</w:t>
      </w:r>
      <w:r w:rsidRPr="00561F65">
        <w:t>gard des homosexuels. L</w:t>
      </w:r>
      <w:r w:rsidRPr="00561F65">
        <w:rPr>
          <w:rFonts w:cs="Aptos"/>
        </w:rPr>
        <w:t>’</w:t>
      </w:r>
      <w:r w:rsidRPr="00561F65">
        <w:t xml:space="preserve">utilisation de ces termes </w:t>
      </w:r>
      <w:r w:rsidRPr="00561F65">
        <w:rPr>
          <w:rFonts w:cs="Aptos"/>
        </w:rPr>
        <w:t>«</w:t>
      </w:r>
      <w:r w:rsidRPr="00561F65">
        <w:rPr>
          <w:rFonts w:ascii="Arial" w:hAnsi="Arial" w:cs="Arial"/>
        </w:rPr>
        <w:t> </w:t>
      </w:r>
      <w:r w:rsidRPr="00561F65">
        <w:t xml:space="preserve">ajoute </w:t>
      </w:r>
      <w:r w:rsidRPr="00561F65">
        <w:rPr>
          <w:rFonts w:cs="Aptos"/>
        </w:rPr>
        <w:t>à</w:t>
      </w:r>
      <w:r w:rsidRPr="00561F65">
        <w:t xml:space="preserve"> l</w:t>
      </w:r>
      <w:r w:rsidRPr="00561F65">
        <w:rPr>
          <w:rFonts w:cs="Aptos"/>
        </w:rPr>
        <w:t>’</w:t>
      </w:r>
      <w:r w:rsidRPr="00561F65">
        <w:t>opprobre et au non-respect de la dignit</w:t>
      </w:r>
      <w:r w:rsidRPr="00561F65">
        <w:rPr>
          <w:rFonts w:cs="Aptos"/>
        </w:rPr>
        <w:t>é</w:t>
      </w:r>
      <w:r w:rsidRPr="00561F65">
        <w:t xml:space="preserve"> humaine d</w:t>
      </w:r>
      <w:r w:rsidRPr="00561F65">
        <w:rPr>
          <w:rFonts w:cs="Aptos"/>
        </w:rPr>
        <w:t>’</w:t>
      </w:r>
      <w:r w:rsidRPr="00561F65">
        <w:t>une personne et des homosexuels en particulier</w:t>
      </w:r>
      <w:r w:rsidRPr="00561F65">
        <w:rPr>
          <w:rFonts w:ascii="Arial" w:hAnsi="Arial" w:cs="Arial"/>
        </w:rPr>
        <w:t> </w:t>
      </w:r>
      <w:r w:rsidRPr="00561F65">
        <w:rPr>
          <w:rFonts w:cs="Aptos"/>
        </w:rPr>
        <w:t>»</w:t>
      </w:r>
      <w:r w:rsidRPr="00561F65">
        <w:t>. Il est de m</w:t>
      </w:r>
      <w:r w:rsidRPr="00561F65">
        <w:rPr>
          <w:rFonts w:cs="Aptos"/>
        </w:rPr>
        <w:t>ê</w:t>
      </w:r>
      <w:r w:rsidRPr="00561F65">
        <w:t>me pour toute expression qui a pour effet ou pour but de d</w:t>
      </w:r>
      <w:r w:rsidRPr="00561F65">
        <w:rPr>
          <w:rFonts w:cs="Aptos"/>
        </w:rPr>
        <w:t>é</w:t>
      </w:r>
      <w:r w:rsidRPr="00561F65">
        <w:t xml:space="preserve">nigrer une personne </w:t>
      </w:r>
      <w:r w:rsidRPr="00561F65">
        <w:rPr>
          <w:rFonts w:cs="Aptos"/>
        </w:rPr>
        <w:t>à</w:t>
      </w:r>
      <w:r w:rsidRPr="00561F65">
        <w:t xml:space="preserve"> cause de son identit</w:t>
      </w:r>
      <w:r w:rsidRPr="00561F65">
        <w:rPr>
          <w:rFonts w:cs="Aptos"/>
        </w:rPr>
        <w:t>é</w:t>
      </w:r>
      <w:r w:rsidRPr="00561F65">
        <w:t xml:space="preserve"> ou expression de genre.</w:t>
      </w:r>
      <w:r w:rsidRPr="00561F65">
        <w:rPr>
          <w:rFonts w:ascii="Arial" w:hAnsi="Arial" w:cs="Arial"/>
        </w:rPr>
        <w:t> </w:t>
      </w:r>
      <w:r w:rsidRPr="00561F65">
        <w:rPr>
          <w:rFonts w:cs="Aptos"/>
        </w:rPr>
        <w:t>»</w:t>
      </w:r>
      <w:r w:rsidRPr="00561F65">
        <w:t xml:space="preserve"> </w:t>
      </w:r>
      <w:r w:rsidR="001C392C" w:rsidRPr="00561F65">
        <w:rPr>
          <w:i/>
        </w:rPr>
        <w:t>Kin</w:t>
      </w:r>
      <w:r w:rsidR="001C392C" w:rsidRPr="00561F65">
        <w:t xml:space="preserve"> c. </w:t>
      </w:r>
      <w:r w:rsidR="001C392C" w:rsidRPr="00561F65">
        <w:rPr>
          <w:i/>
        </w:rPr>
        <w:t>McNicoll</w:t>
      </w:r>
      <w:r w:rsidRPr="00561F65">
        <w:t xml:space="preserve">, </w:t>
      </w:r>
      <w:proofErr w:type="spellStart"/>
      <w:r w:rsidR="008F115D" w:rsidRPr="00561F65">
        <w:t>préc</w:t>
      </w:r>
      <w:proofErr w:type="spellEnd"/>
      <w:r w:rsidR="008F115D" w:rsidRPr="00561F65">
        <w:t xml:space="preserve">., note </w:t>
      </w:r>
      <w:r w:rsidR="008F115D" w:rsidRPr="00561F65">
        <w:fldChar w:fldCharType="begin"/>
      </w:r>
      <w:r w:rsidR="008F115D" w:rsidRPr="00561F65">
        <w:instrText xml:space="preserve"> NOTEREF _Ref219292420 \h </w:instrText>
      </w:r>
      <w:r w:rsidR="007017CF" w:rsidRPr="00561F65">
        <w:instrText xml:space="preserve"> \* MERGEFORMAT </w:instrText>
      </w:r>
      <w:r w:rsidR="008F115D" w:rsidRPr="00561F65">
        <w:fldChar w:fldCharType="separate"/>
      </w:r>
      <w:r w:rsidR="000374E3" w:rsidRPr="00561F65">
        <w:t>143</w:t>
      </w:r>
      <w:r w:rsidR="008F115D" w:rsidRPr="00561F65">
        <w:fldChar w:fldCharType="end"/>
      </w:r>
      <w:r w:rsidR="008F115D" w:rsidRPr="00561F65">
        <w:t>,</w:t>
      </w:r>
      <w:r w:rsidRPr="00561F65">
        <w:t>par. 74</w:t>
      </w:r>
      <w:r w:rsidR="008F115D" w:rsidRPr="00561F65">
        <w:t>.</w:t>
      </w:r>
    </w:p>
  </w:footnote>
  <w:footnote w:id="253">
    <w:p w14:paraId="0EC75ADF" w14:textId="1B8D4CFC" w:rsidR="00B03FDE" w:rsidRPr="00561F65" w:rsidRDefault="00B03FDE" w:rsidP="004E4354">
      <w:pPr>
        <w:pStyle w:val="NotesBasPage"/>
      </w:pPr>
      <w:r w:rsidRPr="00561F65">
        <w:rPr>
          <w:rStyle w:val="Appelnotedebasdep"/>
        </w:rPr>
        <w:footnoteRef/>
      </w:r>
      <w:r w:rsidRPr="00561F65">
        <w:t xml:space="preserve"> </w:t>
      </w:r>
      <w:r w:rsidRPr="00561F65">
        <w:tab/>
        <w:t xml:space="preserve">Voir par exemple </w:t>
      </w:r>
      <w:r w:rsidRPr="00561F65">
        <w:rPr>
          <w:i/>
        </w:rPr>
        <w:t xml:space="preserve">Commission des droits de la personne et des droits de la jeunesse (Rivest) </w:t>
      </w:r>
      <w:r w:rsidRPr="00561F65">
        <w:t>c</w:t>
      </w:r>
      <w:r w:rsidR="004F2B91" w:rsidRPr="00561F65">
        <w:t>.</w:t>
      </w:r>
      <w:r w:rsidRPr="00561F65">
        <w:t> </w:t>
      </w:r>
      <w:r w:rsidRPr="00561F65">
        <w:rPr>
          <w:i/>
        </w:rPr>
        <w:t>9113-0831 Québec</w:t>
      </w:r>
      <w:r w:rsidRPr="00561F65">
        <w:t xml:space="preserve"> </w:t>
      </w:r>
      <w:proofErr w:type="spellStart"/>
      <w:r w:rsidRPr="00561F65">
        <w:t>inc.</w:t>
      </w:r>
      <w:proofErr w:type="spellEnd"/>
      <w:r w:rsidRPr="00561F65">
        <w:t xml:space="preserve"> (Bronzage Évasion au soleil du monde), </w:t>
      </w:r>
      <w:proofErr w:type="spellStart"/>
      <w:r w:rsidR="004F2B91" w:rsidRPr="00561F65">
        <w:t>préc</w:t>
      </w:r>
      <w:proofErr w:type="spellEnd"/>
      <w:r w:rsidR="004F2B91" w:rsidRPr="00561F65">
        <w:t xml:space="preserve">., note </w:t>
      </w:r>
      <w:r w:rsidR="004F2B91" w:rsidRPr="00561F65">
        <w:fldChar w:fldCharType="begin"/>
      </w:r>
      <w:r w:rsidR="004F2B91" w:rsidRPr="00561F65">
        <w:instrText xml:space="preserve"> NOTEREF _Ref219806911 \h </w:instrText>
      </w:r>
      <w:r w:rsidR="004E4354">
        <w:instrText xml:space="preserve"> \* MERGEFORMAT </w:instrText>
      </w:r>
      <w:r w:rsidR="004F2B91" w:rsidRPr="00561F65">
        <w:fldChar w:fldCharType="separate"/>
      </w:r>
      <w:r w:rsidR="000374E3" w:rsidRPr="00561F65">
        <w:t>141</w:t>
      </w:r>
      <w:r w:rsidR="004F2B91" w:rsidRPr="00561F65">
        <w:fldChar w:fldCharType="end"/>
      </w:r>
      <w:r w:rsidR="004F2B91" w:rsidRPr="00561F65">
        <w:t>.</w:t>
      </w:r>
      <w:r w:rsidRPr="00561F65">
        <w:t xml:space="preserve"> </w:t>
      </w:r>
    </w:p>
  </w:footnote>
  <w:footnote w:id="254">
    <w:p w14:paraId="10F5D3F0" w14:textId="722B1F76" w:rsidR="00B03FDE" w:rsidRPr="00561F65" w:rsidRDefault="00B03FDE" w:rsidP="004E4354">
      <w:pPr>
        <w:pStyle w:val="NotesBasPage"/>
      </w:pPr>
      <w:r w:rsidRPr="00561F65">
        <w:rPr>
          <w:rStyle w:val="Appelnotedebasdep"/>
        </w:rPr>
        <w:footnoteRef/>
      </w:r>
      <w:r w:rsidRPr="00561F65">
        <w:t xml:space="preserve"> </w:t>
      </w:r>
      <w:r w:rsidRPr="00561F65">
        <w:tab/>
        <w:t>Voir par exemple É</w:t>
      </w:r>
      <w:r w:rsidR="007929DD" w:rsidRPr="00561F65">
        <w:t>.</w:t>
      </w:r>
      <w:r w:rsidR="00D37146" w:rsidRPr="00561F65">
        <w:t xml:space="preserve"> </w:t>
      </w:r>
      <w:r w:rsidRPr="00561F65">
        <w:rPr>
          <w:smallCaps/>
        </w:rPr>
        <w:t>Morand</w:t>
      </w:r>
      <w:r w:rsidRPr="00561F65">
        <w:t xml:space="preserve"> et É</w:t>
      </w:r>
      <w:r w:rsidR="007929DD" w:rsidRPr="00561F65">
        <w:t>.</w:t>
      </w:r>
      <w:r w:rsidRPr="00561F65">
        <w:t xml:space="preserve"> </w:t>
      </w:r>
      <w:proofErr w:type="spellStart"/>
      <w:r w:rsidRPr="00561F65">
        <w:rPr>
          <w:smallCaps/>
        </w:rPr>
        <w:t>Feytit</w:t>
      </w:r>
      <w:proofErr w:type="spellEnd"/>
      <w:r w:rsidRPr="00561F65">
        <w:t xml:space="preserve">, </w:t>
      </w:r>
      <w:proofErr w:type="spellStart"/>
      <w:r w:rsidR="007929DD" w:rsidRPr="00561F65">
        <w:t>p</w:t>
      </w:r>
      <w:r w:rsidR="003D518D" w:rsidRPr="00561F65">
        <w:t>réc</w:t>
      </w:r>
      <w:proofErr w:type="spellEnd"/>
      <w:r w:rsidR="003D518D" w:rsidRPr="00561F65">
        <w:t xml:space="preserve">., note </w:t>
      </w:r>
      <w:r w:rsidR="003D518D" w:rsidRPr="00561F65">
        <w:fldChar w:fldCharType="begin"/>
      </w:r>
      <w:r w:rsidR="003D518D" w:rsidRPr="00561F65">
        <w:instrText xml:space="preserve"> NOTEREF _Ref216865070 \h </w:instrText>
      </w:r>
      <w:r w:rsidR="00ED24FE" w:rsidRPr="00561F65">
        <w:instrText xml:space="preserve"> \* MERGEFORMAT </w:instrText>
      </w:r>
      <w:r w:rsidR="003D518D" w:rsidRPr="00561F65">
        <w:fldChar w:fldCharType="separate"/>
      </w:r>
      <w:r w:rsidR="000374E3" w:rsidRPr="00561F65">
        <w:t>96</w:t>
      </w:r>
      <w:r w:rsidR="003D518D" w:rsidRPr="00561F65">
        <w:fldChar w:fldCharType="end"/>
      </w:r>
      <w:r w:rsidR="007929DD" w:rsidRPr="00561F65">
        <w:t>, p. 91</w:t>
      </w:r>
      <w:r w:rsidRPr="00561F65">
        <w:rPr>
          <w:rFonts w:ascii="Arial" w:hAnsi="Arial" w:cs="Arial"/>
        </w:rPr>
        <w:t> </w:t>
      </w:r>
      <w:r w:rsidRPr="00561F65">
        <w:t>; Audrey A</w:t>
      </w:r>
      <w:r w:rsidRPr="00561F65">
        <w:rPr>
          <w:smallCaps/>
        </w:rPr>
        <w:t>ppiah</w:t>
      </w:r>
      <w:r w:rsidRPr="00561F65">
        <w:t xml:space="preserve">, Chloe </w:t>
      </w:r>
      <w:r w:rsidRPr="00561F65">
        <w:rPr>
          <w:smallCaps/>
        </w:rPr>
        <w:t>Halpenny</w:t>
      </w:r>
      <w:r w:rsidRPr="00561F65">
        <w:t xml:space="preserve"> et Basia </w:t>
      </w:r>
      <w:r w:rsidRPr="00561F65">
        <w:rPr>
          <w:smallCaps/>
        </w:rPr>
        <w:t>Pakula</w:t>
      </w:r>
      <w:r w:rsidRPr="00561F65">
        <w:t xml:space="preserve">, </w:t>
      </w:r>
      <w:proofErr w:type="spellStart"/>
      <w:r w:rsidR="0061285C" w:rsidRPr="00561F65">
        <w:t>préc</w:t>
      </w:r>
      <w:proofErr w:type="spellEnd"/>
      <w:r w:rsidR="0061285C" w:rsidRPr="00561F65">
        <w:t>., note</w:t>
      </w:r>
      <w:r w:rsidR="0061285C" w:rsidRPr="00561F65">
        <w:rPr>
          <w:i/>
        </w:rPr>
        <w:t xml:space="preserve"> </w:t>
      </w:r>
      <w:r w:rsidRPr="00561F65">
        <w:rPr>
          <w:smallCaps/>
        </w:rPr>
        <w:t xml:space="preserve"> </w:t>
      </w:r>
      <w:r w:rsidR="0061285C" w:rsidRPr="00561F65">
        <w:fldChar w:fldCharType="begin"/>
      </w:r>
      <w:r w:rsidR="0061285C" w:rsidRPr="00561F65">
        <w:rPr>
          <w:smallCaps/>
        </w:rPr>
        <w:instrText xml:space="preserve"> NOTEREF _Ref219207783 \h </w:instrText>
      </w:r>
      <w:r w:rsidR="007017CF" w:rsidRPr="00561F65">
        <w:instrText xml:space="preserve"> \* MERGEFORMAT </w:instrText>
      </w:r>
      <w:r w:rsidR="0061285C" w:rsidRPr="00561F65">
        <w:fldChar w:fldCharType="separate"/>
      </w:r>
      <w:r w:rsidR="000374E3" w:rsidRPr="00561F65">
        <w:rPr>
          <w:smallCaps/>
        </w:rPr>
        <w:t>88</w:t>
      </w:r>
      <w:r w:rsidR="0061285C" w:rsidRPr="00561F65">
        <w:fldChar w:fldCharType="end"/>
      </w:r>
      <w:r w:rsidR="003C0160" w:rsidRPr="00561F65">
        <w:t xml:space="preserve">, </w:t>
      </w:r>
      <w:r w:rsidRPr="00561F65">
        <w:t>p. 16-17</w:t>
      </w:r>
      <w:r w:rsidR="003C0160" w:rsidRPr="00561F65">
        <w:t>.</w:t>
      </w:r>
    </w:p>
  </w:footnote>
  <w:footnote w:id="255">
    <w:p w14:paraId="41D05722" w14:textId="7B62F510" w:rsidR="00B03FDE" w:rsidRPr="00561F65" w:rsidRDefault="00B03FDE" w:rsidP="004E4354">
      <w:pPr>
        <w:pStyle w:val="NotesBasPage"/>
      </w:pPr>
      <w:r w:rsidRPr="00561F65">
        <w:rPr>
          <w:rStyle w:val="Appelnotedebasdep"/>
        </w:rPr>
        <w:footnoteRef/>
      </w:r>
      <w:r w:rsidRPr="00561F65">
        <w:t xml:space="preserve"> </w:t>
      </w:r>
      <w:r w:rsidR="000430C6" w:rsidRPr="00561F65">
        <w:tab/>
        <w:t xml:space="preserve">Line </w:t>
      </w:r>
      <w:r w:rsidRPr="00213776">
        <w:rPr>
          <w:smallCaps/>
        </w:rPr>
        <w:t>Chamberland</w:t>
      </w:r>
      <w:r w:rsidR="000430C6" w:rsidRPr="00561F65">
        <w:t xml:space="preserve"> et</w:t>
      </w:r>
      <w:r w:rsidRPr="00561F65">
        <w:t xml:space="preserve"> </w:t>
      </w:r>
      <w:r w:rsidRPr="00213776">
        <w:rPr>
          <w:smallCaps/>
        </w:rPr>
        <w:t>Julie Théroux-Séguin</w:t>
      </w:r>
      <w:r w:rsidRPr="00561F65">
        <w:t>, «</w:t>
      </w:r>
      <w:r w:rsidRPr="00561F65">
        <w:rPr>
          <w:rFonts w:ascii="Arial" w:hAnsi="Arial" w:cs="Arial"/>
        </w:rPr>
        <w:t> </w:t>
      </w:r>
      <w:r w:rsidRPr="00561F65">
        <w:t>Sexualité lesbienne et catégories de genre</w:t>
      </w:r>
      <w:r w:rsidRPr="00561F65">
        <w:rPr>
          <w:rFonts w:ascii="Arial" w:hAnsi="Arial" w:cs="Arial"/>
        </w:rPr>
        <w:t> </w:t>
      </w:r>
      <w:r w:rsidRPr="00561F65">
        <w:t>» (2009) 1 </w:t>
      </w:r>
      <w:r w:rsidRPr="003D0294">
        <w:rPr>
          <w:i/>
          <w:iCs/>
        </w:rPr>
        <w:t>Genre, sexualité &amp; société</w:t>
      </w:r>
      <w:r w:rsidRPr="00561F65">
        <w:t xml:space="preserve">, p. 5-9, </w:t>
      </w:r>
      <w:r w:rsidR="00213776">
        <w:t>[E</w:t>
      </w:r>
      <w:r w:rsidRPr="00561F65">
        <w:t>n ligne</w:t>
      </w:r>
      <w:r w:rsidR="00213776">
        <w:t>].</w:t>
      </w:r>
      <w:r w:rsidRPr="00561F65">
        <w:t xml:space="preserve"> </w:t>
      </w:r>
      <w:hyperlink r:id="rId121" w:history="1">
        <w:r w:rsidRPr="00156C31">
          <w:rPr>
            <w:rStyle w:val="Lienhypertexte"/>
          </w:rPr>
          <w:t>https://journals.openedition.org/gss/772</w:t>
        </w:r>
      </w:hyperlink>
      <w:r w:rsidRPr="00561F65">
        <w:tab/>
      </w:r>
    </w:p>
  </w:footnote>
  <w:footnote w:id="256">
    <w:p w14:paraId="70AB8EFC" w14:textId="77777777" w:rsidR="00B03FDE" w:rsidRPr="00561F65" w:rsidRDefault="00B03FDE" w:rsidP="004E4354">
      <w:pPr>
        <w:pStyle w:val="NotesBasPage"/>
      </w:pPr>
      <w:r w:rsidRPr="00561F65">
        <w:rPr>
          <w:rStyle w:val="Appelnotedebasdep"/>
        </w:rPr>
        <w:footnoteRef/>
      </w:r>
      <w:r w:rsidRPr="00561F65">
        <w:t xml:space="preserve"> </w:t>
      </w:r>
      <w:r w:rsidRPr="00561F65">
        <w:tab/>
      </w:r>
      <w:r w:rsidRPr="00561F65">
        <w:rPr>
          <w:i/>
        </w:rPr>
        <w:t>Id.</w:t>
      </w:r>
    </w:p>
  </w:footnote>
  <w:footnote w:id="257">
    <w:p w14:paraId="00995F5F" w14:textId="73AD5293" w:rsidR="00B03FDE" w:rsidRPr="00561F65" w:rsidRDefault="00B03FDE" w:rsidP="004E4354">
      <w:pPr>
        <w:pStyle w:val="NotesBasPage"/>
      </w:pPr>
      <w:r w:rsidRPr="00561F65">
        <w:rPr>
          <w:rStyle w:val="Appelnotedebasdep"/>
        </w:rPr>
        <w:footnoteRef/>
      </w:r>
      <w:r w:rsidRPr="00561F65">
        <w:t xml:space="preserve"> </w:t>
      </w:r>
      <w:r w:rsidRPr="00561F65">
        <w:tab/>
        <w:t xml:space="preserve">Voir par exemple </w:t>
      </w:r>
      <w:r w:rsidRPr="003D0294">
        <w:rPr>
          <w:i/>
          <w:iCs/>
        </w:rPr>
        <w:t>Commission des droits de la personne et des droits de la jeunesse (E.B.)</w:t>
      </w:r>
      <w:r w:rsidRPr="00561F65">
        <w:t xml:space="preserve"> c</w:t>
      </w:r>
      <w:r w:rsidR="00FB12C7" w:rsidRPr="003D0294">
        <w:rPr>
          <w:i/>
          <w:iCs/>
        </w:rPr>
        <w:t>.</w:t>
      </w:r>
      <w:r w:rsidRPr="003D0294">
        <w:rPr>
          <w:i/>
          <w:iCs/>
        </w:rPr>
        <w:t xml:space="preserve"> 9302-6573 Québec </w:t>
      </w:r>
      <w:proofErr w:type="spellStart"/>
      <w:r w:rsidRPr="003D0294">
        <w:rPr>
          <w:i/>
          <w:iCs/>
        </w:rPr>
        <w:t>inc</w:t>
      </w:r>
      <w:r w:rsidRPr="00561F65">
        <w:t>.</w:t>
      </w:r>
      <w:proofErr w:type="spellEnd"/>
      <w:r w:rsidRPr="00561F65">
        <w:t xml:space="preserve"> (Bar Lucky 7), </w:t>
      </w:r>
      <w:proofErr w:type="spellStart"/>
      <w:r w:rsidR="00FB12C7" w:rsidRPr="00561F65">
        <w:t>préc</w:t>
      </w:r>
      <w:proofErr w:type="spellEnd"/>
      <w:r w:rsidR="00FB12C7" w:rsidRPr="00561F65">
        <w:t xml:space="preserve">., note </w:t>
      </w:r>
      <w:r w:rsidR="00FB12C7" w:rsidRPr="00561F65">
        <w:fldChar w:fldCharType="begin"/>
      </w:r>
      <w:r w:rsidR="00FB12C7" w:rsidRPr="00561F65">
        <w:instrText xml:space="preserve"> NOTEREF _Ref219291741 \h </w:instrText>
      </w:r>
      <w:r w:rsidR="007017CF" w:rsidRPr="00561F65">
        <w:instrText xml:space="preserve"> \* MERGEFORMAT </w:instrText>
      </w:r>
      <w:r w:rsidR="00FB12C7" w:rsidRPr="00561F65">
        <w:fldChar w:fldCharType="separate"/>
      </w:r>
      <w:r w:rsidR="000374E3" w:rsidRPr="00561F65">
        <w:t>142</w:t>
      </w:r>
      <w:r w:rsidR="00FB12C7" w:rsidRPr="00561F65">
        <w:fldChar w:fldCharType="end"/>
      </w:r>
      <w:r w:rsidRPr="00561F65">
        <w:t>, par. 22-26.</w:t>
      </w:r>
    </w:p>
  </w:footnote>
  <w:footnote w:id="258">
    <w:p w14:paraId="71F878E6" w14:textId="3A59E47D" w:rsidR="005A117B" w:rsidRPr="00535F6D" w:rsidRDefault="005A117B" w:rsidP="004E4354">
      <w:pPr>
        <w:pStyle w:val="NotesBasPage"/>
      </w:pPr>
      <w:r w:rsidRPr="00561F65">
        <w:rPr>
          <w:rStyle w:val="Appelnotedebasdep"/>
        </w:rPr>
        <w:footnoteRef/>
      </w:r>
      <w:r w:rsidRPr="00561F65">
        <w:t xml:space="preserve"> </w:t>
      </w:r>
      <w:r w:rsidRPr="00561F65">
        <w:tab/>
      </w:r>
      <w:r w:rsidR="000E6A0E">
        <w:t xml:space="preserve">Line </w:t>
      </w:r>
      <w:r w:rsidRPr="003D0E60">
        <w:rPr>
          <w:smallCaps/>
        </w:rPr>
        <w:t>Chamberland</w:t>
      </w:r>
      <w:r w:rsidRPr="00561F65">
        <w:t xml:space="preserve"> et Julie </w:t>
      </w:r>
      <w:r w:rsidRPr="003D0E60">
        <w:rPr>
          <w:smallCaps/>
        </w:rPr>
        <w:t>Théroux-Séguin</w:t>
      </w:r>
      <w:r w:rsidRPr="00561F65">
        <w:t>, «</w:t>
      </w:r>
      <w:r w:rsidR="00FC464D">
        <w:rPr>
          <w:rFonts w:ascii="Arial" w:hAnsi="Arial" w:cs="Arial"/>
        </w:rPr>
        <w:t> </w:t>
      </w:r>
      <w:r w:rsidRPr="00561F65">
        <w:t>Les stéréotypes à l’égard des gais et lesbiennes</w:t>
      </w:r>
      <w:r w:rsidRPr="00561F65">
        <w:rPr>
          <w:rFonts w:ascii="Arial" w:hAnsi="Arial" w:cs="Arial"/>
        </w:rPr>
        <w:t> </w:t>
      </w:r>
      <w:r w:rsidRPr="00561F65">
        <w:t>: des r</w:t>
      </w:r>
      <w:r w:rsidRPr="00561F65">
        <w:rPr>
          <w:rFonts w:cs="Aptos"/>
        </w:rPr>
        <w:t>é</w:t>
      </w:r>
      <w:r w:rsidRPr="00561F65">
        <w:t>v</w:t>
      </w:r>
      <w:r w:rsidRPr="00561F65">
        <w:rPr>
          <w:rFonts w:cs="Aptos"/>
        </w:rPr>
        <w:t>é</w:t>
      </w:r>
      <w:r w:rsidRPr="00561F65">
        <w:t>lateurs de l</w:t>
      </w:r>
      <w:r w:rsidRPr="00561F65">
        <w:rPr>
          <w:rFonts w:cs="Aptos"/>
        </w:rPr>
        <w:t>’</w:t>
      </w:r>
      <w:r w:rsidRPr="00561F65">
        <w:t>intersection entre genre et sexualit</w:t>
      </w:r>
      <w:r w:rsidRPr="00561F65">
        <w:rPr>
          <w:rFonts w:cs="Aptos"/>
        </w:rPr>
        <w:t>é</w:t>
      </w:r>
      <w:r w:rsidR="00FC464D">
        <w:rPr>
          <w:rFonts w:ascii="Arial" w:hAnsi="Arial" w:cs="Arial"/>
        </w:rPr>
        <w:t> </w:t>
      </w:r>
      <w:r w:rsidRPr="00561F65">
        <w:rPr>
          <w:rFonts w:cs="Aptos"/>
        </w:rPr>
        <w:t>»</w:t>
      </w:r>
      <w:r w:rsidRPr="00561F65">
        <w:t xml:space="preserve"> (2014) 26</w:t>
      </w:r>
      <w:r w:rsidR="00291541">
        <w:t> </w:t>
      </w:r>
      <w:r w:rsidRPr="00561F65">
        <w:rPr>
          <w:i/>
        </w:rPr>
        <w:t xml:space="preserve">Nouvelles pratiques sociales </w:t>
      </w:r>
      <w:r w:rsidRPr="00561F65">
        <w:t>2, p. 82</w:t>
      </w:r>
      <w:r w:rsidRPr="00561F65">
        <w:noBreakHyphen/>
        <w:t xml:space="preserve">96, </w:t>
      </w:r>
      <w:r w:rsidR="003D2774">
        <w:t>[</w:t>
      </w:r>
      <w:r w:rsidR="003D0E60">
        <w:t>E</w:t>
      </w:r>
      <w:r w:rsidRPr="00561F65">
        <w:t>n ligne</w:t>
      </w:r>
      <w:r w:rsidR="003D0E60">
        <w:t>].</w:t>
      </w:r>
      <w:r w:rsidR="00535F6D" w:rsidRPr="00535F6D">
        <w:t xml:space="preserve"> </w:t>
      </w:r>
      <w:hyperlink r:id="rId122" w:history="1">
        <w:r w:rsidR="00535F6D" w:rsidRPr="007912CF">
          <w:rPr>
            <w:rStyle w:val="Lienhypertexte"/>
          </w:rPr>
          <w:t>https://www.erudit.org/fr/revues/nps/2014-v26-n2-nps01770/1029263ar/</w:t>
        </w:r>
      </w:hyperlink>
      <w:r w:rsidRPr="00561F65">
        <w:t xml:space="preserve"> </w:t>
      </w:r>
    </w:p>
  </w:footnote>
  <w:footnote w:id="259">
    <w:p w14:paraId="0B4547C6" w14:textId="682D6176" w:rsidR="00AB4CB0" w:rsidRPr="00FD49C2" w:rsidRDefault="00AB4CB0" w:rsidP="004E4354">
      <w:pPr>
        <w:pStyle w:val="NotesBasPage"/>
      </w:pPr>
      <w:r w:rsidRPr="00561F65">
        <w:rPr>
          <w:rStyle w:val="Appelnotedebasdep"/>
        </w:rPr>
        <w:footnoteRef/>
      </w:r>
      <w:r w:rsidRPr="00561F65">
        <w:rPr>
          <w:lang w:val="en-CA"/>
        </w:rPr>
        <w:t xml:space="preserve"> </w:t>
      </w:r>
      <w:r w:rsidRPr="00561F65">
        <w:rPr>
          <w:lang w:val="en-CA"/>
        </w:rPr>
        <w:tab/>
      </w:r>
      <w:r w:rsidR="000E6A0E">
        <w:rPr>
          <w:lang w:val="en-CA"/>
        </w:rPr>
        <w:t xml:space="preserve">Greta </w:t>
      </w:r>
      <w:r w:rsidRPr="003D0E60">
        <w:rPr>
          <w:smallCaps/>
          <w:lang w:val="en-CA"/>
        </w:rPr>
        <w:t>Bauer</w:t>
      </w:r>
      <w:r w:rsidRPr="00561F65">
        <w:rPr>
          <w:lang w:val="en-CA"/>
        </w:rPr>
        <w:t xml:space="preserve"> et Rebecca </w:t>
      </w:r>
      <w:r w:rsidRPr="003D0E60">
        <w:rPr>
          <w:smallCaps/>
          <w:lang w:val="en-CA"/>
        </w:rPr>
        <w:t>Hammond</w:t>
      </w:r>
      <w:r w:rsidRPr="00561F65">
        <w:rPr>
          <w:lang w:val="en-CA"/>
        </w:rPr>
        <w:t xml:space="preserve">, « Toward a broader conceptualization of trans women’s sexual health » (2015) 24 </w:t>
      </w:r>
      <w:r w:rsidRPr="00561F65">
        <w:rPr>
          <w:i/>
          <w:lang w:val="en-CA"/>
        </w:rPr>
        <w:t xml:space="preserve">The Canadian </w:t>
      </w:r>
      <w:r w:rsidR="002545CB" w:rsidRPr="00561F65">
        <w:rPr>
          <w:i/>
          <w:lang w:val="en-CA"/>
        </w:rPr>
        <w:t>J</w:t>
      </w:r>
      <w:r w:rsidRPr="00561F65">
        <w:rPr>
          <w:i/>
          <w:lang w:val="en-CA"/>
        </w:rPr>
        <w:t xml:space="preserve">ournal of </w:t>
      </w:r>
      <w:r w:rsidR="002545CB" w:rsidRPr="00561F65">
        <w:rPr>
          <w:i/>
          <w:lang w:val="en-CA"/>
        </w:rPr>
        <w:t>H</w:t>
      </w:r>
      <w:r w:rsidRPr="00561F65">
        <w:rPr>
          <w:i/>
          <w:lang w:val="en-CA"/>
        </w:rPr>
        <w:t xml:space="preserve">uman </w:t>
      </w:r>
      <w:r w:rsidR="002545CB" w:rsidRPr="00561F65">
        <w:rPr>
          <w:i/>
          <w:lang w:val="en-CA"/>
        </w:rPr>
        <w:t>S</w:t>
      </w:r>
      <w:r w:rsidRPr="00561F65">
        <w:rPr>
          <w:i/>
          <w:lang w:val="en-CA"/>
        </w:rPr>
        <w:t>exuality</w:t>
      </w:r>
      <w:r w:rsidR="00AB1B44">
        <w:rPr>
          <w:lang w:val="en-CA"/>
        </w:rPr>
        <w:t> </w:t>
      </w:r>
      <w:r w:rsidR="0003493A" w:rsidRPr="00561F65">
        <w:rPr>
          <w:lang w:val="en-CA"/>
        </w:rPr>
        <w:t xml:space="preserve">1, </w:t>
      </w:r>
      <w:r w:rsidR="003D0E60">
        <w:rPr>
          <w:lang w:val="en-CA"/>
        </w:rPr>
        <w:t>[E</w:t>
      </w:r>
      <w:r w:rsidR="0003493A" w:rsidRPr="00561F65">
        <w:rPr>
          <w:lang w:val="en-CA"/>
        </w:rPr>
        <w:t xml:space="preserve">n </w:t>
      </w:r>
      <w:proofErr w:type="spellStart"/>
      <w:r w:rsidR="0003493A" w:rsidRPr="00561F65">
        <w:rPr>
          <w:lang w:val="en-CA"/>
        </w:rPr>
        <w:t>ligne</w:t>
      </w:r>
      <w:proofErr w:type="spellEnd"/>
      <w:r w:rsidR="003D0E60">
        <w:rPr>
          <w:lang w:val="en-CA"/>
        </w:rPr>
        <w:t>].</w:t>
      </w:r>
      <w:r w:rsidR="0003493A" w:rsidRPr="00561F65">
        <w:rPr>
          <w:lang w:val="en-CA"/>
        </w:rPr>
        <w:t xml:space="preserve"> </w:t>
      </w:r>
      <w:hyperlink r:id="rId123" w:history="1">
        <w:r w:rsidR="0003493A" w:rsidRPr="00535F6D">
          <w:rPr>
            <w:rStyle w:val="Lienhypertexte"/>
          </w:rPr>
          <w:t>https://doi.org/10.3138/cjhs.24.1-CO1</w:t>
        </w:r>
      </w:hyperlink>
      <w:r w:rsidR="0003493A" w:rsidRPr="00FD49C2">
        <w:t xml:space="preserve"> </w:t>
      </w:r>
    </w:p>
  </w:footnote>
  <w:footnote w:id="260">
    <w:p w14:paraId="471A25F3" w14:textId="5AFEAE95" w:rsidR="001350D0" w:rsidRPr="00FD49C2" w:rsidRDefault="001350D0" w:rsidP="004E4354">
      <w:pPr>
        <w:pStyle w:val="NotesBasPage"/>
      </w:pPr>
      <w:r w:rsidRPr="00561F65">
        <w:rPr>
          <w:rStyle w:val="Appelnotedebasdep"/>
        </w:rPr>
        <w:footnoteRef/>
      </w:r>
      <w:r w:rsidRPr="00FD49C2">
        <w:t xml:space="preserve"> </w:t>
      </w:r>
      <w:r w:rsidRPr="00FD49C2">
        <w:tab/>
      </w:r>
      <w:r w:rsidRPr="00FD49C2">
        <w:rPr>
          <w:i/>
        </w:rPr>
        <w:t xml:space="preserve">Saskatchewan (Human </w:t>
      </w:r>
      <w:proofErr w:type="spellStart"/>
      <w:r w:rsidRPr="00FD49C2">
        <w:rPr>
          <w:i/>
        </w:rPr>
        <w:t>Rights</w:t>
      </w:r>
      <w:proofErr w:type="spellEnd"/>
      <w:r w:rsidRPr="00FD49C2">
        <w:rPr>
          <w:i/>
        </w:rPr>
        <w:t xml:space="preserve"> Commission)</w:t>
      </w:r>
      <w:r w:rsidRPr="00FD49C2">
        <w:t xml:space="preserve"> </w:t>
      </w:r>
      <w:r w:rsidR="00E2276B" w:rsidRPr="00FD49C2">
        <w:t>c</w:t>
      </w:r>
      <w:r w:rsidRPr="00FD49C2">
        <w:t xml:space="preserve">. </w:t>
      </w:r>
      <w:r w:rsidRPr="00FD49C2">
        <w:rPr>
          <w:i/>
        </w:rPr>
        <w:t>Whatcott</w:t>
      </w:r>
      <w:r w:rsidRPr="00FD49C2">
        <w:t>, 2013 SCC 11, par. 45</w:t>
      </w:r>
      <w:r w:rsidRPr="00FD49C2">
        <w:rPr>
          <w:rFonts w:ascii="Arial" w:hAnsi="Arial" w:cs="Arial"/>
        </w:rPr>
        <w:t> </w:t>
      </w:r>
      <w:r w:rsidRPr="00FD49C2">
        <w:t xml:space="preserve">; voir aussi </w:t>
      </w:r>
      <w:r w:rsidRPr="006154C6">
        <w:rPr>
          <w:i/>
          <w:iCs/>
        </w:rPr>
        <w:t>Rainbow Alliance Dryden et al</w:t>
      </w:r>
      <w:r w:rsidRPr="00FD49C2">
        <w:t xml:space="preserve"> v. </w:t>
      </w:r>
      <w:r w:rsidRPr="006154C6">
        <w:rPr>
          <w:i/>
          <w:iCs/>
        </w:rPr>
        <w:t>Webster</w:t>
      </w:r>
      <w:r w:rsidRPr="00FD49C2">
        <w:t>, 2025 ONSC 1161 (CanLII), par. 136-139</w:t>
      </w:r>
      <w:r w:rsidR="00456D35" w:rsidRPr="00FD49C2">
        <w:t>.</w:t>
      </w:r>
    </w:p>
  </w:footnote>
  <w:footnote w:id="261">
    <w:p w14:paraId="512EB1AB" w14:textId="31F85300" w:rsidR="001350D0" w:rsidRPr="00561F65" w:rsidRDefault="001350D0" w:rsidP="004E4354">
      <w:pPr>
        <w:pStyle w:val="NotesBasPage"/>
      </w:pPr>
      <w:r w:rsidRPr="00561F65">
        <w:rPr>
          <w:rStyle w:val="Appelnotedebasdep"/>
        </w:rPr>
        <w:footnoteRef/>
      </w:r>
      <w:r w:rsidRPr="00561F65">
        <w:t xml:space="preserve"> </w:t>
      </w:r>
      <w:r w:rsidRPr="00561F65">
        <w:tab/>
      </w:r>
      <w:r w:rsidR="00456D35" w:rsidRPr="00561F65">
        <w:rPr>
          <w:i/>
        </w:rPr>
        <w:t>Id</w:t>
      </w:r>
      <w:r w:rsidR="00456D35" w:rsidRPr="00561F65">
        <w:t>.</w:t>
      </w:r>
      <w:r w:rsidRPr="00561F65">
        <w:t>, par. 158-170</w:t>
      </w:r>
      <w:r w:rsidR="00456D35" w:rsidRPr="00561F65">
        <w:t>.</w:t>
      </w:r>
    </w:p>
  </w:footnote>
  <w:footnote w:id="262">
    <w:p w14:paraId="3224B9D6" w14:textId="7BB03578" w:rsidR="00D64487" w:rsidRPr="00561F65" w:rsidRDefault="00D64487" w:rsidP="004E4354">
      <w:pPr>
        <w:pStyle w:val="NotesBasPage"/>
        <w:rPr>
          <w:highlight w:val="yellow"/>
        </w:rPr>
      </w:pPr>
      <w:r w:rsidRPr="00561F65">
        <w:rPr>
          <w:rStyle w:val="Appelnotedebasdep"/>
        </w:rPr>
        <w:footnoteRef/>
      </w:r>
      <w:r w:rsidRPr="00561F65">
        <w:t xml:space="preserve"> </w:t>
      </w:r>
      <w:r w:rsidRPr="00561F65">
        <w:tab/>
      </w:r>
      <w:r w:rsidRPr="00E2276B">
        <w:rPr>
          <w:smallCaps/>
        </w:rPr>
        <w:t>Commission des droits de la personne et des droits de la jeunesse</w:t>
      </w:r>
      <w:r w:rsidRPr="00561F65">
        <w:t xml:space="preserve">, </w:t>
      </w:r>
      <w:proofErr w:type="spellStart"/>
      <w:r w:rsidR="00770DAE" w:rsidRPr="00561F65">
        <w:t>préc</w:t>
      </w:r>
      <w:proofErr w:type="spellEnd"/>
      <w:r w:rsidR="00770DAE" w:rsidRPr="00561F65">
        <w:t xml:space="preserve">., note </w:t>
      </w:r>
      <w:r w:rsidR="00770DAE" w:rsidRPr="00561F65">
        <w:fldChar w:fldCharType="begin"/>
      </w:r>
      <w:r w:rsidR="00770DAE" w:rsidRPr="00561F65">
        <w:instrText xml:space="preserve"> NOTEREF _Ref219195115 \h </w:instrText>
      </w:r>
      <w:r w:rsidR="007017CF" w:rsidRPr="00561F65">
        <w:instrText xml:space="preserve"> \* MERGEFORMAT </w:instrText>
      </w:r>
      <w:r w:rsidR="00770DAE" w:rsidRPr="00561F65">
        <w:fldChar w:fldCharType="separate"/>
      </w:r>
      <w:r w:rsidR="000374E3" w:rsidRPr="00561F65">
        <w:t>34</w:t>
      </w:r>
      <w:r w:rsidR="00770DAE" w:rsidRPr="00561F65">
        <w:fldChar w:fldCharType="end"/>
      </w:r>
      <w:r w:rsidR="00770DAE" w:rsidRPr="00561F65">
        <w:t>, p. 12-14.</w:t>
      </w:r>
    </w:p>
  </w:footnote>
  <w:footnote w:id="263">
    <w:p w14:paraId="45FA121F" w14:textId="4C47C7AF" w:rsidR="00D64487" w:rsidRPr="00561F65" w:rsidRDefault="00D64487" w:rsidP="004E4354">
      <w:pPr>
        <w:pStyle w:val="NotesBasPage"/>
      </w:pPr>
      <w:r w:rsidRPr="00561F65">
        <w:rPr>
          <w:rStyle w:val="Appelnotedebasdep"/>
        </w:rPr>
        <w:footnoteRef/>
      </w:r>
      <w:r w:rsidRPr="00561F65">
        <w:t xml:space="preserve"> </w:t>
      </w:r>
      <w:r w:rsidRPr="00561F65">
        <w:tab/>
      </w:r>
      <w:r w:rsidRPr="00561F65">
        <w:rPr>
          <w:i/>
        </w:rPr>
        <w:t>Hansman</w:t>
      </w:r>
      <w:r w:rsidRPr="00561F65">
        <w:t xml:space="preserve"> c. </w:t>
      </w:r>
      <w:r w:rsidRPr="00561F65">
        <w:rPr>
          <w:i/>
        </w:rPr>
        <w:t>Neufeld</w:t>
      </w:r>
      <w:r w:rsidRPr="00561F65">
        <w:t>, 2023 CSC 14 (CanLII), par. 85,</w:t>
      </w:r>
      <w:r w:rsidR="00456D35" w:rsidRPr="00561F65">
        <w:t xml:space="preserve"> </w:t>
      </w:r>
    </w:p>
  </w:footnote>
  <w:footnote w:id="264">
    <w:p w14:paraId="2595FEC3" w14:textId="4FEE59F9" w:rsidR="00D64487" w:rsidRPr="00561F65" w:rsidRDefault="00D64487" w:rsidP="004E4354">
      <w:pPr>
        <w:pStyle w:val="NotesBasPage"/>
      </w:pPr>
      <w:r w:rsidRPr="00561F65">
        <w:rPr>
          <w:rStyle w:val="Appelnotedebasdep"/>
        </w:rPr>
        <w:footnoteRef/>
      </w:r>
      <w:r w:rsidRPr="00561F65">
        <w:t xml:space="preserve"> </w:t>
      </w:r>
      <w:r w:rsidRPr="00561F65">
        <w:tab/>
      </w:r>
      <w:r w:rsidR="00456D35" w:rsidRPr="00561F65">
        <w:rPr>
          <w:i/>
        </w:rPr>
        <w:t>Id</w:t>
      </w:r>
      <w:r w:rsidR="00456D35" w:rsidRPr="00561F65">
        <w:t>.</w:t>
      </w:r>
    </w:p>
  </w:footnote>
  <w:footnote w:id="265">
    <w:p w14:paraId="123C16E9" w14:textId="0081DED9" w:rsidR="004F316E" w:rsidRPr="00561F65" w:rsidRDefault="00D64487" w:rsidP="004E4354">
      <w:pPr>
        <w:pStyle w:val="NotesBasPage"/>
      </w:pPr>
      <w:r w:rsidRPr="00561F65">
        <w:rPr>
          <w:rStyle w:val="Appelnotedebasdep"/>
        </w:rPr>
        <w:footnoteRef/>
      </w:r>
      <w:r w:rsidRPr="00561F65">
        <w:t xml:space="preserve"> </w:t>
      </w:r>
      <w:r w:rsidRPr="00561F65">
        <w:tab/>
      </w:r>
      <w:r w:rsidRPr="00654DEB">
        <w:rPr>
          <w:smallCaps/>
        </w:rPr>
        <w:t>Commission des droits de la personne et des droits de la jeunesse</w:t>
      </w:r>
      <w:r w:rsidRPr="00561F65">
        <w:t xml:space="preserve">, </w:t>
      </w:r>
      <w:proofErr w:type="spellStart"/>
      <w:r w:rsidR="009E13AD" w:rsidRPr="00561F65">
        <w:t>préc</w:t>
      </w:r>
      <w:proofErr w:type="spellEnd"/>
      <w:r w:rsidR="009E13AD" w:rsidRPr="00561F65">
        <w:t xml:space="preserve">., note </w:t>
      </w:r>
      <w:r w:rsidR="009E13AD" w:rsidRPr="00561F65">
        <w:fldChar w:fldCharType="begin"/>
      </w:r>
      <w:r w:rsidR="009E13AD" w:rsidRPr="00561F65">
        <w:instrText xml:space="preserve"> NOTEREF _Ref216861339 \h </w:instrText>
      </w:r>
      <w:r w:rsidR="007017CF" w:rsidRPr="00561F65">
        <w:instrText xml:space="preserve"> \* MERGEFORMAT </w:instrText>
      </w:r>
      <w:r w:rsidR="009E13AD" w:rsidRPr="00561F65">
        <w:fldChar w:fldCharType="separate"/>
      </w:r>
      <w:r w:rsidR="000374E3" w:rsidRPr="00561F65">
        <w:t>5</w:t>
      </w:r>
      <w:r w:rsidR="009E13AD" w:rsidRPr="00561F65">
        <w:fldChar w:fldCharType="end"/>
      </w:r>
      <w:r w:rsidR="009E13AD" w:rsidRPr="00561F65">
        <w:t xml:space="preserve">, </w:t>
      </w:r>
      <w:r w:rsidRPr="00561F65">
        <w:t>p. 22</w:t>
      </w:r>
      <w:r w:rsidR="0046630A" w:rsidRPr="00561F65">
        <w:rPr>
          <w:rFonts w:ascii="Arial" w:hAnsi="Arial" w:cs="Arial"/>
        </w:rPr>
        <w:t> </w:t>
      </w:r>
      <w:r w:rsidR="007929DD" w:rsidRPr="00561F65">
        <w:t>; Voir</w:t>
      </w:r>
      <w:r w:rsidRPr="00561F65">
        <w:t xml:space="preserve"> aussi : Jack </w:t>
      </w:r>
      <w:r w:rsidRPr="00654DEB">
        <w:rPr>
          <w:smallCaps/>
        </w:rPr>
        <w:t>Drescher</w:t>
      </w:r>
      <w:r w:rsidRPr="00561F65">
        <w:t>, «</w:t>
      </w:r>
      <w:r w:rsidRPr="00561F65">
        <w:rPr>
          <w:rFonts w:ascii="Arial" w:hAnsi="Arial" w:cs="Arial"/>
        </w:rPr>
        <w:t> </w:t>
      </w:r>
      <w:r w:rsidRPr="00561F65">
        <w:t xml:space="preserve">Out of DSM: </w:t>
      </w:r>
      <w:proofErr w:type="spellStart"/>
      <w:r w:rsidRPr="00561F65">
        <w:t>Depathologizing</w:t>
      </w:r>
      <w:proofErr w:type="spellEnd"/>
      <w:r w:rsidRPr="00561F65">
        <w:t xml:space="preserve"> </w:t>
      </w:r>
      <w:proofErr w:type="spellStart"/>
      <w:r w:rsidRPr="00561F65">
        <w:t>Homosexuality</w:t>
      </w:r>
      <w:proofErr w:type="spellEnd"/>
      <w:r w:rsidRPr="00561F65">
        <w:rPr>
          <w:rFonts w:ascii="Arial" w:hAnsi="Arial" w:cs="Arial"/>
        </w:rPr>
        <w:t> </w:t>
      </w:r>
      <w:r w:rsidRPr="00561F65">
        <w:rPr>
          <w:rFonts w:cs="Aptos"/>
        </w:rPr>
        <w:t>»</w:t>
      </w:r>
      <w:r w:rsidRPr="00561F65">
        <w:t xml:space="preserve">, </w:t>
      </w:r>
      <w:proofErr w:type="spellStart"/>
      <w:r w:rsidRPr="00561F65">
        <w:t>Behavioral</w:t>
      </w:r>
      <w:proofErr w:type="spellEnd"/>
      <w:r w:rsidRPr="00561F65">
        <w:t xml:space="preserve"> Science, vol. 5, n</w:t>
      </w:r>
      <w:r w:rsidRPr="00561F65">
        <w:rPr>
          <w:vertAlign w:val="superscript"/>
        </w:rPr>
        <w:t>o </w:t>
      </w:r>
      <w:r w:rsidRPr="00561F65">
        <w:t xml:space="preserve">4, 2015, p. 571, [En ligne]. </w:t>
      </w:r>
      <w:hyperlink r:id="rId124" w:history="1">
        <w:r w:rsidR="004F316E" w:rsidRPr="00E058E4">
          <w:rPr>
            <w:rStyle w:val="Lienhypertexte"/>
          </w:rPr>
          <w:t>https://www.mdpi.com/2076-328X/5/4/565</w:t>
        </w:r>
      </w:hyperlink>
    </w:p>
  </w:footnote>
  <w:footnote w:id="266">
    <w:p w14:paraId="39AA1B93" w14:textId="34A12115" w:rsidR="006A1DC1" w:rsidRPr="00561F65" w:rsidRDefault="006A1DC1" w:rsidP="004E4354">
      <w:pPr>
        <w:pStyle w:val="NotesBasPage"/>
      </w:pPr>
      <w:r w:rsidRPr="00561F65">
        <w:rPr>
          <w:rStyle w:val="Appelnotedebasdep"/>
        </w:rPr>
        <w:footnoteRef/>
      </w:r>
      <w:r w:rsidRPr="00561F65">
        <w:t xml:space="preserve"> </w:t>
      </w:r>
      <w:r w:rsidR="001B59FA" w:rsidRPr="00561F65">
        <w:tab/>
      </w:r>
      <w:r w:rsidR="00955FC1" w:rsidRPr="00561F65">
        <w:t xml:space="preserve">Martin </w:t>
      </w:r>
      <w:r w:rsidR="00955FC1" w:rsidRPr="00561F65">
        <w:rPr>
          <w:smallCaps/>
        </w:rPr>
        <w:t>Blais</w:t>
      </w:r>
      <w:r w:rsidR="00955FC1" w:rsidRPr="00561F65">
        <w:t>, «</w:t>
      </w:r>
      <w:r w:rsidR="00955FC1" w:rsidRPr="00561F65">
        <w:rPr>
          <w:rFonts w:ascii="Arial" w:hAnsi="Arial" w:cs="Arial"/>
        </w:rPr>
        <w:t> </w:t>
      </w:r>
      <w:r w:rsidR="00955FC1" w:rsidRPr="00561F65">
        <w:t>Portrait des communautés LGBTQ+ au Québec : bilan d’une enquête historique sur leurs expériences d’inclusion et d’exclusion sociales</w:t>
      </w:r>
      <w:r w:rsidR="00955FC1" w:rsidRPr="00561F65">
        <w:rPr>
          <w:rFonts w:ascii="Arial" w:hAnsi="Arial" w:cs="Arial"/>
        </w:rPr>
        <w:t> </w:t>
      </w:r>
      <w:r w:rsidR="00955FC1" w:rsidRPr="00561F65">
        <w:t xml:space="preserve">», Présentation dans le cadre des Journées annuelles SAVIE-LGBTQ, 12 novembre 2020, [En ligne]. </w:t>
      </w:r>
      <w:hyperlink r:id="rId125" w:history="1">
        <w:r w:rsidR="00955FC1" w:rsidRPr="00535F6D">
          <w:rPr>
            <w:rStyle w:val="Lienhypertexte"/>
          </w:rPr>
          <w:t>https://savie-lgbtq.uqam.ca/journees-savie-lgbtq/</w:t>
        </w:r>
      </w:hyperlink>
    </w:p>
  </w:footnote>
  <w:footnote w:id="267">
    <w:p w14:paraId="4DF0A30E" w14:textId="34F19BD6" w:rsidR="006A1DC1" w:rsidRPr="00561F65" w:rsidRDefault="006A1DC1" w:rsidP="004E4354">
      <w:pPr>
        <w:pStyle w:val="NotesBasPage"/>
      </w:pPr>
      <w:r w:rsidRPr="00561F65">
        <w:rPr>
          <w:rStyle w:val="Appelnotedebasdep"/>
        </w:rPr>
        <w:footnoteRef/>
      </w:r>
      <w:r w:rsidRPr="00561F65">
        <w:t xml:space="preserve"> </w:t>
      </w:r>
      <w:r w:rsidRPr="00561F65">
        <w:tab/>
      </w:r>
      <w:r w:rsidRPr="00332B44">
        <w:rPr>
          <w:i/>
          <w:iCs/>
        </w:rPr>
        <w:t>Commission des droits de la personne et des droits de la jeunesse (E.B.)</w:t>
      </w:r>
      <w:r w:rsidRPr="00561F65">
        <w:t xml:space="preserve"> c</w:t>
      </w:r>
      <w:r w:rsidRPr="009D28F2">
        <w:t>.</w:t>
      </w:r>
      <w:r w:rsidR="005C5B01" w:rsidRPr="009D28F2">
        <w:t> </w:t>
      </w:r>
      <w:r w:rsidRPr="00332B44">
        <w:rPr>
          <w:i/>
          <w:iCs/>
        </w:rPr>
        <w:t xml:space="preserve">9302-6573 Québec </w:t>
      </w:r>
      <w:proofErr w:type="spellStart"/>
      <w:r w:rsidRPr="00332B44">
        <w:rPr>
          <w:i/>
          <w:iCs/>
        </w:rPr>
        <w:t>inc.</w:t>
      </w:r>
      <w:proofErr w:type="spellEnd"/>
      <w:r w:rsidRPr="00332B44">
        <w:rPr>
          <w:i/>
          <w:iCs/>
        </w:rPr>
        <w:t xml:space="preserve"> (Bar Lucky</w:t>
      </w:r>
      <w:r w:rsidR="005C5B01" w:rsidRPr="00332B44">
        <w:rPr>
          <w:i/>
          <w:iCs/>
        </w:rPr>
        <w:t> </w:t>
      </w:r>
      <w:r w:rsidRPr="00332B44">
        <w:rPr>
          <w:i/>
          <w:iCs/>
        </w:rPr>
        <w:t>7)</w:t>
      </w:r>
      <w:r w:rsidRPr="00561F65">
        <w:t xml:space="preserve">, </w:t>
      </w:r>
      <w:proofErr w:type="spellStart"/>
      <w:r w:rsidR="00FB12C7" w:rsidRPr="00561F65">
        <w:t>préc</w:t>
      </w:r>
      <w:proofErr w:type="spellEnd"/>
      <w:r w:rsidR="00FB12C7" w:rsidRPr="00561F65">
        <w:t xml:space="preserve">., note </w:t>
      </w:r>
      <w:r w:rsidR="009C5A62" w:rsidRPr="00561F65">
        <w:fldChar w:fldCharType="begin"/>
      </w:r>
      <w:r w:rsidR="009C5A62" w:rsidRPr="00561F65">
        <w:instrText xml:space="preserve"> NOTEREF _Ref219291741 \h </w:instrText>
      </w:r>
      <w:r w:rsidR="007017CF" w:rsidRPr="00561F65">
        <w:instrText xml:space="preserve"> \* MERGEFORMAT </w:instrText>
      </w:r>
      <w:r w:rsidR="009C5A62" w:rsidRPr="00561F65">
        <w:fldChar w:fldCharType="separate"/>
      </w:r>
      <w:r w:rsidR="000374E3" w:rsidRPr="00561F65">
        <w:t>142</w:t>
      </w:r>
      <w:r w:rsidR="009C5A62" w:rsidRPr="00561F65">
        <w:fldChar w:fldCharType="end"/>
      </w:r>
      <w:r w:rsidRPr="00561F65">
        <w:t xml:space="preserve">, par. 19-32. Voir aussi </w:t>
      </w:r>
      <w:r w:rsidRPr="00535F6D">
        <w:rPr>
          <w:i/>
          <w:iCs/>
        </w:rPr>
        <w:t xml:space="preserve">Commission des droits de la personne et des droits de la jeunesse (M.L.) </w:t>
      </w:r>
      <w:r w:rsidRPr="00332B44">
        <w:t>c</w:t>
      </w:r>
      <w:r w:rsidRPr="00535F6D">
        <w:rPr>
          <w:i/>
          <w:iCs/>
        </w:rPr>
        <w:t xml:space="preserve">. Maison des jeunes À-Ma-Baie </w:t>
      </w:r>
      <w:proofErr w:type="spellStart"/>
      <w:r w:rsidRPr="00535F6D">
        <w:rPr>
          <w:i/>
          <w:iCs/>
        </w:rPr>
        <w:t>inc</w:t>
      </w:r>
      <w:r w:rsidRPr="00561F65">
        <w:t>.</w:t>
      </w:r>
      <w:proofErr w:type="spellEnd"/>
      <w:r w:rsidRPr="00561F65">
        <w:t>, 1997</w:t>
      </w:r>
      <w:r w:rsidR="00291541">
        <w:t> </w:t>
      </w:r>
      <w:r w:rsidRPr="00561F65">
        <w:t>CanLII</w:t>
      </w:r>
      <w:r w:rsidR="005C5B01" w:rsidRPr="00561F65">
        <w:t> </w:t>
      </w:r>
      <w:r w:rsidRPr="00561F65">
        <w:t>46 (QC TDP)</w:t>
      </w:r>
      <w:r w:rsidR="009D28F2">
        <w:t>.</w:t>
      </w:r>
    </w:p>
  </w:footnote>
  <w:footnote w:id="268">
    <w:p w14:paraId="7CA455C2" w14:textId="3A952205" w:rsidR="0058462A" w:rsidRPr="00561F65" w:rsidRDefault="0058462A" w:rsidP="004E4354">
      <w:pPr>
        <w:pStyle w:val="NotesBasPage"/>
      </w:pPr>
      <w:r w:rsidRPr="00561F65">
        <w:rPr>
          <w:rStyle w:val="Appelnotedebasdep"/>
        </w:rPr>
        <w:footnoteRef/>
      </w:r>
      <w:r w:rsidRPr="00561F65">
        <w:t xml:space="preserve"> </w:t>
      </w:r>
      <w:r w:rsidR="00456D35" w:rsidRPr="00561F65">
        <w:tab/>
      </w:r>
      <w:r w:rsidR="00FD038B" w:rsidRPr="0039627D">
        <w:rPr>
          <w:smallCaps/>
        </w:rPr>
        <w:t>Chaire de recherche sur la diversité sexuelle et la pluralité des genres</w:t>
      </w:r>
      <w:r w:rsidR="00FD038B" w:rsidRPr="00561F65">
        <w:t xml:space="preserve">, </w:t>
      </w:r>
      <w:proofErr w:type="spellStart"/>
      <w:r w:rsidR="00FD038B" w:rsidRPr="00561F65">
        <w:t>préc</w:t>
      </w:r>
      <w:proofErr w:type="spellEnd"/>
      <w:r w:rsidR="00FD038B" w:rsidRPr="00561F65">
        <w:t>.</w:t>
      </w:r>
      <w:r w:rsidR="00FD038B">
        <w:t>,</w:t>
      </w:r>
      <w:r w:rsidR="00FD038B" w:rsidRPr="00561F65">
        <w:t xml:space="preserve"> note </w:t>
      </w:r>
      <w:r w:rsidR="00FD038B" w:rsidRPr="00561F65">
        <w:fldChar w:fldCharType="begin"/>
      </w:r>
      <w:r w:rsidR="00FD038B" w:rsidRPr="00561F65">
        <w:instrText xml:space="preserve"> NOTEREF _Ref218500043 \h  \* MERGEFORMAT </w:instrText>
      </w:r>
      <w:r w:rsidR="00FD038B" w:rsidRPr="00561F65">
        <w:fldChar w:fldCharType="separate"/>
      </w:r>
      <w:r w:rsidR="0084139E">
        <w:t>13</w:t>
      </w:r>
      <w:r w:rsidR="00FD038B" w:rsidRPr="00561F65">
        <w:fldChar w:fldCharType="end"/>
      </w:r>
      <w:r w:rsidR="00FD038B" w:rsidRPr="00561F65">
        <w:t>.</w:t>
      </w:r>
    </w:p>
  </w:footnote>
  <w:footnote w:id="269">
    <w:p w14:paraId="477AFF5E" w14:textId="67F9087D" w:rsidR="0058462A" w:rsidRPr="00561F65" w:rsidRDefault="0058462A" w:rsidP="004E4354">
      <w:pPr>
        <w:pStyle w:val="NotesBasPage"/>
      </w:pPr>
      <w:r w:rsidRPr="00561F65">
        <w:rPr>
          <w:rStyle w:val="Appelnotedebasdep"/>
        </w:rPr>
        <w:footnoteRef/>
      </w:r>
      <w:r w:rsidRPr="00561F65">
        <w:t xml:space="preserve"> </w:t>
      </w:r>
      <w:r w:rsidR="004116CE" w:rsidRPr="00561F65">
        <w:tab/>
      </w:r>
      <w:r w:rsidR="007418CB" w:rsidRPr="00561F65">
        <w:t xml:space="preserve">É. </w:t>
      </w:r>
      <w:r w:rsidR="007418CB" w:rsidRPr="00561F65">
        <w:rPr>
          <w:smallCaps/>
        </w:rPr>
        <w:t>Morand</w:t>
      </w:r>
      <w:r w:rsidR="007418CB" w:rsidRPr="00561F65">
        <w:t xml:space="preserve"> et É. </w:t>
      </w:r>
      <w:proofErr w:type="spellStart"/>
      <w:r w:rsidR="007418CB" w:rsidRPr="00561F65">
        <w:rPr>
          <w:smallCaps/>
        </w:rPr>
        <w:t>Feytit</w:t>
      </w:r>
      <w:proofErr w:type="spellEnd"/>
      <w:r w:rsidR="007418CB" w:rsidRPr="00561F65">
        <w:t xml:space="preserve">, </w:t>
      </w:r>
      <w:proofErr w:type="spellStart"/>
      <w:r w:rsidR="007418CB" w:rsidRPr="00561F65">
        <w:t>préc</w:t>
      </w:r>
      <w:proofErr w:type="spellEnd"/>
      <w:r w:rsidR="007418CB" w:rsidRPr="00561F65">
        <w:t xml:space="preserve">., note </w:t>
      </w:r>
      <w:r w:rsidR="007418CB" w:rsidRPr="00561F65">
        <w:fldChar w:fldCharType="begin"/>
      </w:r>
      <w:r w:rsidR="007418CB" w:rsidRPr="00561F65">
        <w:instrText xml:space="preserve"> NOTEREF _Ref216865070 \h  \* MERGEFORMAT </w:instrText>
      </w:r>
      <w:r w:rsidR="007418CB" w:rsidRPr="00561F65">
        <w:fldChar w:fldCharType="separate"/>
      </w:r>
      <w:r w:rsidR="000374E3" w:rsidRPr="00561F65">
        <w:t>96</w:t>
      </w:r>
      <w:r w:rsidR="007418CB" w:rsidRPr="00561F65">
        <w:fldChar w:fldCharType="end"/>
      </w:r>
      <w:r w:rsidR="007418CB" w:rsidRPr="00561F65">
        <w:t xml:space="preserve">, </w:t>
      </w:r>
      <w:r w:rsidR="00897F5F" w:rsidRPr="00561F65">
        <w:t xml:space="preserve">p. </w:t>
      </w:r>
      <w:r w:rsidR="00A85221" w:rsidRPr="00561F65">
        <w:t>153</w:t>
      </w:r>
      <w:r w:rsidR="00247674" w:rsidRPr="00561F65">
        <w:t>.</w:t>
      </w:r>
    </w:p>
  </w:footnote>
  <w:footnote w:id="270">
    <w:p w14:paraId="54A3A352" w14:textId="16CF2EAD" w:rsidR="0058462A" w:rsidRPr="00561F65" w:rsidRDefault="0058462A" w:rsidP="004E4354">
      <w:pPr>
        <w:pStyle w:val="NotesBasPage"/>
      </w:pPr>
      <w:r w:rsidRPr="00561F65">
        <w:rPr>
          <w:rStyle w:val="Appelnotedebasdep"/>
        </w:rPr>
        <w:footnoteRef/>
      </w:r>
      <w:r w:rsidRPr="00561F65">
        <w:t xml:space="preserve"> </w:t>
      </w:r>
      <w:r w:rsidR="004116CE" w:rsidRPr="00561F65">
        <w:tab/>
      </w:r>
      <w:r w:rsidRPr="00561F65">
        <w:rPr>
          <w:smallCaps/>
        </w:rPr>
        <w:t>Seiler-</w:t>
      </w:r>
      <w:proofErr w:type="spellStart"/>
      <w:r w:rsidRPr="00561F65">
        <w:rPr>
          <w:smallCaps/>
        </w:rPr>
        <w:t>Ramadas</w:t>
      </w:r>
      <w:proofErr w:type="spellEnd"/>
      <w:r w:rsidRPr="00561F65">
        <w:t xml:space="preserve"> et al., 2021, </w:t>
      </w:r>
      <w:proofErr w:type="spellStart"/>
      <w:r w:rsidR="00456D35" w:rsidRPr="00561F65">
        <w:t>préc</w:t>
      </w:r>
      <w:proofErr w:type="spellEnd"/>
      <w:r w:rsidR="00456D35" w:rsidRPr="00561F65">
        <w:t xml:space="preserve">., note </w:t>
      </w:r>
      <w:r w:rsidR="00456D35" w:rsidRPr="00561F65">
        <w:fldChar w:fldCharType="begin"/>
      </w:r>
      <w:r w:rsidR="00456D35" w:rsidRPr="00561F65">
        <w:instrText xml:space="preserve"> NOTEREF _Ref219728348 \h </w:instrText>
      </w:r>
      <w:r w:rsidR="004E4354">
        <w:instrText xml:space="preserve"> \* MERGEFORMAT </w:instrText>
      </w:r>
      <w:r w:rsidR="00456D35" w:rsidRPr="00561F65">
        <w:fldChar w:fldCharType="separate"/>
      </w:r>
      <w:r w:rsidR="000374E3" w:rsidRPr="00561F65">
        <w:t>101</w:t>
      </w:r>
      <w:r w:rsidR="00456D35" w:rsidRPr="00561F65">
        <w:fldChar w:fldCharType="end"/>
      </w:r>
      <w:r w:rsidR="00456D35" w:rsidRPr="00561F65">
        <w:t xml:space="preserve">, </w:t>
      </w:r>
      <w:r w:rsidRPr="00561F65">
        <w:t>p.</w:t>
      </w:r>
      <w:r w:rsidR="005C5B01" w:rsidRPr="00561F65">
        <w:t> </w:t>
      </w:r>
      <w:r w:rsidRPr="00561F65">
        <w:t>2</w:t>
      </w:r>
    </w:p>
  </w:footnote>
  <w:footnote w:id="271">
    <w:p w14:paraId="24BD6964" w14:textId="2AA715FB" w:rsidR="0058462A" w:rsidRPr="00561F65" w:rsidRDefault="0058462A" w:rsidP="004E4354">
      <w:pPr>
        <w:pStyle w:val="NotesBasPage"/>
      </w:pPr>
      <w:r w:rsidRPr="00561F65">
        <w:rPr>
          <w:rStyle w:val="Appelnotedebasdep"/>
        </w:rPr>
        <w:footnoteRef/>
      </w:r>
      <w:r w:rsidRPr="00561F65">
        <w:t xml:space="preserve"> </w:t>
      </w:r>
      <w:r w:rsidR="004116CE" w:rsidRPr="00561F65">
        <w:tab/>
      </w:r>
      <w:r w:rsidR="004A36FE" w:rsidRPr="00561F65">
        <w:t xml:space="preserve">É. </w:t>
      </w:r>
      <w:r w:rsidR="004A36FE" w:rsidRPr="00561F65">
        <w:rPr>
          <w:smallCaps/>
        </w:rPr>
        <w:t>Morand</w:t>
      </w:r>
      <w:r w:rsidR="004A36FE" w:rsidRPr="00561F65">
        <w:t xml:space="preserve"> et É. </w:t>
      </w:r>
      <w:proofErr w:type="spellStart"/>
      <w:r w:rsidR="004A36FE" w:rsidRPr="00561F65">
        <w:rPr>
          <w:smallCaps/>
        </w:rPr>
        <w:t>Feytit</w:t>
      </w:r>
      <w:proofErr w:type="spellEnd"/>
      <w:r w:rsidR="004A36FE" w:rsidRPr="00561F65">
        <w:t xml:space="preserve">, </w:t>
      </w:r>
      <w:proofErr w:type="spellStart"/>
      <w:r w:rsidR="004A36FE" w:rsidRPr="00561F65">
        <w:t>préc</w:t>
      </w:r>
      <w:proofErr w:type="spellEnd"/>
      <w:r w:rsidR="004A36FE" w:rsidRPr="00561F65">
        <w:t xml:space="preserve">., note </w:t>
      </w:r>
      <w:r w:rsidR="004A36FE" w:rsidRPr="00561F65">
        <w:fldChar w:fldCharType="begin"/>
      </w:r>
      <w:r w:rsidR="004A36FE" w:rsidRPr="00561F65">
        <w:instrText xml:space="preserve"> NOTEREF _Ref216865070 \h  \* MERGEFORMAT </w:instrText>
      </w:r>
      <w:r w:rsidR="004A36FE" w:rsidRPr="00561F65">
        <w:fldChar w:fldCharType="separate"/>
      </w:r>
      <w:r w:rsidR="000374E3" w:rsidRPr="00561F65">
        <w:t>96</w:t>
      </w:r>
      <w:r w:rsidR="004A36FE" w:rsidRPr="00561F65">
        <w:fldChar w:fldCharType="end"/>
      </w:r>
      <w:r w:rsidR="004A36FE" w:rsidRPr="00561F65">
        <w:t>, p.</w:t>
      </w:r>
      <w:r w:rsidR="00910FFF" w:rsidRPr="00561F65">
        <w:t xml:space="preserve"> 110</w:t>
      </w:r>
      <w:r w:rsidR="00622785" w:rsidRPr="00561F65">
        <w:t>-111</w:t>
      </w:r>
      <w:r w:rsidR="00F21382">
        <w:rPr>
          <w:rFonts w:ascii="Arial" w:hAnsi="Arial" w:cs="Arial"/>
        </w:rPr>
        <w:t> </w:t>
      </w:r>
      <w:r w:rsidR="004A08CE" w:rsidRPr="00561F65">
        <w:t xml:space="preserve">; </w:t>
      </w:r>
      <w:proofErr w:type="spellStart"/>
      <w:r w:rsidR="004A08CE" w:rsidRPr="00FD607C">
        <w:rPr>
          <w:smallCaps/>
        </w:rPr>
        <w:t>Chbat</w:t>
      </w:r>
      <w:proofErr w:type="spellEnd"/>
      <w:r w:rsidR="004A08CE" w:rsidRPr="00561F65">
        <w:t xml:space="preserve">, M., </w:t>
      </w:r>
      <w:r w:rsidR="004A08CE" w:rsidRPr="00FD607C">
        <w:rPr>
          <w:smallCaps/>
        </w:rPr>
        <w:t>Pagé</w:t>
      </w:r>
      <w:r w:rsidR="004A08CE" w:rsidRPr="00561F65">
        <w:t xml:space="preserve">, G., </w:t>
      </w:r>
      <w:r w:rsidR="004A08CE" w:rsidRPr="00FD607C">
        <w:rPr>
          <w:smallCaps/>
        </w:rPr>
        <w:t>Côté</w:t>
      </w:r>
      <w:r w:rsidR="004A08CE" w:rsidRPr="00561F65">
        <w:t xml:space="preserve">, I. &amp; </w:t>
      </w:r>
      <w:r w:rsidR="004A08CE" w:rsidRPr="00FD607C">
        <w:rPr>
          <w:smallCaps/>
        </w:rPr>
        <w:t>Blais</w:t>
      </w:r>
      <w:r w:rsidR="004A08CE" w:rsidRPr="00561F65">
        <w:t>, M.</w:t>
      </w:r>
      <w:r w:rsidR="00AA6887" w:rsidRPr="00561F65">
        <w:t xml:space="preserve">, </w:t>
      </w:r>
      <w:r w:rsidR="004A08CE" w:rsidRPr="00561F65">
        <w:t xml:space="preserve">« Resistance </w:t>
      </w:r>
      <w:proofErr w:type="spellStart"/>
      <w:r w:rsidR="004A08CE" w:rsidRPr="00561F65">
        <w:t>strategies</w:t>
      </w:r>
      <w:proofErr w:type="spellEnd"/>
      <w:r w:rsidR="004A08CE" w:rsidRPr="00561F65">
        <w:t xml:space="preserve"> and </w:t>
      </w:r>
      <w:proofErr w:type="spellStart"/>
      <w:r w:rsidR="004A08CE" w:rsidRPr="00561F65">
        <w:t>identity</w:t>
      </w:r>
      <w:proofErr w:type="spellEnd"/>
      <w:r w:rsidR="004A08CE" w:rsidRPr="00561F65">
        <w:t xml:space="preserve"> </w:t>
      </w:r>
      <w:proofErr w:type="spellStart"/>
      <w:r w:rsidR="004A08CE" w:rsidRPr="00561F65">
        <w:t>reappropriation</w:t>
      </w:r>
      <w:proofErr w:type="spellEnd"/>
      <w:r w:rsidR="004A08CE" w:rsidRPr="00561F65">
        <w:t xml:space="preserve"> of LGBTQ+ migrants in Québec »</w:t>
      </w:r>
      <w:r w:rsidR="00AA6887" w:rsidRPr="00561F65">
        <w:t xml:space="preserve"> (2023)</w:t>
      </w:r>
      <w:r w:rsidR="00AA6FDD" w:rsidRPr="00561F65">
        <w:t xml:space="preserve"> 24</w:t>
      </w:r>
      <w:r w:rsidR="00AA6887" w:rsidRPr="00561F65">
        <w:t xml:space="preserve"> </w:t>
      </w:r>
      <w:r w:rsidR="004A08CE" w:rsidRPr="00561F65">
        <w:rPr>
          <w:i/>
        </w:rPr>
        <w:t xml:space="preserve">Journal of International Migration and </w:t>
      </w:r>
      <w:proofErr w:type="spellStart"/>
      <w:r w:rsidR="004A08CE" w:rsidRPr="00561F65">
        <w:rPr>
          <w:i/>
        </w:rPr>
        <w:t>Integration</w:t>
      </w:r>
      <w:proofErr w:type="spellEnd"/>
      <w:r w:rsidR="00AB1B44">
        <w:t> </w:t>
      </w:r>
      <w:r w:rsidR="004A08CE" w:rsidRPr="00561F65">
        <w:t>4, 1751</w:t>
      </w:r>
      <w:r w:rsidR="004A08CE" w:rsidRPr="00561F65">
        <w:rPr>
          <w:rFonts w:ascii="Cambria Math" w:hAnsi="Cambria Math" w:cs="Cambria Math"/>
        </w:rPr>
        <w:t>‑</w:t>
      </w:r>
      <w:r w:rsidR="004A08CE" w:rsidRPr="00561F65">
        <w:t>1771.</w:t>
      </w:r>
      <w:r w:rsidR="00AA6FDD" w:rsidRPr="00561F65">
        <w:t xml:space="preserve"> </w:t>
      </w:r>
      <w:hyperlink r:id="rId126" w:history="1">
        <w:r w:rsidR="00AA6FDD" w:rsidRPr="00561F65">
          <w:rPr>
            <w:rStyle w:val="Lienhypertexte"/>
            <w:color w:val="202C4B"/>
          </w:rPr>
          <w:t>https://doi.org/10.1007/s12134-023-01039-3</w:t>
        </w:r>
      </w:hyperlink>
      <w:r w:rsidR="00AA6FDD" w:rsidRPr="00561F65">
        <w:t xml:space="preserve"> </w:t>
      </w:r>
    </w:p>
  </w:footnote>
  <w:footnote w:id="272">
    <w:p w14:paraId="6F9C5EA9" w14:textId="7059D253" w:rsidR="00704EC8" w:rsidRPr="00561F65" w:rsidRDefault="00704EC8" w:rsidP="004E4354">
      <w:pPr>
        <w:pStyle w:val="NotesBasPage"/>
      </w:pPr>
      <w:r w:rsidRPr="00561F65">
        <w:rPr>
          <w:rStyle w:val="Appelnotedebasdep"/>
        </w:rPr>
        <w:footnoteRef/>
      </w:r>
      <w:r w:rsidRPr="00561F65">
        <w:t xml:space="preserve"> </w:t>
      </w:r>
      <w:r w:rsidRPr="00561F65">
        <w:tab/>
        <w:t>É</w:t>
      </w:r>
      <w:r w:rsidR="00851AC7" w:rsidRPr="00561F65">
        <w:t>.</w:t>
      </w:r>
      <w:r w:rsidRPr="00561F65">
        <w:t xml:space="preserve"> </w:t>
      </w:r>
      <w:r w:rsidRPr="00561F65">
        <w:rPr>
          <w:smallCaps/>
        </w:rPr>
        <w:t>Morand</w:t>
      </w:r>
      <w:r w:rsidRPr="00561F65">
        <w:t xml:space="preserve"> et É</w:t>
      </w:r>
      <w:r w:rsidR="00851AC7" w:rsidRPr="00561F65">
        <w:t>.</w:t>
      </w:r>
      <w:r w:rsidRPr="00561F65">
        <w:t xml:space="preserve"> </w:t>
      </w:r>
      <w:proofErr w:type="spellStart"/>
      <w:r w:rsidRPr="00561F65">
        <w:rPr>
          <w:smallCaps/>
        </w:rPr>
        <w:t>Feytit</w:t>
      </w:r>
      <w:proofErr w:type="spellEnd"/>
      <w:r w:rsidR="003D518D" w:rsidRPr="00561F65">
        <w:t xml:space="preserve">, </w:t>
      </w:r>
      <w:proofErr w:type="spellStart"/>
      <w:r w:rsidR="003D518D" w:rsidRPr="00561F65">
        <w:t>préc</w:t>
      </w:r>
      <w:proofErr w:type="spellEnd"/>
      <w:r w:rsidR="003D518D" w:rsidRPr="00561F65">
        <w:t xml:space="preserve">., note </w:t>
      </w:r>
      <w:r w:rsidR="003D518D" w:rsidRPr="00561F65">
        <w:fldChar w:fldCharType="begin"/>
      </w:r>
      <w:r w:rsidR="003D518D" w:rsidRPr="00561F65">
        <w:instrText xml:space="preserve"> NOTEREF _Ref216865070 \h </w:instrText>
      </w:r>
      <w:r w:rsidR="00ED24FE" w:rsidRPr="00561F65">
        <w:instrText xml:space="preserve"> \* MERGEFORMAT </w:instrText>
      </w:r>
      <w:r w:rsidR="003D518D" w:rsidRPr="00561F65">
        <w:fldChar w:fldCharType="separate"/>
      </w:r>
      <w:r w:rsidR="000374E3" w:rsidRPr="00561F65">
        <w:t>96</w:t>
      </w:r>
      <w:r w:rsidR="003D518D" w:rsidRPr="00561F65">
        <w:fldChar w:fldCharType="end"/>
      </w:r>
      <w:r w:rsidR="00BD6329" w:rsidRPr="00561F65">
        <w:rPr>
          <w:rFonts w:ascii="Arial" w:hAnsi="Arial" w:cs="Arial"/>
        </w:rPr>
        <w:t> </w:t>
      </w:r>
      <w:r w:rsidRPr="00561F65">
        <w:t xml:space="preserve">; </w:t>
      </w:r>
      <w:r w:rsidR="00ED364A" w:rsidRPr="00561F65">
        <w:t xml:space="preserve">É. </w:t>
      </w:r>
      <w:r w:rsidRPr="00FD607C">
        <w:rPr>
          <w:smallCaps/>
        </w:rPr>
        <w:t>Morand</w:t>
      </w:r>
      <w:r w:rsidRPr="00561F65">
        <w:t xml:space="preserve"> et al</w:t>
      </w:r>
      <w:r w:rsidR="00ED364A" w:rsidRPr="00561F65">
        <w:t>.</w:t>
      </w:r>
      <w:r w:rsidRPr="00561F65">
        <w:t>, «</w:t>
      </w:r>
      <w:r w:rsidR="00AB4C13" w:rsidRPr="00561F65">
        <w:rPr>
          <w:rFonts w:ascii="Arial" w:hAnsi="Arial" w:cs="Arial"/>
        </w:rPr>
        <w:t> </w:t>
      </w:r>
      <w:r w:rsidRPr="00561F65">
        <w:t>Les «</w:t>
      </w:r>
      <w:r w:rsidRPr="00561F65">
        <w:rPr>
          <w:rFonts w:ascii="Arial" w:hAnsi="Arial" w:cs="Arial"/>
        </w:rPr>
        <w:t> </w:t>
      </w:r>
      <w:r w:rsidRPr="00561F65">
        <w:t>plaisanteries</w:t>
      </w:r>
      <w:r w:rsidRPr="00561F65">
        <w:rPr>
          <w:rFonts w:ascii="Arial" w:hAnsi="Arial" w:cs="Arial"/>
        </w:rPr>
        <w:t> </w:t>
      </w:r>
      <w:r w:rsidRPr="00561F65">
        <w:rPr>
          <w:rFonts w:cs="Aptos"/>
        </w:rPr>
        <w:t>»</w:t>
      </w:r>
      <w:r w:rsidRPr="00561F65">
        <w:t xml:space="preserve"> des coll</w:t>
      </w:r>
      <w:r w:rsidRPr="00561F65">
        <w:rPr>
          <w:rFonts w:cs="Aptos"/>
        </w:rPr>
        <w:t>è</w:t>
      </w:r>
      <w:r w:rsidRPr="00561F65">
        <w:t>gues de travail</w:t>
      </w:r>
      <w:r w:rsidR="00F01F5E" w:rsidRPr="00561F65">
        <w:rPr>
          <w:rFonts w:ascii="Arial" w:hAnsi="Arial" w:cs="Arial"/>
        </w:rPr>
        <w:t> </w:t>
      </w:r>
      <w:r w:rsidRPr="00561F65">
        <w:t>: terrain d</w:t>
      </w:r>
      <w:r w:rsidRPr="00561F65">
        <w:rPr>
          <w:rFonts w:cs="Aptos"/>
        </w:rPr>
        <w:t>’</w:t>
      </w:r>
      <w:r w:rsidRPr="00561F65">
        <w:t>oppression et de r</w:t>
      </w:r>
      <w:r w:rsidRPr="00561F65">
        <w:rPr>
          <w:rFonts w:cs="Aptos"/>
        </w:rPr>
        <w:t>é</w:t>
      </w:r>
      <w:r w:rsidRPr="00561F65">
        <w:t xml:space="preserve">sistance </w:t>
      </w:r>
      <w:r w:rsidRPr="00561F65">
        <w:rPr>
          <w:rFonts w:cs="Aptos"/>
        </w:rPr>
        <w:t>à</w:t>
      </w:r>
      <w:r w:rsidRPr="00561F65">
        <w:t xml:space="preserve"> la violence pour les personnes LGBTQ+</w:t>
      </w:r>
      <w:r w:rsidR="00AB4C13" w:rsidRPr="00561F65">
        <w:rPr>
          <w:rFonts w:ascii="Arial" w:hAnsi="Arial" w:cs="Arial"/>
        </w:rPr>
        <w:t> </w:t>
      </w:r>
      <w:r w:rsidRPr="00561F65">
        <w:rPr>
          <w:rFonts w:cs="Aptos"/>
        </w:rPr>
        <w:t>»</w:t>
      </w:r>
      <w:r w:rsidRPr="00561F65">
        <w:t xml:space="preserve"> (2023) 30 Genre, sexualit</w:t>
      </w:r>
      <w:r w:rsidRPr="00561F65">
        <w:rPr>
          <w:rFonts w:cs="Aptos"/>
        </w:rPr>
        <w:t>é</w:t>
      </w:r>
      <w:r w:rsidRPr="00561F65">
        <w:t xml:space="preserve"> &amp; soci</w:t>
      </w:r>
      <w:r w:rsidRPr="00561F65">
        <w:rPr>
          <w:rFonts w:cs="Aptos"/>
        </w:rPr>
        <w:t>é</w:t>
      </w:r>
      <w:r w:rsidRPr="00561F65">
        <w:t>t</w:t>
      </w:r>
      <w:r w:rsidRPr="00561F65">
        <w:rPr>
          <w:rFonts w:cs="Aptos"/>
        </w:rPr>
        <w:t>é</w:t>
      </w:r>
      <w:r w:rsidRPr="00561F65">
        <w:t>,</w:t>
      </w:r>
      <w:r w:rsidR="004116CE" w:rsidRPr="00561F65">
        <w:t xml:space="preserve"> </w:t>
      </w:r>
      <w:proofErr w:type="spellStart"/>
      <w:r w:rsidR="004116CE" w:rsidRPr="00561F65">
        <w:t>préc</w:t>
      </w:r>
      <w:proofErr w:type="spellEnd"/>
      <w:r w:rsidR="004116CE" w:rsidRPr="00561F65">
        <w:t xml:space="preserve">. </w:t>
      </w:r>
      <w:proofErr w:type="gramStart"/>
      <w:r w:rsidR="004116CE" w:rsidRPr="00561F65">
        <w:t>note</w:t>
      </w:r>
      <w:proofErr w:type="gramEnd"/>
      <w:r w:rsidR="004116CE" w:rsidRPr="00561F65">
        <w:t xml:space="preserve"> </w:t>
      </w:r>
      <w:r w:rsidR="004116CE" w:rsidRPr="00561F65">
        <w:fldChar w:fldCharType="begin"/>
      </w:r>
      <w:r w:rsidR="004116CE" w:rsidRPr="00561F65">
        <w:instrText xml:space="preserve"> NOTEREF _Ref216856817 \h </w:instrText>
      </w:r>
      <w:r w:rsidR="007017CF" w:rsidRPr="00561F65">
        <w:instrText xml:space="preserve"> \* MERGEFORMAT </w:instrText>
      </w:r>
      <w:r w:rsidR="004116CE" w:rsidRPr="00561F65">
        <w:fldChar w:fldCharType="separate"/>
      </w:r>
      <w:r w:rsidR="000374E3" w:rsidRPr="00561F65">
        <w:t>49</w:t>
      </w:r>
      <w:r w:rsidR="004116CE" w:rsidRPr="00561F65">
        <w:fldChar w:fldCharType="end"/>
      </w:r>
      <w:r w:rsidR="0046630A" w:rsidRPr="00561F65">
        <w:rPr>
          <w:rFonts w:ascii="Arial" w:hAnsi="Arial" w:cs="Arial"/>
        </w:rPr>
        <w:t> </w:t>
      </w:r>
      <w:r w:rsidR="00D41431" w:rsidRPr="00561F65">
        <w:t>; L.</w:t>
      </w:r>
      <w:r w:rsidR="004116CE" w:rsidRPr="00561F65">
        <w:t xml:space="preserve"> </w:t>
      </w:r>
      <w:r w:rsidRPr="00326F6A">
        <w:rPr>
          <w:smallCaps/>
        </w:rPr>
        <w:t>Chamberland</w:t>
      </w:r>
      <w:r w:rsidR="00D41431" w:rsidRPr="00561F65">
        <w:t>,</w:t>
      </w:r>
      <w:r w:rsidRPr="00561F65">
        <w:t xml:space="preserve"> M.</w:t>
      </w:r>
      <w:r w:rsidR="00BC48F0">
        <w:t> </w:t>
      </w:r>
      <w:r w:rsidRPr="00326F6A">
        <w:rPr>
          <w:smallCaps/>
        </w:rPr>
        <w:t>Bernier</w:t>
      </w:r>
      <w:r w:rsidRPr="00561F65">
        <w:t>, C.</w:t>
      </w:r>
      <w:r w:rsidR="00E328B0">
        <w:t> </w:t>
      </w:r>
      <w:r w:rsidRPr="00326F6A">
        <w:rPr>
          <w:smallCaps/>
        </w:rPr>
        <w:t>Lebreton</w:t>
      </w:r>
      <w:r w:rsidRPr="00561F65">
        <w:t>, G.</w:t>
      </w:r>
      <w:r w:rsidR="00E328B0">
        <w:t> </w:t>
      </w:r>
      <w:r w:rsidRPr="00326F6A">
        <w:rPr>
          <w:smallCaps/>
        </w:rPr>
        <w:t>Richard</w:t>
      </w:r>
      <w:r w:rsidRPr="00561F65">
        <w:t xml:space="preserve"> et J.</w:t>
      </w:r>
      <w:r w:rsidR="00E328B0">
        <w:t> </w:t>
      </w:r>
      <w:r w:rsidRPr="00326F6A">
        <w:rPr>
          <w:smallCaps/>
        </w:rPr>
        <w:t>Théroux-Séguin</w:t>
      </w:r>
      <w:r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C009A5" w:rsidRPr="00561F65">
        <w:t>,</w:t>
      </w:r>
      <w:r w:rsidRPr="00561F65">
        <w:t xml:space="preserve"> p.</w:t>
      </w:r>
      <w:r w:rsidR="005C5B01" w:rsidRPr="00561F65">
        <w:t> </w:t>
      </w:r>
      <w:r w:rsidRPr="00561F65">
        <w:t>73-74</w:t>
      </w:r>
      <w:r w:rsidR="00322D98" w:rsidRPr="00561F65">
        <w:rPr>
          <w:rFonts w:ascii="Arial" w:hAnsi="Arial" w:cs="Arial"/>
        </w:rPr>
        <w:t>.</w:t>
      </w:r>
      <w:r w:rsidRPr="00561F65">
        <w:t xml:space="preserve"> </w:t>
      </w:r>
    </w:p>
  </w:footnote>
  <w:footnote w:id="273">
    <w:p w14:paraId="5CE870E8" w14:textId="24C063B2" w:rsidR="00704EC8" w:rsidRPr="00561F65" w:rsidRDefault="00704EC8" w:rsidP="004E4354">
      <w:pPr>
        <w:pStyle w:val="NotesBasPage"/>
      </w:pPr>
      <w:r w:rsidRPr="00561F65">
        <w:rPr>
          <w:rStyle w:val="Appelnotedebasdep"/>
        </w:rPr>
        <w:footnoteRef/>
      </w:r>
      <w:r w:rsidRPr="00561F65">
        <w:t xml:space="preserve"> </w:t>
      </w:r>
      <w:r w:rsidR="005230EF" w:rsidRPr="00561F65">
        <w:tab/>
      </w:r>
      <w:r w:rsidR="009B258C" w:rsidRPr="00A72A3A">
        <w:rPr>
          <w:i/>
          <w:iCs/>
        </w:rPr>
        <w:t>Ward c. Québec (Commission des droits de la personne et des droits de la jeunesse)</w:t>
      </w:r>
      <w:r w:rsidR="009B258C" w:rsidRPr="00561F65">
        <w:t>, 2021 CSC</w:t>
      </w:r>
      <w:r w:rsidR="00AB1B44">
        <w:t> </w:t>
      </w:r>
      <w:r w:rsidR="009B258C" w:rsidRPr="00561F65">
        <w:t>43.</w:t>
      </w:r>
    </w:p>
  </w:footnote>
  <w:footnote w:id="274">
    <w:p w14:paraId="5C405A42" w14:textId="48362AF9" w:rsidR="00704EC8" w:rsidRPr="00561F65" w:rsidRDefault="00704EC8" w:rsidP="004E4354">
      <w:pPr>
        <w:pStyle w:val="NotesBasPage"/>
        <w:rPr>
          <w:highlight w:val="yellow"/>
        </w:rPr>
      </w:pPr>
      <w:r w:rsidRPr="00561F65">
        <w:rPr>
          <w:rStyle w:val="Appelnotedebasdep"/>
        </w:rPr>
        <w:footnoteRef/>
      </w:r>
      <w:r w:rsidRPr="00561F65">
        <w:t xml:space="preserve"> </w:t>
      </w:r>
      <w:r w:rsidR="005230EF" w:rsidRPr="00561F65">
        <w:tab/>
      </w:r>
      <w:r w:rsidR="00985A39" w:rsidRPr="00561F65">
        <w:rPr>
          <w:i/>
        </w:rPr>
        <w:t>Id.</w:t>
      </w:r>
      <w:r w:rsidRPr="00561F65">
        <w:t>, voir notamment le par</w:t>
      </w:r>
      <w:r w:rsidR="006B6CE6" w:rsidRPr="00561F65">
        <w:t>.</w:t>
      </w:r>
      <w:r w:rsidR="00094C61">
        <w:t xml:space="preserve"> </w:t>
      </w:r>
      <w:r w:rsidRPr="00561F65">
        <w:t xml:space="preserve">84. </w:t>
      </w:r>
    </w:p>
  </w:footnote>
  <w:footnote w:id="275">
    <w:p w14:paraId="173FA8E2" w14:textId="17CBD8F4" w:rsidR="00882A96" w:rsidRPr="00561F65" w:rsidRDefault="00882A96" w:rsidP="004E4354">
      <w:pPr>
        <w:pStyle w:val="NotesBasPage"/>
      </w:pPr>
      <w:r w:rsidRPr="00561F65">
        <w:rPr>
          <w:rStyle w:val="Appelnotedebasdep"/>
        </w:rPr>
        <w:footnoteRef/>
      </w:r>
      <w:r w:rsidRPr="00561F65">
        <w:t xml:space="preserve"> </w:t>
      </w:r>
      <w:r w:rsidR="004116CE" w:rsidRPr="00561F65">
        <w:tab/>
      </w:r>
      <w:r w:rsidR="006B6CE6" w:rsidRPr="00561F65">
        <w:t>«</w:t>
      </w:r>
      <w:r w:rsidR="00FC464D">
        <w:rPr>
          <w:rFonts w:ascii="Arial" w:hAnsi="Arial" w:cs="Arial"/>
        </w:rPr>
        <w:t> </w:t>
      </w:r>
      <w:r w:rsidR="006B6CE6" w:rsidRPr="00561F65">
        <w:t>Mégenrer</w:t>
      </w:r>
      <w:r w:rsidR="00FC464D">
        <w:rPr>
          <w:rFonts w:ascii="Arial" w:hAnsi="Arial" w:cs="Arial"/>
        </w:rPr>
        <w:t> </w:t>
      </w:r>
      <w:r w:rsidR="006B6CE6" w:rsidRPr="00561F65">
        <w:t>»</w:t>
      </w:r>
      <w:r w:rsidR="003951FD" w:rsidRPr="00561F65">
        <w:t xml:space="preserve">, </w:t>
      </w:r>
      <w:r w:rsidR="003951FD" w:rsidRPr="00561F65">
        <w:rPr>
          <w:i/>
        </w:rPr>
        <w:t>Le Robert</w:t>
      </w:r>
      <w:r w:rsidR="003951FD" w:rsidRPr="00561F65">
        <w:t> </w:t>
      </w:r>
      <w:r w:rsidR="003951FD" w:rsidRPr="00561F65">
        <w:rPr>
          <w:i/>
        </w:rPr>
        <w:t>: Dico en ligne</w:t>
      </w:r>
      <w:r w:rsidR="003951FD" w:rsidRPr="00561F65">
        <w:t xml:space="preserve">, </w:t>
      </w:r>
      <w:r w:rsidR="00913FED">
        <w:t>[E</w:t>
      </w:r>
      <w:r w:rsidR="003951FD" w:rsidRPr="00561F65">
        <w:t>n ligne</w:t>
      </w:r>
      <w:r w:rsidR="00913FED">
        <w:t>].</w:t>
      </w:r>
      <w:r w:rsidR="005A4936" w:rsidRPr="005A4936">
        <w:t xml:space="preserve"> </w:t>
      </w:r>
      <w:hyperlink r:id="rId127" w:history="1">
        <w:r w:rsidR="005A4936" w:rsidRPr="007912CF">
          <w:rPr>
            <w:rStyle w:val="Lienhypertexte"/>
          </w:rPr>
          <w:t>https://dictionnaire.lerobert.com/definition/megenrer</w:t>
        </w:r>
      </w:hyperlink>
      <w:r w:rsidR="003951FD" w:rsidRPr="00561F65">
        <w:t xml:space="preserve"> </w:t>
      </w:r>
    </w:p>
  </w:footnote>
  <w:footnote w:id="276">
    <w:p w14:paraId="003EAA4A" w14:textId="52757BB5" w:rsidR="00882A96" w:rsidRPr="00561F65" w:rsidRDefault="00882A96" w:rsidP="004E4354">
      <w:pPr>
        <w:pStyle w:val="NotesBasPage"/>
      </w:pPr>
      <w:r w:rsidRPr="00561F65">
        <w:rPr>
          <w:rStyle w:val="Appelnotedebasdep"/>
        </w:rPr>
        <w:footnoteRef/>
      </w:r>
      <w:r w:rsidRPr="00561F65">
        <w:t xml:space="preserve"> </w:t>
      </w:r>
      <w:r w:rsidRPr="00561F65">
        <w:tab/>
        <w:t xml:space="preserve">Voir </w:t>
      </w:r>
      <w:r w:rsidRPr="00561F65">
        <w:rPr>
          <w:i/>
        </w:rPr>
        <w:t>R</w:t>
      </w:r>
      <w:r w:rsidRPr="00561F65">
        <w:t xml:space="preserve">. c. </w:t>
      </w:r>
      <w:r w:rsidRPr="00561F65">
        <w:rPr>
          <w:i/>
        </w:rPr>
        <w:t>Lévesque</w:t>
      </w:r>
      <w:r w:rsidR="00074542" w:rsidRPr="00561F65">
        <w:t>,</w:t>
      </w:r>
      <w:r w:rsidR="005C5B01" w:rsidRPr="00561F65">
        <w:t> </w:t>
      </w:r>
      <w:r w:rsidRPr="00561F65">
        <w:t>2022</w:t>
      </w:r>
      <w:r w:rsidR="00291541">
        <w:t> </w:t>
      </w:r>
      <w:r w:rsidRPr="00561F65">
        <w:t>QCCQ</w:t>
      </w:r>
      <w:r w:rsidR="005C5B01" w:rsidRPr="00561F65">
        <w:t> </w:t>
      </w:r>
      <w:r w:rsidRPr="00561F65">
        <w:t>12793, par. 100-132.</w:t>
      </w:r>
    </w:p>
  </w:footnote>
  <w:footnote w:id="277">
    <w:p w14:paraId="7F179798" w14:textId="545CEF23" w:rsidR="00882A96" w:rsidRPr="00561F65" w:rsidRDefault="00882A96"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Pr="005D7EC1">
        <w:rPr>
          <w:i/>
          <w:iCs/>
          <w:lang w:val="en-CA"/>
        </w:rPr>
        <w:t>Nelson</w:t>
      </w:r>
      <w:r w:rsidRPr="00561F65">
        <w:rPr>
          <w:lang w:val="en-CA"/>
        </w:rPr>
        <w:t xml:space="preserve"> v. </w:t>
      </w:r>
      <w:r w:rsidRPr="005D7EC1">
        <w:rPr>
          <w:i/>
          <w:iCs/>
          <w:lang w:val="en-CA"/>
        </w:rPr>
        <w:t>Goodberry Restaurant Group Ltd. dba Buono Osteria and others</w:t>
      </w:r>
      <w:r w:rsidRPr="00561F65">
        <w:rPr>
          <w:lang w:val="en-CA"/>
        </w:rPr>
        <w:t>, 2021 BCHRT</w:t>
      </w:r>
      <w:r w:rsidR="00AB1B44">
        <w:rPr>
          <w:lang w:val="en-CA"/>
        </w:rPr>
        <w:t> </w:t>
      </w:r>
      <w:r w:rsidRPr="00561F65">
        <w:rPr>
          <w:lang w:val="en-CA"/>
        </w:rPr>
        <w:t xml:space="preserve">137. En Ontario, voir </w:t>
      </w:r>
      <w:proofErr w:type="spellStart"/>
      <w:r w:rsidRPr="00561F65">
        <w:rPr>
          <w:lang w:val="en-CA"/>
        </w:rPr>
        <w:t>aussi</w:t>
      </w:r>
      <w:proofErr w:type="spellEnd"/>
      <w:r w:rsidRPr="00561F65">
        <w:rPr>
          <w:lang w:val="en-CA"/>
        </w:rPr>
        <w:t xml:space="preserve"> </w:t>
      </w:r>
      <w:r w:rsidRPr="004B352C">
        <w:rPr>
          <w:i/>
          <w:iCs/>
          <w:lang w:val="en-CA"/>
        </w:rPr>
        <w:t>EN v</w:t>
      </w:r>
      <w:r w:rsidR="00EA0266" w:rsidRPr="004B352C">
        <w:rPr>
          <w:i/>
          <w:iCs/>
          <w:lang w:val="en-CA"/>
        </w:rPr>
        <w:t>.</w:t>
      </w:r>
      <w:r w:rsidRPr="004B352C">
        <w:rPr>
          <w:i/>
          <w:iCs/>
          <w:lang w:val="en-CA"/>
        </w:rPr>
        <w:t xml:space="preserve"> Gallagher's Bar and Lounge</w:t>
      </w:r>
      <w:r w:rsidRPr="00561F65">
        <w:rPr>
          <w:lang w:val="en-CA"/>
        </w:rPr>
        <w:t>, 2021</w:t>
      </w:r>
      <w:r w:rsidR="009B5E80" w:rsidRPr="00561F65">
        <w:rPr>
          <w:lang w:val="en-CA"/>
        </w:rPr>
        <w:t> </w:t>
      </w:r>
      <w:r w:rsidRPr="00561F65">
        <w:rPr>
          <w:lang w:val="en-CA"/>
        </w:rPr>
        <w:t>HRTO</w:t>
      </w:r>
      <w:r w:rsidR="005C5B01" w:rsidRPr="00561F65">
        <w:rPr>
          <w:lang w:val="en-CA"/>
        </w:rPr>
        <w:t> </w:t>
      </w:r>
      <w:r w:rsidRPr="00561F65">
        <w:rPr>
          <w:lang w:val="en-CA"/>
        </w:rPr>
        <w:t>240 (CanLII)</w:t>
      </w:r>
      <w:r w:rsidR="00673E54">
        <w:rPr>
          <w:lang w:val="en-CA"/>
        </w:rPr>
        <w:t>.</w:t>
      </w:r>
    </w:p>
  </w:footnote>
  <w:footnote w:id="278">
    <w:p w14:paraId="471FA3B2" w14:textId="626E8C3D" w:rsidR="00882A96" w:rsidRPr="00561F65" w:rsidRDefault="00882A96" w:rsidP="004E4354">
      <w:pPr>
        <w:pStyle w:val="NotesBasPage"/>
        <w:rPr>
          <w:lang w:val="en-CA"/>
        </w:rPr>
      </w:pPr>
      <w:r w:rsidRPr="00561F65">
        <w:rPr>
          <w:rStyle w:val="Appelnotedebasdep"/>
        </w:rPr>
        <w:footnoteRef/>
      </w:r>
      <w:r w:rsidRPr="00561F65">
        <w:rPr>
          <w:lang w:val="en-CA"/>
        </w:rPr>
        <w:t xml:space="preserve"> </w:t>
      </w:r>
      <w:r w:rsidRPr="00561F65">
        <w:rPr>
          <w:lang w:val="en-CA"/>
        </w:rPr>
        <w:tab/>
      </w:r>
      <w:r w:rsidRPr="00561F65">
        <w:rPr>
          <w:i/>
          <w:lang w:val="en-CA"/>
        </w:rPr>
        <w:t>R.</w:t>
      </w:r>
      <w:r w:rsidRPr="00561F65">
        <w:rPr>
          <w:lang w:val="en-CA"/>
        </w:rPr>
        <w:t xml:space="preserve"> c. </w:t>
      </w:r>
      <w:r w:rsidRPr="00561F65">
        <w:rPr>
          <w:i/>
          <w:lang w:val="en-CA"/>
        </w:rPr>
        <w:t>Lévesque</w:t>
      </w:r>
      <w:r w:rsidR="004116CE" w:rsidRPr="00561F65">
        <w:rPr>
          <w:lang w:val="en-CA"/>
        </w:rPr>
        <w:t xml:space="preserve">, </w:t>
      </w:r>
      <w:proofErr w:type="spellStart"/>
      <w:r w:rsidR="00ED364A" w:rsidRPr="00561F65">
        <w:rPr>
          <w:lang w:val="en-CA"/>
        </w:rPr>
        <w:t>préc</w:t>
      </w:r>
      <w:proofErr w:type="spellEnd"/>
      <w:r w:rsidR="00ED364A" w:rsidRPr="00561F65">
        <w:rPr>
          <w:lang w:val="en-CA"/>
        </w:rPr>
        <w:t>., note</w:t>
      </w:r>
      <w:r w:rsidR="00AB1B44">
        <w:rPr>
          <w:lang w:val="en-CA"/>
        </w:rPr>
        <w:t> </w:t>
      </w:r>
      <w:r w:rsidR="00ED364A" w:rsidRPr="00561F65">
        <w:fldChar w:fldCharType="begin"/>
      </w:r>
      <w:r w:rsidR="00ED364A" w:rsidRPr="00561F65">
        <w:rPr>
          <w:lang w:val="en-CA"/>
        </w:rPr>
        <w:instrText xml:space="preserve"> NOTEREF _Ref219810779 \h </w:instrText>
      </w:r>
      <w:r w:rsidR="004E4354" w:rsidRPr="004E4354">
        <w:rPr>
          <w:lang w:val="en-CA"/>
        </w:rPr>
        <w:instrText xml:space="preserve"> \* MERGEFORMAT </w:instrText>
      </w:r>
      <w:r w:rsidR="00ED364A" w:rsidRPr="00561F65">
        <w:fldChar w:fldCharType="separate"/>
      </w:r>
      <w:r w:rsidR="0084139E">
        <w:rPr>
          <w:lang w:val="en-CA"/>
        </w:rPr>
        <w:t>275</w:t>
      </w:r>
      <w:r w:rsidR="00ED364A" w:rsidRPr="00561F65">
        <w:fldChar w:fldCharType="end"/>
      </w:r>
      <w:r w:rsidRPr="00561F65">
        <w:rPr>
          <w:lang w:val="en-CA"/>
        </w:rPr>
        <w:t xml:space="preserve"> </w:t>
      </w:r>
      <w:proofErr w:type="spellStart"/>
      <w:r w:rsidRPr="00561F65">
        <w:rPr>
          <w:lang w:val="en-CA"/>
        </w:rPr>
        <w:t>citant</w:t>
      </w:r>
      <w:proofErr w:type="spellEnd"/>
      <w:r w:rsidRPr="00561F65">
        <w:rPr>
          <w:lang w:val="en-CA"/>
        </w:rPr>
        <w:t xml:space="preserve"> </w:t>
      </w:r>
      <w:r w:rsidRPr="00561F65">
        <w:rPr>
          <w:i/>
          <w:lang w:val="en-CA"/>
        </w:rPr>
        <w:t>Nelson</w:t>
      </w:r>
      <w:r w:rsidRPr="00561F65">
        <w:rPr>
          <w:lang w:val="en-CA"/>
        </w:rPr>
        <w:t xml:space="preserve"> v. </w:t>
      </w:r>
      <w:r w:rsidRPr="00561F65">
        <w:rPr>
          <w:i/>
          <w:lang w:val="en-CA"/>
        </w:rPr>
        <w:t>Goodberry Restaurant Group Ltd. dba Buono Osteria and others</w:t>
      </w:r>
      <w:r w:rsidRPr="00561F65">
        <w:rPr>
          <w:lang w:val="en-CA"/>
        </w:rPr>
        <w:t xml:space="preserve">, </w:t>
      </w:r>
      <w:proofErr w:type="spellStart"/>
      <w:r w:rsidR="005817C1" w:rsidRPr="00561F65">
        <w:rPr>
          <w:lang w:val="en-CA"/>
        </w:rPr>
        <w:t>pr</w:t>
      </w:r>
      <w:r w:rsidR="000B3727" w:rsidRPr="00561F65">
        <w:rPr>
          <w:lang w:val="en-CA"/>
        </w:rPr>
        <w:t>éc</w:t>
      </w:r>
      <w:proofErr w:type="spellEnd"/>
      <w:r w:rsidR="000B3727" w:rsidRPr="00561F65">
        <w:rPr>
          <w:lang w:val="en-CA"/>
        </w:rPr>
        <w:t>., note</w:t>
      </w:r>
      <w:r w:rsidR="00AB1B44">
        <w:rPr>
          <w:lang w:val="en-CA"/>
        </w:rPr>
        <w:t> </w:t>
      </w:r>
      <w:r w:rsidR="000B3727" w:rsidRPr="00561F65">
        <w:fldChar w:fldCharType="begin"/>
      </w:r>
      <w:r w:rsidR="000B3727" w:rsidRPr="00561F65">
        <w:rPr>
          <w:lang w:val="en-CA"/>
        </w:rPr>
        <w:instrText xml:space="preserve"> NOTEREF _Ref219811311 \h </w:instrText>
      </w:r>
      <w:r w:rsidR="004E4354" w:rsidRPr="004E4354">
        <w:rPr>
          <w:lang w:val="en-CA"/>
        </w:rPr>
        <w:instrText xml:space="preserve"> \* MERGEFORMAT </w:instrText>
      </w:r>
      <w:r w:rsidR="000B3727" w:rsidRPr="00561F65">
        <w:fldChar w:fldCharType="separate"/>
      </w:r>
      <w:r w:rsidR="0084139E">
        <w:rPr>
          <w:lang w:val="en-CA"/>
        </w:rPr>
        <w:t>276</w:t>
      </w:r>
      <w:r w:rsidR="000B3727" w:rsidRPr="00561F65">
        <w:fldChar w:fldCharType="end"/>
      </w:r>
      <w:r w:rsidR="000B3727" w:rsidRPr="00561F65">
        <w:rPr>
          <w:lang w:val="en-CA"/>
        </w:rPr>
        <w:t>.</w:t>
      </w:r>
    </w:p>
  </w:footnote>
  <w:footnote w:id="279">
    <w:p w14:paraId="23D7C719" w14:textId="4606E58A" w:rsidR="00882A96" w:rsidRPr="00561F65" w:rsidRDefault="00882A96" w:rsidP="004E4354">
      <w:pPr>
        <w:pStyle w:val="NotesBasPage"/>
        <w:rPr>
          <w:lang w:val="en-CA"/>
        </w:rPr>
      </w:pPr>
      <w:r w:rsidRPr="00561F65">
        <w:rPr>
          <w:rStyle w:val="Appelnotedebasdep"/>
        </w:rPr>
        <w:footnoteRef/>
      </w:r>
      <w:r w:rsidRPr="00561F65">
        <w:rPr>
          <w:lang w:val="en-CA"/>
        </w:rPr>
        <w:t xml:space="preserve"> </w:t>
      </w:r>
      <w:r w:rsidR="004116CE" w:rsidRPr="00561F65">
        <w:rPr>
          <w:lang w:val="en-CA"/>
        </w:rPr>
        <w:tab/>
      </w:r>
      <w:r w:rsidRPr="004B352C">
        <w:rPr>
          <w:i/>
          <w:iCs/>
          <w:lang w:val="en-CA"/>
        </w:rPr>
        <w:t>Nelson v. Goodberry Restaurant Group Ltd. dba Buono Osteria and others</w:t>
      </w:r>
      <w:r w:rsidRPr="00561F65">
        <w:rPr>
          <w:lang w:val="en-CA"/>
        </w:rPr>
        <w:t xml:space="preserve">, </w:t>
      </w:r>
      <w:proofErr w:type="spellStart"/>
      <w:r w:rsidR="000B3727" w:rsidRPr="00561F65">
        <w:rPr>
          <w:lang w:val="en-CA"/>
        </w:rPr>
        <w:t>pr</w:t>
      </w:r>
      <w:r w:rsidR="00BC66E2" w:rsidRPr="00561F65">
        <w:rPr>
          <w:lang w:val="en-CA"/>
        </w:rPr>
        <w:t>éc</w:t>
      </w:r>
      <w:proofErr w:type="spellEnd"/>
      <w:r w:rsidR="00BC66E2" w:rsidRPr="00561F65">
        <w:rPr>
          <w:lang w:val="en-CA"/>
        </w:rPr>
        <w:t>., note</w:t>
      </w:r>
      <w:r w:rsidR="00AB1B44">
        <w:rPr>
          <w:lang w:val="en-CA"/>
        </w:rPr>
        <w:t> </w:t>
      </w:r>
      <w:r w:rsidR="00BC66E2" w:rsidRPr="00561F65">
        <w:fldChar w:fldCharType="begin"/>
      </w:r>
      <w:r w:rsidR="00BC66E2" w:rsidRPr="00561F65">
        <w:rPr>
          <w:lang w:val="en-CA"/>
        </w:rPr>
        <w:instrText xml:space="preserve"> NOTEREF _Ref219811311 \h </w:instrText>
      </w:r>
      <w:r w:rsidR="004E4354" w:rsidRPr="004E4354">
        <w:rPr>
          <w:lang w:val="en-CA"/>
        </w:rPr>
        <w:instrText xml:space="preserve"> \* MERGEFORMAT </w:instrText>
      </w:r>
      <w:r w:rsidR="00BC66E2" w:rsidRPr="00561F65">
        <w:fldChar w:fldCharType="separate"/>
      </w:r>
      <w:r w:rsidR="0084139E">
        <w:rPr>
          <w:lang w:val="en-CA"/>
        </w:rPr>
        <w:t>276</w:t>
      </w:r>
      <w:r w:rsidR="00BC66E2" w:rsidRPr="00561F65">
        <w:fldChar w:fldCharType="end"/>
      </w:r>
      <w:r w:rsidRPr="00561F65">
        <w:rPr>
          <w:lang w:val="en-CA"/>
        </w:rPr>
        <w:t>, par. 82.</w:t>
      </w:r>
    </w:p>
  </w:footnote>
  <w:footnote w:id="280">
    <w:p w14:paraId="27FDBEFC" w14:textId="6E414125" w:rsidR="00882A96" w:rsidRPr="00561F65" w:rsidRDefault="00882A96" w:rsidP="004E4354">
      <w:pPr>
        <w:pStyle w:val="NotesBasPage"/>
      </w:pPr>
      <w:r w:rsidRPr="00561F65">
        <w:rPr>
          <w:rStyle w:val="Appelnotedebasdep"/>
        </w:rPr>
        <w:footnoteRef/>
      </w:r>
      <w:r w:rsidRPr="00561F65">
        <w:t xml:space="preserve"> </w:t>
      </w:r>
      <w:r w:rsidR="00F4638F" w:rsidRPr="00561F65">
        <w:tab/>
      </w:r>
      <w:r w:rsidRPr="004B352C">
        <w:rPr>
          <w:i/>
          <w:iCs/>
        </w:rPr>
        <w:t>Bilac c. Abbey</w:t>
      </w:r>
      <w:r w:rsidRPr="00673E54">
        <w:t xml:space="preserve">, </w:t>
      </w:r>
      <w:r w:rsidRPr="004B352C">
        <w:rPr>
          <w:i/>
          <w:iCs/>
        </w:rPr>
        <w:t xml:space="preserve">Currie et NC </w:t>
      </w:r>
      <w:proofErr w:type="spellStart"/>
      <w:r w:rsidRPr="004B352C">
        <w:rPr>
          <w:i/>
          <w:iCs/>
        </w:rPr>
        <w:t>Tractor</w:t>
      </w:r>
      <w:proofErr w:type="spellEnd"/>
      <w:r w:rsidRPr="004B352C">
        <w:rPr>
          <w:i/>
          <w:iCs/>
        </w:rPr>
        <w:t xml:space="preserve"> Services Inc</w:t>
      </w:r>
      <w:r w:rsidRPr="00561F65">
        <w:t>., 2023</w:t>
      </w:r>
      <w:r w:rsidR="009B5E80" w:rsidRPr="00561F65">
        <w:t> </w:t>
      </w:r>
      <w:r w:rsidRPr="00561F65">
        <w:t>TCDP</w:t>
      </w:r>
      <w:r w:rsidR="00A13093" w:rsidRPr="00561F65">
        <w:t> </w:t>
      </w:r>
      <w:r w:rsidRPr="00561F65">
        <w:t>43 (CanLII), par. 43.</w:t>
      </w:r>
    </w:p>
  </w:footnote>
  <w:footnote w:id="281">
    <w:p w14:paraId="3E171A12" w14:textId="1F569FFF" w:rsidR="001A3A9E" w:rsidRPr="00561F65" w:rsidRDefault="00A02F31" w:rsidP="004E4354">
      <w:pPr>
        <w:pStyle w:val="NotesBasPage"/>
      </w:pPr>
      <w:r w:rsidRPr="00561F65">
        <w:rPr>
          <w:rStyle w:val="Appelnotedebasdep"/>
        </w:rPr>
        <w:footnoteRef/>
      </w:r>
      <w:r w:rsidRPr="00561F65">
        <w:t xml:space="preserve"> </w:t>
      </w:r>
      <w:r w:rsidRPr="00561F65">
        <w:tab/>
      </w:r>
      <w:r w:rsidRPr="00561F65">
        <w:rPr>
          <w:smallCaps/>
        </w:rPr>
        <w:t>C</w:t>
      </w:r>
      <w:r w:rsidR="00495CFE" w:rsidRPr="00561F65">
        <w:rPr>
          <w:smallCaps/>
        </w:rPr>
        <w:t>ommission ontarienne des droits de la personne</w:t>
      </w:r>
      <w:r w:rsidRPr="00561F65">
        <w:t xml:space="preserve">, </w:t>
      </w:r>
      <w:r w:rsidRPr="00561F65">
        <w:rPr>
          <w:i/>
        </w:rPr>
        <w:t>Pas au menu. Rapport d’enquête sur les codes vestimentaires sexualisés fondés sur le sexe dans les restaurants de l’Ontario</w:t>
      </w:r>
      <w:r w:rsidRPr="00561F65">
        <w:t xml:space="preserve">, 2017, [En ligne]. </w:t>
      </w:r>
      <w:hyperlink r:id="rId128" w:history="1">
        <w:r w:rsidR="001A3A9E" w:rsidRPr="007912CF">
          <w:rPr>
            <w:rStyle w:val="Lienhypertexte"/>
          </w:rPr>
          <w:t>https://www.ohrc.on.ca/sites/default/files/Pas%20au%20menu%20-%20Rapport%20d%27enqu%C3%AAte%20sur%20les%20codes%20vestimentaires%20sexualis%C3%A9s%20et%20fond%C3%A9s%20sur%20le%20sexe%20dans%20les%20restaurants%20de%20l%27Ontario.pdf</w:t>
        </w:r>
      </w:hyperlink>
    </w:p>
  </w:footnote>
  <w:footnote w:id="282">
    <w:p w14:paraId="3DE69108" w14:textId="77777777" w:rsidR="00A02F31" w:rsidRPr="00561F65" w:rsidRDefault="00A02F31" w:rsidP="004E4354">
      <w:pPr>
        <w:pStyle w:val="NotesBasPage"/>
      </w:pPr>
      <w:r w:rsidRPr="00561F65">
        <w:rPr>
          <w:rStyle w:val="Appelnotedebasdep"/>
        </w:rPr>
        <w:footnoteRef/>
      </w:r>
      <w:r w:rsidRPr="00561F65">
        <w:t xml:space="preserve"> </w:t>
      </w:r>
      <w:r w:rsidRPr="00561F65">
        <w:tab/>
      </w:r>
      <w:r w:rsidRPr="00561F65">
        <w:rPr>
          <w:i/>
        </w:rPr>
        <w:t>Id.</w:t>
      </w:r>
    </w:p>
  </w:footnote>
  <w:footnote w:id="283">
    <w:p w14:paraId="5156A584" w14:textId="1DED2FB2" w:rsidR="00A02F31" w:rsidRPr="00561F65" w:rsidRDefault="00A02F31" w:rsidP="004E4354">
      <w:pPr>
        <w:pStyle w:val="NotesBasPage"/>
      </w:pPr>
      <w:r w:rsidRPr="00561F65">
        <w:rPr>
          <w:rStyle w:val="Appelnotedebasdep"/>
        </w:rPr>
        <w:footnoteRef/>
      </w:r>
      <w:r w:rsidRPr="00561F65">
        <w:t xml:space="preserve"> </w:t>
      </w:r>
      <w:r w:rsidR="00495CFE" w:rsidRPr="00561F65">
        <w:tab/>
      </w:r>
      <w:r w:rsidR="006516B6" w:rsidRPr="00561F65">
        <w:t>C</w:t>
      </w:r>
      <w:r w:rsidR="006516B6" w:rsidRPr="00561F65">
        <w:rPr>
          <w:smallCaps/>
        </w:rPr>
        <w:t>ommission des droits de la personne et des droits de la jeunesse</w:t>
      </w:r>
      <w:r w:rsidRPr="00561F65">
        <w:t xml:space="preserve">, </w:t>
      </w:r>
      <w:proofErr w:type="spellStart"/>
      <w:r w:rsidR="006B7D88" w:rsidRPr="00561F65">
        <w:t>préc</w:t>
      </w:r>
      <w:proofErr w:type="spellEnd"/>
      <w:r w:rsidR="006B7D88" w:rsidRPr="00561F65">
        <w:t xml:space="preserve">., note </w:t>
      </w:r>
      <w:r w:rsidR="006B7D88" w:rsidRPr="00561F65">
        <w:fldChar w:fldCharType="begin"/>
      </w:r>
      <w:r w:rsidR="006B7D88" w:rsidRPr="00561F65">
        <w:instrText xml:space="preserve"> NOTEREF _Ref219195115 \h </w:instrText>
      </w:r>
      <w:r w:rsidR="00DE27C9" w:rsidRPr="00561F65">
        <w:instrText xml:space="preserve"> \* MERGEFORMAT </w:instrText>
      </w:r>
      <w:r w:rsidR="006B7D88" w:rsidRPr="00561F65">
        <w:fldChar w:fldCharType="separate"/>
      </w:r>
      <w:r w:rsidR="000374E3" w:rsidRPr="00561F65">
        <w:t>34</w:t>
      </w:r>
      <w:r w:rsidR="006B7D88" w:rsidRPr="00561F65">
        <w:fldChar w:fldCharType="end"/>
      </w:r>
      <w:r w:rsidR="006B7D88" w:rsidRPr="00561F65">
        <w:t xml:space="preserve">, </w:t>
      </w:r>
      <w:r w:rsidRPr="00561F65">
        <w:t xml:space="preserve">p. </w:t>
      </w:r>
      <w:r w:rsidR="00DE27C9" w:rsidRPr="00561F65">
        <w:t>18-20.</w:t>
      </w:r>
    </w:p>
  </w:footnote>
  <w:footnote w:id="284">
    <w:p w14:paraId="041888FB" w14:textId="115EF064" w:rsidR="00A02F31" w:rsidRPr="00561F65" w:rsidRDefault="00A02F31" w:rsidP="004E4354">
      <w:pPr>
        <w:pStyle w:val="NotesBasPage"/>
      </w:pPr>
      <w:r w:rsidRPr="00561F65">
        <w:rPr>
          <w:rStyle w:val="Appelnotedebasdep"/>
        </w:rPr>
        <w:footnoteRef/>
      </w:r>
      <w:r w:rsidRPr="00561F65">
        <w:t xml:space="preserve"> </w:t>
      </w:r>
      <w:r w:rsidR="00495CFE" w:rsidRPr="00561F65">
        <w:tab/>
      </w:r>
      <w:r w:rsidRPr="00867089">
        <w:t>Voir l’encadré</w:t>
      </w:r>
      <w:r w:rsidR="00867089" w:rsidRPr="00867089">
        <w:t xml:space="preserve"> dans la section 3.2</w:t>
      </w:r>
      <w:r w:rsidR="00F17D4F">
        <w:t xml:space="preserve"> du présent rapport.</w:t>
      </w:r>
    </w:p>
  </w:footnote>
  <w:footnote w:id="285">
    <w:p w14:paraId="3A5EAD3D" w14:textId="3789C083" w:rsidR="006F4FC9" w:rsidRPr="00561F65" w:rsidRDefault="006F4FC9" w:rsidP="004E4354">
      <w:pPr>
        <w:pStyle w:val="NotesBasPage"/>
      </w:pPr>
      <w:r w:rsidRPr="00561F65">
        <w:rPr>
          <w:rStyle w:val="Appelnotedebasdep"/>
        </w:rPr>
        <w:footnoteRef/>
      </w:r>
      <w:r w:rsidRPr="00561F65">
        <w:t xml:space="preserve"> </w:t>
      </w:r>
      <w:r w:rsidR="006D3F33" w:rsidRPr="00561F65">
        <w:tab/>
      </w:r>
      <w:r w:rsidRPr="00561F65">
        <w:t>Ce pourcentage est supérieur à celui de 22,6 % mentionné dans la section</w:t>
      </w:r>
      <w:r w:rsidR="00A13093" w:rsidRPr="00561F65">
        <w:t> </w:t>
      </w:r>
      <w:r w:rsidRPr="00561F65">
        <w:t>10.1</w:t>
      </w:r>
      <w:r w:rsidR="00604E4B">
        <w:t xml:space="preserve"> du présent rapport</w:t>
      </w:r>
      <w:r w:rsidRPr="00561F65">
        <w:t>. Le pourcentage précédent décrivait seulement les plaintes pour lesquelles l’atteinte alléguée aux droits saisie dans le logiciel était le climat de travail. Or, au cours de l’analyse qualitative, 62 % des plaintes ont été codifiées comme alléguant un climat de travail discriminatoire. À la différence du logiciel de traitement des plaintes, l’analyse qualitative permet de tenir compte des différents aspects de la plainte, sans avoir à identifier une allégation principale. Par exemple, une plainte pour congédiement discriminatoire peut s’accompagner d’un climat de travail discriminatoire.</w:t>
      </w:r>
    </w:p>
  </w:footnote>
  <w:footnote w:id="286">
    <w:p w14:paraId="324F89DA" w14:textId="77777777" w:rsidR="006F4FC9" w:rsidRPr="00561F65" w:rsidRDefault="006F4FC9" w:rsidP="004E4354">
      <w:pPr>
        <w:pStyle w:val="NotesBasPage"/>
      </w:pPr>
      <w:r w:rsidRPr="00561F65">
        <w:rPr>
          <w:rStyle w:val="Appelnotedebasdep"/>
        </w:rPr>
        <w:footnoteRef/>
      </w:r>
      <w:r w:rsidRPr="00561F65">
        <w:t xml:space="preserve"> </w:t>
      </w:r>
      <w:r w:rsidR="006D3F33" w:rsidRPr="00561F65">
        <w:tab/>
      </w:r>
      <w:r w:rsidRPr="00561F65">
        <w:t>Pour les sous-catégories, les pourcentages sont calculés sur la base du nombre de plaintes reçues alléguant un climat de travail discriminatoire. Le total des sous-catégories dépasse 100 % parce qu’une plainte peut en alléguer plusieurs.</w:t>
      </w:r>
    </w:p>
  </w:footnote>
  <w:footnote w:id="287">
    <w:p w14:paraId="62A60603" w14:textId="243DA604" w:rsidR="00C142FC" w:rsidRPr="00561F65" w:rsidRDefault="00C142FC" w:rsidP="004E4354">
      <w:pPr>
        <w:pStyle w:val="NotesBasPage"/>
        <w:rPr>
          <w:lang w:val="en-CA"/>
        </w:rPr>
      </w:pPr>
      <w:r w:rsidRPr="00561F65">
        <w:rPr>
          <w:rStyle w:val="Appelnotedebasdep"/>
        </w:rPr>
        <w:footnoteRef/>
      </w:r>
      <w:r w:rsidRPr="00561F65">
        <w:rPr>
          <w:lang w:val="en-CA"/>
        </w:rPr>
        <w:t xml:space="preserve"> </w:t>
      </w:r>
      <w:r w:rsidR="001B59FA" w:rsidRPr="00561F65">
        <w:rPr>
          <w:lang w:val="en-CA"/>
        </w:rPr>
        <w:tab/>
      </w:r>
      <w:r w:rsidR="003A735F" w:rsidRPr="00561F65">
        <w:rPr>
          <w:lang w:val="en-CA"/>
        </w:rPr>
        <w:t xml:space="preserve">Jessica </w:t>
      </w:r>
      <w:r w:rsidR="003A735F" w:rsidRPr="00561F65">
        <w:rPr>
          <w:smallCaps/>
          <w:lang w:val="en-CA"/>
        </w:rPr>
        <w:t>R.</w:t>
      </w:r>
      <w:r w:rsidR="00135B4F">
        <w:rPr>
          <w:smallCaps/>
          <w:lang w:val="en-CA"/>
        </w:rPr>
        <w:t> </w:t>
      </w:r>
      <w:r w:rsidR="003A735F" w:rsidRPr="00561F65">
        <w:rPr>
          <w:smallCaps/>
          <w:lang w:val="en-CA"/>
        </w:rPr>
        <w:t>Webster</w:t>
      </w:r>
      <w:r w:rsidR="003A735F" w:rsidRPr="00561F65">
        <w:rPr>
          <w:lang w:val="en-CA"/>
        </w:rPr>
        <w:t xml:space="preserve"> et al.</w:t>
      </w:r>
      <w:r w:rsidRPr="00561F65">
        <w:rPr>
          <w:lang w:val="en-CA"/>
        </w:rPr>
        <w:t xml:space="preserve">, « Workplace contextual supports for LGBT employees: A review, meta-analysis, and agenda for future research », Scopus (2018) 57:1 </w:t>
      </w:r>
      <w:r w:rsidRPr="00561F65">
        <w:rPr>
          <w:i/>
          <w:lang w:val="en-CA"/>
        </w:rPr>
        <w:t>Human Resource Management</w:t>
      </w:r>
      <w:r w:rsidR="00AB1B44">
        <w:rPr>
          <w:lang w:val="en-CA"/>
        </w:rPr>
        <w:t> </w:t>
      </w:r>
      <w:r w:rsidRPr="00561F65">
        <w:rPr>
          <w:lang w:val="en-CA"/>
        </w:rPr>
        <w:t>193</w:t>
      </w:r>
      <w:r w:rsidRPr="00561F65">
        <w:rPr>
          <w:lang w:val="en-CA"/>
        </w:rPr>
        <w:noBreakHyphen/>
        <w:t>210, 195.</w:t>
      </w:r>
    </w:p>
  </w:footnote>
  <w:footnote w:id="288">
    <w:p w14:paraId="696D69F2" w14:textId="0B4DBCEA" w:rsidR="00004948" w:rsidRPr="00561F65" w:rsidRDefault="00004948" w:rsidP="004E4354">
      <w:pPr>
        <w:pStyle w:val="NotesBasPage"/>
      </w:pPr>
      <w:r w:rsidRPr="00561F65">
        <w:rPr>
          <w:rStyle w:val="Appelnotedebasdep"/>
        </w:rPr>
        <w:footnoteRef/>
      </w:r>
      <w:r w:rsidRPr="00561F65">
        <w:t xml:space="preserve"> </w:t>
      </w:r>
      <w:r w:rsidR="001B59FA" w:rsidRPr="00561F65">
        <w:tab/>
      </w:r>
      <w:r w:rsidR="005A0995" w:rsidRPr="00561F65">
        <w:rPr>
          <w:smallCaps/>
        </w:rPr>
        <w:t>Commission canadienne des droits de la personne</w:t>
      </w:r>
      <w:r w:rsidR="005A0995" w:rsidRPr="00561F65">
        <w:t xml:space="preserve">, </w:t>
      </w:r>
      <w:r w:rsidR="008042BA" w:rsidRPr="001A3A9E">
        <w:rPr>
          <w:i/>
          <w:iCs/>
        </w:rPr>
        <w:t>Prévention et règlement des incidents de harcèlement et de la violence en milieu de travail</w:t>
      </w:r>
      <w:r w:rsidR="008042BA" w:rsidRPr="00561F65">
        <w:t>, 2024</w:t>
      </w:r>
      <w:r w:rsidR="00291541">
        <w:t> </w:t>
      </w:r>
      <w:proofErr w:type="spellStart"/>
      <w:r w:rsidR="008042BA" w:rsidRPr="00561F65">
        <w:t>CanLIIDocs</w:t>
      </w:r>
      <w:proofErr w:type="spellEnd"/>
      <w:r w:rsidR="008042BA" w:rsidRPr="00561F65">
        <w:t xml:space="preserve"> 751</w:t>
      </w:r>
      <w:r w:rsidR="005A0995" w:rsidRPr="00561F65">
        <w:t>, p. 3</w:t>
      </w:r>
      <w:r w:rsidR="00D11667">
        <w:t>.</w:t>
      </w:r>
    </w:p>
  </w:footnote>
  <w:footnote w:id="289">
    <w:p w14:paraId="7D34938A" w14:textId="0194C3D1" w:rsidR="00E62289" w:rsidRPr="00561F65" w:rsidRDefault="00E62289" w:rsidP="004E4354">
      <w:pPr>
        <w:pStyle w:val="NotesBasPage"/>
      </w:pPr>
      <w:r w:rsidRPr="00561F65">
        <w:rPr>
          <w:rStyle w:val="Appelnotedebasdep"/>
        </w:rPr>
        <w:footnoteRef/>
      </w:r>
      <w:r w:rsidRPr="00561F65">
        <w:t xml:space="preserve"> </w:t>
      </w:r>
      <w:r w:rsidRPr="00561F65">
        <w:tab/>
      </w:r>
      <w:r w:rsidRPr="00491BA8">
        <w:rPr>
          <w:i/>
          <w:iCs/>
        </w:rPr>
        <w:t xml:space="preserve">Commission des droits de la personne et des droits de la jeunesse (E.B.) </w:t>
      </w:r>
      <w:r w:rsidRPr="007463DA">
        <w:t>c</w:t>
      </w:r>
      <w:r w:rsidRPr="00491BA8">
        <w:rPr>
          <w:i/>
          <w:iCs/>
        </w:rPr>
        <w:t>.</w:t>
      </w:r>
      <w:r w:rsidR="00A13093" w:rsidRPr="00491BA8">
        <w:rPr>
          <w:i/>
          <w:iCs/>
        </w:rPr>
        <w:t> </w:t>
      </w:r>
      <w:r w:rsidRPr="00491BA8">
        <w:rPr>
          <w:i/>
          <w:iCs/>
        </w:rPr>
        <w:t xml:space="preserve">9302-6573 Québec </w:t>
      </w:r>
      <w:proofErr w:type="spellStart"/>
      <w:r w:rsidRPr="00491BA8">
        <w:rPr>
          <w:i/>
          <w:iCs/>
        </w:rPr>
        <w:t>inc.</w:t>
      </w:r>
      <w:proofErr w:type="spellEnd"/>
      <w:r w:rsidRPr="00491BA8">
        <w:rPr>
          <w:i/>
          <w:iCs/>
        </w:rPr>
        <w:t xml:space="preserve"> (Bar Lucky</w:t>
      </w:r>
      <w:r w:rsidR="00A13093" w:rsidRPr="00491BA8">
        <w:rPr>
          <w:i/>
          <w:iCs/>
        </w:rPr>
        <w:t> </w:t>
      </w:r>
      <w:r w:rsidRPr="00491BA8">
        <w:rPr>
          <w:i/>
          <w:iCs/>
        </w:rPr>
        <w:t>7)</w:t>
      </w:r>
      <w:r w:rsidRPr="00561F65">
        <w:t xml:space="preserve">, </w:t>
      </w:r>
      <w:proofErr w:type="spellStart"/>
      <w:r w:rsidR="003A4501" w:rsidRPr="00561F65">
        <w:t>préc</w:t>
      </w:r>
      <w:proofErr w:type="spellEnd"/>
      <w:r w:rsidR="003A4501" w:rsidRPr="00561F65">
        <w:t xml:space="preserve">., note </w:t>
      </w:r>
      <w:r w:rsidR="003A4501" w:rsidRPr="00561F65">
        <w:fldChar w:fldCharType="begin"/>
      </w:r>
      <w:r w:rsidR="003A4501" w:rsidRPr="00561F65">
        <w:instrText xml:space="preserve"> NOTEREF _Ref219291741 \h </w:instrText>
      </w:r>
      <w:r w:rsidR="007017CF" w:rsidRPr="00561F65">
        <w:instrText xml:space="preserve"> \* MERGEFORMAT </w:instrText>
      </w:r>
      <w:r w:rsidR="003A4501" w:rsidRPr="00561F65">
        <w:fldChar w:fldCharType="separate"/>
      </w:r>
      <w:r w:rsidR="000374E3" w:rsidRPr="00561F65">
        <w:t>142</w:t>
      </w:r>
      <w:r w:rsidR="003A4501" w:rsidRPr="00561F65">
        <w:fldChar w:fldCharType="end"/>
      </w:r>
      <w:r w:rsidRPr="00561F65">
        <w:t>, par. 85-90.</w:t>
      </w:r>
    </w:p>
  </w:footnote>
  <w:footnote w:id="290">
    <w:p w14:paraId="650D0D8A" w14:textId="17F5ADB4" w:rsidR="00E62289" w:rsidRPr="00561F65" w:rsidRDefault="00E62289" w:rsidP="004E4354">
      <w:pPr>
        <w:pStyle w:val="NotesBasPage"/>
      </w:pPr>
      <w:r w:rsidRPr="00561F65">
        <w:rPr>
          <w:rStyle w:val="Appelnotedebasdep"/>
        </w:rPr>
        <w:footnoteRef/>
      </w:r>
      <w:r w:rsidRPr="00561F65">
        <w:t xml:space="preserve"> </w:t>
      </w:r>
      <w:r w:rsidRPr="00561F65">
        <w:tab/>
      </w:r>
      <w:r w:rsidR="003A4501" w:rsidRPr="00561F65">
        <w:rPr>
          <w:i/>
        </w:rPr>
        <w:t>Id</w:t>
      </w:r>
      <w:r w:rsidR="003A4501" w:rsidRPr="00561F65">
        <w:t>.</w:t>
      </w:r>
      <w:r w:rsidRPr="00561F65">
        <w:t>, par. 95-101.</w:t>
      </w:r>
    </w:p>
  </w:footnote>
  <w:footnote w:id="291">
    <w:p w14:paraId="40CD6370" w14:textId="11A0AFC2" w:rsidR="00E62289" w:rsidRPr="00561F65" w:rsidRDefault="00E62289" w:rsidP="004E4354">
      <w:pPr>
        <w:pStyle w:val="NotesBasPage"/>
      </w:pPr>
      <w:r w:rsidRPr="00561F65">
        <w:rPr>
          <w:rStyle w:val="Appelnotedebasdep"/>
        </w:rPr>
        <w:footnoteRef/>
      </w:r>
      <w:r w:rsidRPr="00561F65">
        <w:t xml:space="preserve"> </w:t>
      </w:r>
      <w:r w:rsidRPr="00561F65">
        <w:tab/>
      </w:r>
      <w:r w:rsidRPr="00491BA8">
        <w:rPr>
          <w:i/>
          <w:iCs/>
        </w:rPr>
        <w:t xml:space="preserve">Commission des droits de la personne et des droits de la jeunesse (Rivest) </w:t>
      </w:r>
      <w:r w:rsidRPr="007463DA">
        <w:t>c</w:t>
      </w:r>
      <w:r w:rsidRPr="00491BA8">
        <w:rPr>
          <w:i/>
          <w:iCs/>
        </w:rPr>
        <w:t>.</w:t>
      </w:r>
      <w:r w:rsidR="00A13093" w:rsidRPr="00491BA8">
        <w:rPr>
          <w:i/>
          <w:iCs/>
        </w:rPr>
        <w:t> </w:t>
      </w:r>
      <w:r w:rsidRPr="00491BA8">
        <w:rPr>
          <w:i/>
          <w:iCs/>
        </w:rPr>
        <w:t xml:space="preserve">9113-0831 Québec </w:t>
      </w:r>
      <w:proofErr w:type="spellStart"/>
      <w:r w:rsidRPr="00491BA8">
        <w:rPr>
          <w:i/>
          <w:iCs/>
        </w:rPr>
        <w:t>inc.</w:t>
      </w:r>
      <w:proofErr w:type="spellEnd"/>
      <w:r w:rsidRPr="00491BA8">
        <w:rPr>
          <w:i/>
          <w:iCs/>
        </w:rPr>
        <w:t xml:space="preserve"> (Bronzage Évasion au soleil du monde)</w:t>
      </w:r>
      <w:r w:rsidRPr="00561F65">
        <w:t xml:space="preserve">, </w:t>
      </w:r>
      <w:proofErr w:type="spellStart"/>
      <w:r w:rsidR="004F2B91" w:rsidRPr="00561F65">
        <w:t>préc</w:t>
      </w:r>
      <w:proofErr w:type="spellEnd"/>
      <w:r w:rsidR="004F2B91" w:rsidRPr="00561F65">
        <w:t xml:space="preserve">., note </w:t>
      </w:r>
      <w:r w:rsidR="004F2B91" w:rsidRPr="00561F65">
        <w:fldChar w:fldCharType="begin"/>
      </w:r>
      <w:r w:rsidR="004F2B91" w:rsidRPr="00561F65">
        <w:instrText xml:space="preserve"> NOTEREF _Ref219806911 \h </w:instrText>
      </w:r>
      <w:r w:rsidR="004E4354">
        <w:instrText xml:space="preserve"> \* MERGEFORMAT </w:instrText>
      </w:r>
      <w:r w:rsidR="004F2B91" w:rsidRPr="00561F65">
        <w:fldChar w:fldCharType="separate"/>
      </w:r>
      <w:r w:rsidR="000374E3" w:rsidRPr="00561F65">
        <w:t>141</w:t>
      </w:r>
      <w:r w:rsidR="004F2B91" w:rsidRPr="00561F65">
        <w:fldChar w:fldCharType="end"/>
      </w:r>
      <w:r w:rsidR="003357E2" w:rsidRPr="00561F65">
        <w:t>,</w:t>
      </w:r>
      <w:r w:rsidRPr="00561F65">
        <w:t xml:space="preserve"> par. 57-59.</w:t>
      </w:r>
    </w:p>
  </w:footnote>
  <w:footnote w:id="292">
    <w:p w14:paraId="250557E3" w14:textId="29E8DFA2" w:rsidR="00025CD9" w:rsidRPr="00561F65" w:rsidRDefault="00025CD9" w:rsidP="004E4354">
      <w:pPr>
        <w:pStyle w:val="NotesBasPage"/>
      </w:pPr>
      <w:r w:rsidRPr="00561F65">
        <w:rPr>
          <w:rStyle w:val="Appelnotedebasdep"/>
        </w:rPr>
        <w:footnoteRef/>
      </w:r>
      <w:r w:rsidRPr="00561F65">
        <w:t xml:space="preserve"> </w:t>
      </w:r>
      <w:r w:rsidRPr="00561F65">
        <w:tab/>
      </w:r>
      <w:r w:rsidRPr="00491BA8">
        <w:rPr>
          <w:i/>
          <w:iCs/>
        </w:rPr>
        <w:t xml:space="preserve">Commission des droits de la personne et des droits de la jeunesse (E.B.) </w:t>
      </w:r>
      <w:r w:rsidRPr="007463DA">
        <w:t>c</w:t>
      </w:r>
      <w:r w:rsidRPr="00491BA8">
        <w:rPr>
          <w:i/>
          <w:iCs/>
        </w:rPr>
        <w:t>.</w:t>
      </w:r>
      <w:r w:rsidR="00A13093" w:rsidRPr="00491BA8">
        <w:rPr>
          <w:i/>
          <w:iCs/>
        </w:rPr>
        <w:t> </w:t>
      </w:r>
      <w:r w:rsidRPr="00491BA8">
        <w:rPr>
          <w:i/>
          <w:iCs/>
        </w:rPr>
        <w:t xml:space="preserve">9302-6573 Québec </w:t>
      </w:r>
      <w:proofErr w:type="spellStart"/>
      <w:r w:rsidRPr="00491BA8">
        <w:rPr>
          <w:i/>
          <w:iCs/>
        </w:rPr>
        <w:t>inc.</w:t>
      </w:r>
      <w:proofErr w:type="spellEnd"/>
      <w:r w:rsidRPr="00491BA8">
        <w:rPr>
          <w:i/>
          <w:iCs/>
        </w:rPr>
        <w:t xml:space="preserve"> (Bar Lucky</w:t>
      </w:r>
      <w:r w:rsidR="00A13093" w:rsidRPr="00491BA8">
        <w:rPr>
          <w:i/>
          <w:iCs/>
        </w:rPr>
        <w:t> </w:t>
      </w:r>
      <w:r w:rsidRPr="00491BA8">
        <w:rPr>
          <w:i/>
          <w:iCs/>
        </w:rPr>
        <w:t>7)</w:t>
      </w:r>
      <w:r w:rsidRPr="00561F65">
        <w:t xml:space="preserve">, </w:t>
      </w:r>
      <w:proofErr w:type="spellStart"/>
      <w:r w:rsidR="003A4501" w:rsidRPr="00561F65">
        <w:t>préc</w:t>
      </w:r>
      <w:proofErr w:type="spellEnd"/>
      <w:r w:rsidR="003A4501" w:rsidRPr="00561F65">
        <w:t xml:space="preserve">., note </w:t>
      </w:r>
      <w:r w:rsidR="003A4501" w:rsidRPr="00561F65">
        <w:fldChar w:fldCharType="begin"/>
      </w:r>
      <w:r w:rsidR="003A4501" w:rsidRPr="00561F65">
        <w:instrText xml:space="preserve"> NOTEREF _Ref219291741 \h </w:instrText>
      </w:r>
      <w:r w:rsidR="007017CF" w:rsidRPr="00561F65">
        <w:instrText xml:space="preserve"> \* MERGEFORMAT </w:instrText>
      </w:r>
      <w:r w:rsidR="003A4501" w:rsidRPr="00561F65">
        <w:fldChar w:fldCharType="separate"/>
      </w:r>
      <w:r w:rsidR="000374E3" w:rsidRPr="00561F65">
        <w:t>142</w:t>
      </w:r>
      <w:r w:rsidR="003A4501" w:rsidRPr="00561F65">
        <w:fldChar w:fldCharType="end"/>
      </w:r>
      <w:r w:rsidRPr="00561F65">
        <w:t>, par. 92-94</w:t>
      </w:r>
    </w:p>
  </w:footnote>
  <w:footnote w:id="293">
    <w:p w14:paraId="24C9C8E3" w14:textId="7E6F5D2D" w:rsidR="00491BA8" w:rsidRPr="00561F65" w:rsidRDefault="004D0BA2" w:rsidP="004E4354">
      <w:pPr>
        <w:pStyle w:val="NotesBasPage"/>
      </w:pPr>
      <w:r w:rsidRPr="00561F65">
        <w:rPr>
          <w:rStyle w:val="Appelnotedebasdep"/>
        </w:rPr>
        <w:footnoteRef/>
      </w:r>
      <w:r w:rsidRPr="00561F65">
        <w:t xml:space="preserve"> </w:t>
      </w:r>
      <w:r w:rsidR="001B59FA" w:rsidRPr="00561F65">
        <w:tab/>
      </w:r>
      <w:r w:rsidR="00E5652E" w:rsidRPr="00561F65">
        <w:t xml:space="preserve">Noah </w:t>
      </w:r>
      <w:r w:rsidR="00E5652E" w:rsidRPr="006D1C64">
        <w:rPr>
          <w:smallCaps/>
        </w:rPr>
        <w:t>Carle-Desjardins</w:t>
      </w:r>
      <w:r w:rsidR="00E5652E" w:rsidRPr="00561F65">
        <w:t xml:space="preserve">, Gabriel James </w:t>
      </w:r>
      <w:r w:rsidR="00E5652E" w:rsidRPr="006D1C64">
        <w:rPr>
          <w:smallCaps/>
        </w:rPr>
        <w:t>Galantino</w:t>
      </w:r>
      <w:r w:rsidR="003F7169" w:rsidRPr="00561F65">
        <w:t xml:space="preserve"> et Isabel </w:t>
      </w:r>
      <w:r w:rsidR="003F7169" w:rsidRPr="006D1C64">
        <w:rPr>
          <w:smallCaps/>
        </w:rPr>
        <w:t>Côté</w:t>
      </w:r>
      <w:r w:rsidR="003F7169" w:rsidRPr="00561F65">
        <w:t xml:space="preserve">, </w:t>
      </w:r>
      <w:r w:rsidR="003F7169" w:rsidRPr="00561F65">
        <w:rPr>
          <w:i/>
        </w:rPr>
        <w:t>Personnes LGBTQ en région</w:t>
      </w:r>
      <w:r w:rsidR="003F7169" w:rsidRPr="00561F65">
        <w:t xml:space="preserve">, </w:t>
      </w:r>
      <w:r w:rsidR="00A554BD" w:rsidRPr="00561F65">
        <w:t>Fiche synthèse du partenariat de recherche SAVIE-LGBTQ, n</w:t>
      </w:r>
      <w:r w:rsidR="001F66EC" w:rsidRPr="001F66EC">
        <w:rPr>
          <w:vertAlign w:val="superscript"/>
        </w:rPr>
        <w:t>o</w:t>
      </w:r>
      <w:r w:rsidR="00A554BD" w:rsidRPr="00561F65">
        <w:t xml:space="preserve"> 13, novembre 2021, </w:t>
      </w:r>
      <w:r w:rsidR="006D1C64">
        <w:t>[E</w:t>
      </w:r>
      <w:r w:rsidR="00A554BD" w:rsidRPr="00561F65">
        <w:t>n ligne</w:t>
      </w:r>
      <w:r w:rsidR="006D1C64">
        <w:t>].</w:t>
      </w:r>
      <w:r w:rsidR="00A554BD" w:rsidRPr="00561F65">
        <w:t xml:space="preserve"> </w:t>
      </w:r>
      <w:hyperlink r:id="rId129" w:history="1">
        <w:r w:rsidR="00491BA8" w:rsidRPr="007912CF">
          <w:rPr>
            <w:rStyle w:val="Lienhypertexte"/>
          </w:rPr>
          <w:t>https://savie-lgbtq.uqam.ca/personnes-lgbtq-en-region-2/</w:t>
        </w:r>
      </w:hyperlink>
    </w:p>
  </w:footnote>
  <w:footnote w:id="294">
    <w:p w14:paraId="482A3031" w14:textId="63775117" w:rsidR="00EF3A84" w:rsidRPr="00561F65" w:rsidRDefault="006629EF" w:rsidP="004E4354">
      <w:pPr>
        <w:pStyle w:val="NotesBasPage"/>
      </w:pPr>
      <w:r w:rsidRPr="00561F65">
        <w:rPr>
          <w:rStyle w:val="Appelnotedebasdep"/>
        </w:rPr>
        <w:footnoteRef/>
      </w:r>
      <w:r w:rsidRPr="00561F65">
        <w:t xml:space="preserve"> </w:t>
      </w:r>
      <w:r w:rsidR="001B59FA" w:rsidRPr="00561F65">
        <w:tab/>
      </w:r>
      <w:r w:rsidRPr="00561F65">
        <w:t xml:space="preserve">Ruth </w:t>
      </w:r>
      <w:r w:rsidRPr="00561F65">
        <w:rPr>
          <w:smallCaps/>
        </w:rPr>
        <w:t>Rose</w:t>
      </w:r>
      <w:r w:rsidRPr="00561F65">
        <w:t>, «</w:t>
      </w:r>
      <w:r w:rsidR="00AB4C13" w:rsidRPr="00561F65">
        <w:rPr>
          <w:rFonts w:ascii="Arial" w:hAnsi="Arial" w:cs="Arial"/>
        </w:rPr>
        <w:t> </w:t>
      </w:r>
      <w:r w:rsidRPr="00561F65">
        <w:t>Persistance des écarts salariaux, analyse selon la scolarité et la profession</w:t>
      </w:r>
      <w:r w:rsidR="00AB4C13" w:rsidRPr="00561F65">
        <w:rPr>
          <w:rFonts w:ascii="Arial" w:hAnsi="Arial" w:cs="Arial"/>
        </w:rPr>
        <w:t> </w:t>
      </w:r>
      <w:r w:rsidRPr="00561F65">
        <w:t>», Colloque «</w:t>
      </w:r>
      <w:r w:rsidR="00AB4C13" w:rsidRPr="00561F65">
        <w:rPr>
          <w:rFonts w:ascii="Arial" w:hAnsi="Arial" w:cs="Arial"/>
        </w:rPr>
        <w:t> </w:t>
      </w:r>
      <w:r w:rsidRPr="00561F65">
        <w:t>L’égalité entre les hommes et les femmes au Québec : entre avancées et enjeux persistants</w:t>
      </w:r>
      <w:r w:rsidR="00AB4C13" w:rsidRPr="00561F65">
        <w:rPr>
          <w:rFonts w:ascii="Arial" w:hAnsi="Arial" w:cs="Arial"/>
        </w:rPr>
        <w:t> </w:t>
      </w:r>
      <w:r w:rsidRPr="00561F65">
        <w:t>», Conseil du statut de la femme, Congrès de l’ACFAS, 8-9 mai 2023, p.</w:t>
      </w:r>
      <w:r w:rsidR="00A13093" w:rsidRPr="00561F65">
        <w:t> </w:t>
      </w:r>
      <w:r w:rsidRPr="00561F65">
        <w:t xml:space="preserve">14, </w:t>
      </w:r>
      <w:r w:rsidR="003F4E1C" w:rsidRPr="00561F65">
        <w:t>[En</w:t>
      </w:r>
      <w:r w:rsidRPr="00561F65">
        <w:t xml:space="preserve"> ligne</w:t>
      </w:r>
      <w:r w:rsidR="003F4E1C" w:rsidRPr="00561F65">
        <w:t>].</w:t>
      </w:r>
      <w:r w:rsidRPr="00561F65">
        <w:t xml:space="preserve"> </w:t>
      </w:r>
      <w:hyperlink r:id="rId130" w:history="1">
        <w:r w:rsidR="00EF3A84" w:rsidRPr="007912CF">
          <w:rPr>
            <w:rStyle w:val="Lienhypertexte"/>
          </w:rPr>
          <w:t>https://csf.gouv.qc.ca/wp-content/uploads/confAcfas2023_rRose-Lizee.pdf</w:t>
        </w:r>
      </w:hyperlink>
    </w:p>
  </w:footnote>
  <w:footnote w:id="295">
    <w:p w14:paraId="6B620D70" w14:textId="7A313331" w:rsidR="006629EF" w:rsidRPr="00561F65" w:rsidRDefault="006629EF" w:rsidP="004E4354">
      <w:pPr>
        <w:pStyle w:val="NotesBasPage"/>
      </w:pPr>
      <w:r w:rsidRPr="00561F65">
        <w:rPr>
          <w:rStyle w:val="Appelnotedebasdep"/>
        </w:rPr>
        <w:footnoteRef/>
      </w:r>
      <w:r w:rsidRPr="00561F65">
        <w:t xml:space="preserve"> </w:t>
      </w:r>
      <w:r w:rsidR="001B59FA" w:rsidRPr="00561F65">
        <w:tab/>
      </w:r>
      <w:r w:rsidRPr="00561F65">
        <w:rPr>
          <w:i/>
        </w:rPr>
        <w:t>Loi sur l’équité salariale</w:t>
      </w:r>
      <w:r w:rsidRPr="00561F65">
        <w:t>, RLRQ, c. E</w:t>
      </w:r>
      <w:r w:rsidR="00A13093" w:rsidRPr="00561F65">
        <w:t> </w:t>
      </w:r>
      <w:r w:rsidRPr="00561F65">
        <w:t>-12</w:t>
      </w:r>
      <w:r w:rsidR="00937C69" w:rsidRPr="00561F65">
        <w:rPr>
          <w:rFonts w:ascii="Arial" w:hAnsi="Arial" w:cs="Arial"/>
        </w:rPr>
        <w:t> </w:t>
      </w:r>
      <w:r w:rsidRPr="00561F65">
        <w:t>001, art.</w:t>
      </w:r>
      <w:r w:rsidR="00A13093" w:rsidRPr="00561F65">
        <w:t> </w:t>
      </w:r>
      <w:r w:rsidRPr="00561F65">
        <w:t>55.</w:t>
      </w:r>
    </w:p>
  </w:footnote>
  <w:footnote w:id="296">
    <w:p w14:paraId="6D785304" w14:textId="5C836A09" w:rsidR="00D043D5" w:rsidRPr="00561F65" w:rsidRDefault="006629EF" w:rsidP="004E4354">
      <w:pPr>
        <w:pStyle w:val="NotesBasPage"/>
      </w:pPr>
      <w:r w:rsidRPr="00561F65">
        <w:rPr>
          <w:rStyle w:val="Appelnotedebasdep"/>
        </w:rPr>
        <w:footnoteRef/>
      </w:r>
      <w:r w:rsidRPr="00561F65">
        <w:t xml:space="preserve"> </w:t>
      </w:r>
      <w:r w:rsidR="001B59FA" w:rsidRPr="00561F65">
        <w:tab/>
      </w:r>
      <w:r w:rsidR="002F774B" w:rsidRPr="009A64EE">
        <w:rPr>
          <w:smallCaps/>
        </w:rPr>
        <w:t>Commission des droits de la personne et des droits de la jeunesse</w:t>
      </w:r>
      <w:r w:rsidR="002F774B" w:rsidRPr="00561F65">
        <w:t xml:space="preserve">, </w:t>
      </w:r>
      <w:proofErr w:type="spellStart"/>
      <w:r w:rsidR="00D2257B" w:rsidRPr="00D2257B">
        <w:rPr>
          <w:iCs/>
        </w:rPr>
        <w:t>préc</w:t>
      </w:r>
      <w:proofErr w:type="spellEnd"/>
      <w:r w:rsidR="00D2257B" w:rsidRPr="00D2257B">
        <w:rPr>
          <w:iCs/>
        </w:rPr>
        <w:t>., note</w:t>
      </w:r>
      <w:r w:rsidR="00D2257B">
        <w:rPr>
          <w:i/>
        </w:rPr>
        <w:t xml:space="preserve"> </w:t>
      </w:r>
      <w:r w:rsidR="000A4D68">
        <w:t xml:space="preserve"> </w:t>
      </w:r>
      <w:r w:rsidR="000A4D68">
        <w:fldChar w:fldCharType="begin"/>
      </w:r>
      <w:r w:rsidR="000A4D68">
        <w:instrText xml:space="preserve"> NOTEREF _Ref216953971 \h </w:instrText>
      </w:r>
      <w:r w:rsidR="004E4354">
        <w:instrText xml:space="preserve"> \* MERGEFORMAT </w:instrText>
      </w:r>
      <w:r w:rsidR="000A4D68">
        <w:fldChar w:fldCharType="separate"/>
      </w:r>
      <w:r w:rsidR="000A4D68">
        <w:t>87</w:t>
      </w:r>
      <w:r w:rsidR="000A4D68">
        <w:fldChar w:fldCharType="end"/>
      </w:r>
      <w:r w:rsidR="00D043D5" w:rsidRPr="00561F65">
        <w:t xml:space="preserve"> p. 34</w:t>
      </w:r>
      <w:r w:rsidR="000A4D68">
        <w:t>.</w:t>
      </w:r>
    </w:p>
  </w:footnote>
  <w:footnote w:id="297">
    <w:p w14:paraId="548854F3" w14:textId="62D428A1" w:rsidR="00952580" w:rsidRPr="00561F65" w:rsidRDefault="00952580" w:rsidP="004E4354">
      <w:pPr>
        <w:pStyle w:val="NotesBasPage"/>
      </w:pPr>
      <w:r w:rsidRPr="00561F65">
        <w:rPr>
          <w:rStyle w:val="Appelnotedebasdep"/>
        </w:rPr>
        <w:footnoteRef/>
      </w:r>
      <w:r w:rsidRPr="00561F65">
        <w:t xml:space="preserve"> </w:t>
      </w:r>
      <w:r w:rsidR="001B59FA" w:rsidRPr="00561F65">
        <w:tab/>
      </w:r>
      <w:r w:rsidRPr="00561F65">
        <w:t>Pour plus de détails, voir C</w:t>
      </w:r>
      <w:r w:rsidRPr="00561F65">
        <w:rPr>
          <w:smallCaps/>
        </w:rPr>
        <w:t>ommission des droits de la personne et des droits de la jeunesse</w:t>
      </w:r>
      <w:r w:rsidRPr="00561F65">
        <w:t xml:space="preserve">, </w:t>
      </w:r>
      <w:proofErr w:type="spellStart"/>
      <w:r w:rsidR="00770DAE" w:rsidRPr="00561F65">
        <w:t>préc</w:t>
      </w:r>
      <w:proofErr w:type="spellEnd"/>
      <w:r w:rsidR="00770DAE" w:rsidRPr="00561F65">
        <w:t xml:space="preserve">., note </w:t>
      </w:r>
      <w:r w:rsidR="00770DAE" w:rsidRPr="00561F65">
        <w:fldChar w:fldCharType="begin"/>
      </w:r>
      <w:r w:rsidR="00770DAE" w:rsidRPr="00561F65">
        <w:instrText xml:space="preserve"> NOTEREF _Ref219195115 \h  \* MERGEFORMAT </w:instrText>
      </w:r>
      <w:r w:rsidR="00770DAE" w:rsidRPr="00561F65">
        <w:fldChar w:fldCharType="separate"/>
      </w:r>
      <w:r w:rsidR="000374E3" w:rsidRPr="00561F65">
        <w:t>34</w:t>
      </w:r>
      <w:r w:rsidR="00770DAE" w:rsidRPr="00561F65">
        <w:fldChar w:fldCharType="end"/>
      </w:r>
      <w:r w:rsidR="00770DAE" w:rsidRPr="00561F65">
        <w:rPr>
          <w:i/>
        </w:rPr>
        <w:t xml:space="preserve">, </w:t>
      </w:r>
      <w:r w:rsidRPr="00561F65">
        <w:t xml:space="preserve"> p.</w:t>
      </w:r>
      <w:r w:rsidR="00A13093" w:rsidRPr="00561F65">
        <w:t> </w:t>
      </w:r>
      <w:r w:rsidRPr="00561F65">
        <w:t>35-40</w:t>
      </w:r>
      <w:r w:rsidR="000A4D68">
        <w:t>.</w:t>
      </w:r>
    </w:p>
  </w:footnote>
  <w:footnote w:id="298">
    <w:p w14:paraId="25BE836C" w14:textId="1C0EE620" w:rsidR="00FC151F" w:rsidRPr="00561F65" w:rsidRDefault="00FC151F" w:rsidP="004E4354">
      <w:pPr>
        <w:pStyle w:val="NotesBasPage"/>
        <w:rPr>
          <w:lang w:val="en-CA"/>
        </w:rPr>
      </w:pPr>
      <w:r w:rsidRPr="00561F65">
        <w:rPr>
          <w:rStyle w:val="Appelnotedebasdep"/>
        </w:rPr>
        <w:footnoteRef/>
      </w:r>
      <w:r w:rsidRPr="00561F65">
        <w:t xml:space="preserve"> </w:t>
      </w:r>
      <w:r w:rsidR="001B59FA" w:rsidRPr="00561F65">
        <w:tab/>
      </w:r>
      <w:r w:rsidRPr="00561F65">
        <w:t xml:space="preserve">Le total des quatre types d’effets dépasse 100 % parce qu’une plainte peut en alléguer plusieurs. Il en va de même pour les sous-catégories. Pour ces dernières, les pourcentages sont calculés sur la base du nombre de plaintes reçues dans une catégorie donnée. Par exemple, 78 % des plaintes analysées pour discrimination en emploi fondée sur l’orientation sexuelle et l’identité ou l’expression de genre allèguent des effets sur les conditions de travail. </w:t>
      </w:r>
      <w:r w:rsidRPr="00561F65">
        <w:rPr>
          <w:lang w:val="en-CA"/>
        </w:rPr>
        <w:t xml:space="preserve">Parmi </w:t>
      </w:r>
      <w:proofErr w:type="spellStart"/>
      <w:r w:rsidRPr="00561F65">
        <w:rPr>
          <w:lang w:val="en-CA"/>
        </w:rPr>
        <w:t>celles</w:t>
      </w:r>
      <w:proofErr w:type="spellEnd"/>
      <w:r w:rsidRPr="00561F65">
        <w:rPr>
          <w:lang w:val="en-CA"/>
        </w:rPr>
        <w:t xml:space="preserve">-ci, 63 % </w:t>
      </w:r>
      <w:proofErr w:type="spellStart"/>
      <w:r w:rsidRPr="00561F65">
        <w:rPr>
          <w:lang w:val="en-CA"/>
        </w:rPr>
        <w:t>allèguent</w:t>
      </w:r>
      <w:proofErr w:type="spellEnd"/>
      <w:r w:rsidRPr="00561F65">
        <w:rPr>
          <w:lang w:val="en-CA"/>
        </w:rPr>
        <w:t xml:space="preserve"> </w:t>
      </w:r>
      <w:proofErr w:type="spellStart"/>
      <w:r w:rsidRPr="00561F65">
        <w:rPr>
          <w:lang w:val="en-CA"/>
        </w:rPr>
        <w:t>une</w:t>
      </w:r>
      <w:proofErr w:type="spellEnd"/>
      <w:r w:rsidRPr="00561F65">
        <w:rPr>
          <w:lang w:val="en-CA"/>
        </w:rPr>
        <w:t xml:space="preserve"> </w:t>
      </w:r>
      <w:proofErr w:type="spellStart"/>
      <w:r w:rsidRPr="00561F65">
        <w:rPr>
          <w:lang w:val="en-CA"/>
        </w:rPr>
        <w:t>perte</w:t>
      </w:r>
      <w:proofErr w:type="spellEnd"/>
      <w:r w:rsidRPr="00561F65">
        <w:rPr>
          <w:lang w:val="en-CA"/>
        </w:rPr>
        <w:t xml:space="preserve"> </w:t>
      </w:r>
      <w:proofErr w:type="spellStart"/>
      <w:r w:rsidRPr="00561F65">
        <w:rPr>
          <w:lang w:val="en-CA"/>
        </w:rPr>
        <w:t>d’emploi</w:t>
      </w:r>
      <w:proofErr w:type="spellEnd"/>
      <w:r w:rsidRPr="00561F65">
        <w:rPr>
          <w:lang w:val="en-CA"/>
        </w:rPr>
        <w:t>.</w:t>
      </w:r>
    </w:p>
  </w:footnote>
  <w:footnote w:id="299">
    <w:p w14:paraId="43565271" w14:textId="4EF073E6" w:rsidR="00E10F63" w:rsidRPr="00561F65" w:rsidRDefault="00E10F63" w:rsidP="004E4354">
      <w:pPr>
        <w:pStyle w:val="NotesBasPage"/>
        <w:rPr>
          <w:lang w:val="en-CA"/>
        </w:rPr>
      </w:pPr>
      <w:r w:rsidRPr="00561F65">
        <w:rPr>
          <w:rStyle w:val="Appelnotedebasdep"/>
        </w:rPr>
        <w:footnoteRef/>
      </w:r>
      <w:r w:rsidRPr="00561F65">
        <w:rPr>
          <w:lang w:val="en-CA"/>
        </w:rPr>
        <w:t xml:space="preserve"> </w:t>
      </w:r>
      <w:r w:rsidR="001B59FA" w:rsidRPr="00561F65">
        <w:rPr>
          <w:lang w:val="en-CA"/>
        </w:rPr>
        <w:tab/>
      </w:r>
      <w:r w:rsidR="00D043D5" w:rsidRPr="00561F65">
        <w:rPr>
          <w:lang w:val="en-CA"/>
        </w:rPr>
        <w:t xml:space="preserve">L. </w:t>
      </w:r>
      <w:r w:rsidRPr="00C05E4E">
        <w:rPr>
          <w:smallCaps/>
          <w:lang w:val="en-CA"/>
        </w:rPr>
        <w:t>Chamberland</w:t>
      </w:r>
      <w:r w:rsidRPr="00561F65">
        <w:rPr>
          <w:lang w:val="en-CA"/>
        </w:rPr>
        <w:t>, M.</w:t>
      </w:r>
      <w:r w:rsidR="00BC48F0">
        <w:rPr>
          <w:lang w:val="en-CA"/>
        </w:rPr>
        <w:t> </w:t>
      </w:r>
      <w:r w:rsidRPr="00C05E4E">
        <w:rPr>
          <w:smallCaps/>
          <w:lang w:val="en-CA"/>
        </w:rPr>
        <w:t>Bernier</w:t>
      </w:r>
      <w:r w:rsidRPr="00561F65">
        <w:rPr>
          <w:lang w:val="en-CA"/>
        </w:rPr>
        <w:t>, C.</w:t>
      </w:r>
      <w:r w:rsidR="00E328B0">
        <w:rPr>
          <w:lang w:val="en-CA"/>
        </w:rPr>
        <w:t> </w:t>
      </w:r>
      <w:r w:rsidRPr="00C05E4E">
        <w:rPr>
          <w:smallCaps/>
          <w:lang w:val="en-CA"/>
        </w:rPr>
        <w:t>Lebreton</w:t>
      </w:r>
      <w:r w:rsidRPr="00561F65">
        <w:rPr>
          <w:lang w:val="en-CA"/>
        </w:rPr>
        <w:t>, G.</w:t>
      </w:r>
      <w:r w:rsidR="00E328B0">
        <w:rPr>
          <w:lang w:val="en-CA"/>
        </w:rPr>
        <w:t> </w:t>
      </w:r>
      <w:r w:rsidRPr="00C05E4E">
        <w:rPr>
          <w:smallCaps/>
          <w:lang w:val="en-CA"/>
        </w:rPr>
        <w:t>Richard</w:t>
      </w:r>
      <w:r w:rsidRPr="00561F65">
        <w:rPr>
          <w:lang w:val="en-CA"/>
        </w:rPr>
        <w:t xml:space="preserve"> et J.</w:t>
      </w:r>
      <w:r w:rsidR="00E328B0">
        <w:rPr>
          <w:lang w:val="en-CA"/>
        </w:rPr>
        <w:t> </w:t>
      </w:r>
      <w:r w:rsidRPr="00C05E4E">
        <w:rPr>
          <w:smallCaps/>
          <w:lang w:val="en-CA"/>
        </w:rPr>
        <w:t>Théroux-Séguin</w:t>
      </w:r>
      <w:r w:rsidRPr="00561F65">
        <w:rPr>
          <w:lang w:val="en-CA"/>
        </w:rPr>
        <w:t xml:space="preserve">, </w:t>
      </w:r>
      <w:proofErr w:type="spellStart"/>
      <w:r w:rsidR="00B31722" w:rsidRPr="00561F65">
        <w:rPr>
          <w:lang w:val="en-CA"/>
        </w:rPr>
        <w:t>préc</w:t>
      </w:r>
      <w:proofErr w:type="spellEnd"/>
      <w:r w:rsidR="00B31722" w:rsidRPr="00561F65">
        <w:rPr>
          <w:lang w:val="en-CA"/>
        </w:rPr>
        <w:t>., note</w:t>
      </w:r>
      <w:r w:rsidR="00B456AE" w:rsidRPr="00561F65">
        <w:rPr>
          <w:lang w:val="en-CA"/>
        </w:rPr>
        <w:t xml:space="preserve"> </w:t>
      </w:r>
      <w:r w:rsidR="00B456AE" w:rsidRPr="00561F65">
        <w:fldChar w:fldCharType="begin"/>
      </w:r>
      <w:r w:rsidR="00B456AE" w:rsidRPr="00561F65">
        <w:rPr>
          <w:lang w:val="en-CA"/>
        </w:rPr>
        <w:instrText xml:space="preserve"> NOTEREF _Ref216788212 \h </w:instrText>
      </w:r>
      <w:r w:rsidR="007017CF" w:rsidRPr="00561F65">
        <w:rPr>
          <w:lang w:val="en-CA"/>
        </w:rPr>
        <w:instrText xml:space="preserve"> \* MERGEFORMAT </w:instrText>
      </w:r>
      <w:r w:rsidR="00B456AE" w:rsidRPr="00561F65">
        <w:fldChar w:fldCharType="separate"/>
      </w:r>
      <w:r w:rsidR="000374E3" w:rsidRPr="00561F65">
        <w:rPr>
          <w:lang w:val="en-CA"/>
        </w:rPr>
        <w:t>46</w:t>
      </w:r>
      <w:r w:rsidR="00B456AE" w:rsidRPr="00561F65">
        <w:fldChar w:fldCharType="end"/>
      </w:r>
      <w:r w:rsidR="00BD6329" w:rsidRPr="00561F65">
        <w:rPr>
          <w:rFonts w:ascii="Arial" w:hAnsi="Arial" w:cs="Arial"/>
          <w:lang w:val="en-CA"/>
        </w:rPr>
        <w:t> </w:t>
      </w:r>
      <w:r w:rsidRPr="00561F65">
        <w:rPr>
          <w:lang w:val="en-CA"/>
        </w:rPr>
        <w:t xml:space="preserve">; </w:t>
      </w:r>
      <w:r w:rsidRPr="00C05E4E">
        <w:rPr>
          <w:smallCaps/>
          <w:lang w:val="en-CA"/>
        </w:rPr>
        <w:t>Smith</w:t>
      </w:r>
      <w:r w:rsidRPr="00561F65">
        <w:rPr>
          <w:lang w:val="en-CA"/>
        </w:rPr>
        <w:t>, IP &amp; G</w:t>
      </w:r>
      <w:r w:rsidR="00135B4F">
        <w:rPr>
          <w:lang w:val="en-CA"/>
        </w:rPr>
        <w:t> </w:t>
      </w:r>
      <w:r w:rsidRPr="00C05E4E">
        <w:rPr>
          <w:smallCaps/>
          <w:lang w:val="en-CA"/>
        </w:rPr>
        <w:t>McCarthy</w:t>
      </w:r>
      <w:r w:rsidRPr="00561F65">
        <w:rPr>
          <w:lang w:val="en-CA"/>
        </w:rPr>
        <w:t xml:space="preserve">, « The Australian corporate closet: Why it’s still so full! », (2017) 21 </w:t>
      </w:r>
      <w:r w:rsidRPr="00E91269">
        <w:rPr>
          <w:i/>
          <w:lang w:val="en-CA"/>
        </w:rPr>
        <w:t>Journal of Gay and Lesbian Mental Health</w:t>
      </w:r>
      <w:r w:rsidR="00AB1B44">
        <w:rPr>
          <w:lang w:val="en-CA"/>
        </w:rPr>
        <w:t> </w:t>
      </w:r>
      <w:r w:rsidR="00E91269">
        <w:rPr>
          <w:lang w:val="en-CA"/>
        </w:rPr>
        <w:t xml:space="preserve">4, </w:t>
      </w:r>
      <w:r w:rsidRPr="00561F65">
        <w:rPr>
          <w:lang w:val="en-CA"/>
        </w:rPr>
        <w:t>327</w:t>
      </w:r>
      <w:r w:rsidRPr="00561F65">
        <w:rPr>
          <w:lang w:val="en-CA"/>
        </w:rPr>
        <w:noBreakHyphen/>
        <w:t xml:space="preserve">351; </w:t>
      </w:r>
      <w:r w:rsidRPr="00E91269">
        <w:rPr>
          <w:smallCaps/>
          <w:lang w:val="en-CA"/>
        </w:rPr>
        <w:t>Seiler-</w:t>
      </w:r>
      <w:proofErr w:type="spellStart"/>
      <w:r w:rsidRPr="00E91269">
        <w:rPr>
          <w:smallCaps/>
          <w:lang w:val="en-CA"/>
        </w:rPr>
        <w:t>Ramadas</w:t>
      </w:r>
      <w:proofErr w:type="spellEnd"/>
      <w:r w:rsidRPr="00561F65">
        <w:rPr>
          <w:lang w:val="en-CA"/>
        </w:rPr>
        <w:t>, Radhika et al, «</w:t>
      </w:r>
      <w:r w:rsidR="00AB4C13" w:rsidRPr="00561F65">
        <w:rPr>
          <w:rFonts w:ascii="Arial" w:hAnsi="Arial" w:cs="Arial"/>
          <w:lang w:val="en-CA"/>
        </w:rPr>
        <w:t> </w:t>
      </w:r>
      <w:r w:rsidRPr="00561F65">
        <w:rPr>
          <w:lang w:val="en-CA"/>
        </w:rPr>
        <w:t>“</w:t>
      </w:r>
      <w:r w:rsidR="00370E16" w:rsidRPr="00561F65">
        <w:rPr>
          <w:rFonts w:ascii="Arial" w:hAnsi="Arial" w:cs="Arial"/>
          <w:lang w:val="en-CA"/>
        </w:rPr>
        <w:t> </w:t>
      </w:r>
      <w:r w:rsidRPr="00561F65">
        <w:rPr>
          <w:lang w:val="en-CA"/>
        </w:rPr>
        <w:t>I Don’t Even Want to Come Out</w:t>
      </w:r>
      <w:r w:rsidR="00370E16" w:rsidRPr="00561F65">
        <w:rPr>
          <w:rFonts w:ascii="Arial" w:hAnsi="Arial" w:cs="Arial"/>
          <w:lang w:val="en-CA"/>
        </w:rPr>
        <w:t> </w:t>
      </w:r>
      <w:r w:rsidRPr="00561F65">
        <w:rPr>
          <w:lang w:val="en-CA"/>
        </w:rPr>
        <w:t>”</w:t>
      </w:r>
      <w:r w:rsidR="00F01F5E" w:rsidRPr="00561F65">
        <w:rPr>
          <w:lang w:val="en-CA"/>
        </w:rPr>
        <w:t> </w:t>
      </w:r>
      <w:r w:rsidRPr="00561F65">
        <w:rPr>
          <w:lang w:val="en-CA"/>
        </w:rPr>
        <w:t>: the Suppressed Voices of Our Future and Opening the Lid on Sexual and Gender Minority Youth Workplace Discrimination in Europe: a Qualitative Study</w:t>
      </w:r>
      <w:r w:rsidR="00AB4C13" w:rsidRPr="00561F65">
        <w:rPr>
          <w:rFonts w:ascii="Arial" w:hAnsi="Arial" w:cs="Arial"/>
          <w:lang w:val="en-CA"/>
        </w:rPr>
        <w:t> </w:t>
      </w:r>
      <w:r w:rsidRPr="00561F65">
        <w:rPr>
          <w:lang w:val="en-CA"/>
        </w:rPr>
        <w:t xml:space="preserve">» (2021) </w:t>
      </w:r>
      <w:r w:rsidRPr="00460B79">
        <w:rPr>
          <w:i/>
          <w:lang w:val="en-CA"/>
        </w:rPr>
        <w:t>Sex Res Soc Policy</w:t>
      </w:r>
      <w:r w:rsidRPr="00561F65">
        <w:rPr>
          <w:lang w:val="en-CA"/>
        </w:rPr>
        <w:t xml:space="preserve">, </w:t>
      </w:r>
      <w:r w:rsidR="00091255" w:rsidRPr="00091255">
        <w:rPr>
          <w:lang w:val="en-CA"/>
        </w:rPr>
        <w:t xml:space="preserve">[En </w:t>
      </w:r>
      <w:proofErr w:type="spellStart"/>
      <w:r w:rsidR="00091255" w:rsidRPr="00091255">
        <w:rPr>
          <w:lang w:val="en-CA"/>
        </w:rPr>
        <w:t>ligne</w:t>
      </w:r>
      <w:proofErr w:type="spellEnd"/>
      <w:r w:rsidR="00091255" w:rsidRPr="00091255">
        <w:rPr>
          <w:lang w:val="en-CA"/>
        </w:rPr>
        <w:t xml:space="preserve">]. </w:t>
      </w:r>
      <w:hyperlink r:id="rId131" w:history="1">
        <w:r w:rsidR="00091255" w:rsidRPr="007912CF">
          <w:rPr>
            <w:rStyle w:val="Lienhypertexte"/>
            <w:lang w:val="en-CA"/>
          </w:rPr>
          <w:t>https://doi.org/10.1007/s13178-021-00644-0</w:t>
        </w:r>
      </w:hyperlink>
      <w:r w:rsidRPr="00561F65">
        <w:rPr>
          <w:lang w:val="en-CA"/>
        </w:rPr>
        <w:t xml:space="preserve">; EGALE, </w:t>
      </w:r>
      <w:proofErr w:type="spellStart"/>
      <w:r w:rsidR="00C658F8" w:rsidRPr="00561F65">
        <w:rPr>
          <w:lang w:val="en-CA"/>
        </w:rPr>
        <w:t>préc</w:t>
      </w:r>
      <w:proofErr w:type="spellEnd"/>
      <w:r w:rsidR="00C658F8" w:rsidRPr="00561F65">
        <w:rPr>
          <w:lang w:val="en-CA"/>
        </w:rPr>
        <w:t xml:space="preserve">., note </w:t>
      </w:r>
      <w:r w:rsidR="00C658F8" w:rsidRPr="00561F65">
        <w:fldChar w:fldCharType="begin"/>
      </w:r>
      <w:r w:rsidR="00C658F8" w:rsidRPr="00561F65">
        <w:rPr>
          <w:lang w:val="en-CA"/>
        </w:rPr>
        <w:instrText xml:space="preserve"> NOTEREF _Ref218503799 \h  \* MERGEFORMAT </w:instrText>
      </w:r>
      <w:r w:rsidR="00C658F8" w:rsidRPr="00561F65">
        <w:fldChar w:fldCharType="separate"/>
      </w:r>
      <w:r w:rsidR="000374E3" w:rsidRPr="00561F65">
        <w:rPr>
          <w:lang w:val="en-CA"/>
        </w:rPr>
        <w:t>64</w:t>
      </w:r>
      <w:r w:rsidR="00C658F8" w:rsidRPr="00561F65">
        <w:fldChar w:fldCharType="end"/>
      </w:r>
      <w:r w:rsidR="00851AC7" w:rsidRPr="00561F65">
        <w:rPr>
          <w:i/>
          <w:lang w:val="en-CA"/>
        </w:rPr>
        <w:t>.</w:t>
      </w:r>
    </w:p>
  </w:footnote>
  <w:footnote w:id="300">
    <w:p w14:paraId="2A45AC61" w14:textId="7A0AC82E" w:rsidR="00E10F63" w:rsidRPr="00561F65" w:rsidRDefault="00E10F63" w:rsidP="004E4354">
      <w:pPr>
        <w:pStyle w:val="NotesBasPage"/>
        <w:rPr>
          <w:lang w:val="en-CA"/>
        </w:rPr>
      </w:pPr>
      <w:r w:rsidRPr="00561F65">
        <w:rPr>
          <w:rStyle w:val="Appelnotedebasdep"/>
        </w:rPr>
        <w:footnoteRef/>
      </w:r>
      <w:r w:rsidRPr="00561F65">
        <w:rPr>
          <w:lang w:val="en-CA"/>
        </w:rPr>
        <w:t xml:space="preserve"> </w:t>
      </w:r>
      <w:r w:rsidR="001B59FA" w:rsidRPr="00561F65">
        <w:rPr>
          <w:lang w:val="en-CA"/>
        </w:rPr>
        <w:tab/>
      </w:r>
      <w:r w:rsidR="004751DB" w:rsidRPr="00561F65">
        <w:rPr>
          <w:lang w:val="en-CA"/>
        </w:rPr>
        <w:t>Lauren D.</w:t>
      </w:r>
      <w:r w:rsidR="00135B4F">
        <w:rPr>
          <w:lang w:val="en-CA"/>
        </w:rPr>
        <w:t> </w:t>
      </w:r>
      <w:r w:rsidRPr="00460B79">
        <w:rPr>
          <w:smallCaps/>
          <w:lang w:val="en-CA"/>
        </w:rPr>
        <w:t>Murphy</w:t>
      </w:r>
      <w:r w:rsidRPr="00561F65">
        <w:rPr>
          <w:lang w:val="en-CA"/>
        </w:rPr>
        <w:t>, et al</w:t>
      </w:r>
      <w:r w:rsidR="00261FBB">
        <w:rPr>
          <w:lang w:val="en-CA"/>
        </w:rPr>
        <w:t>.</w:t>
      </w:r>
      <w:r w:rsidRPr="00561F65">
        <w:rPr>
          <w:lang w:val="en-CA"/>
        </w:rPr>
        <w:t>, « A review of the LGBTQ+ work</w:t>
      </w:r>
      <w:r w:rsidR="00F93EB4" w:rsidRPr="00561F65">
        <w:rPr>
          <w:lang w:val="en-CA"/>
        </w:rPr>
        <w:t>—</w:t>
      </w:r>
      <w:r w:rsidRPr="00561F65">
        <w:rPr>
          <w:lang w:val="en-CA"/>
        </w:rPr>
        <w:t xml:space="preserve">family interface: What do we know and where do we go from here? », Scopus (2021) 42 </w:t>
      </w:r>
      <w:r w:rsidRPr="00561F65">
        <w:rPr>
          <w:i/>
          <w:lang w:val="en-CA"/>
        </w:rPr>
        <w:t>Journal of Organizational Behavior</w:t>
      </w:r>
      <w:r w:rsidR="00AB1B44">
        <w:rPr>
          <w:lang w:val="en-CA"/>
        </w:rPr>
        <w:t> </w:t>
      </w:r>
      <w:r w:rsidR="00460B79">
        <w:rPr>
          <w:lang w:val="en-CA"/>
        </w:rPr>
        <w:t xml:space="preserve">2, </w:t>
      </w:r>
      <w:r w:rsidRPr="00561F65">
        <w:rPr>
          <w:lang w:val="en-CA"/>
        </w:rPr>
        <w:t>149;</w:t>
      </w:r>
      <w:r w:rsidR="006A1B8A" w:rsidRPr="00561F65">
        <w:rPr>
          <w:lang w:val="en-CA"/>
        </w:rPr>
        <w:t xml:space="preserve"> K.</w:t>
      </w:r>
      <w:r w:rsidR="00E328B0">
        <w:rPr>
          <w:lang w:val="en-CA"/>
        </w:rPr>
        <w:t> </w:t>
      </w:r>
      <w:r w:rsidR="006A1B8A" w:rsidRPr="00561F65">
        <w:rPr>
          <w:smallCaps/>
          <w:lang w:val="en-CA"/>
        </w:rPr>
        <w:t>Brennan</w:t>
      </w:r>
      <w:r w:rsidR="006A1B8A" w:rsidRPr="00561F65">
        <w:rPr>
          <w:lang w:val="en-CA"/>
        </w:rPr>
        <w:t>, C.</w:t>
      </w:r>
      <w:r w:rsidR="00E328B0">
        <w:rPr>
          <w:lang w:val="en-CA"/>
        </w:rPr>
        <w:t> </w:t>
      </w:r>
      <w:r w:rsidR="006A1B8A" w:rsidRPr="00561F65">
        <w:rPr>
          <w:smallCaps/>
          <w:lang w:val="en-CA"/>
        </w:rPr>
        <w:t>Halpenny</w:t>
      </w:r>
      <w:r w:rsidR="006A1B8A" w:rsidRPr="00561F65">
        <w:rPr>
          <w:lang w:val="en-CA"/>
        </w:rPr>
        <w:t xml:space="preserve"> et B.</w:t>
      </w:r>
      <w:r w:rsidR="00E328B0">
        <w:rPr>
          <w:lang w:val="en-CA"/>
        </w:rPr>
        <w:t> </w:t>
      </w:r>
      <w:r w:rsidR="006A1B8A" w:rsidRPr="00561F65">
        <w:rPr>
          <w:smallCaps/>
          <w:lang w:val="en-CA"/>
        </w:rPr>
        <w:t>Pakula</w:t>
      </w:r>
      <w:r w:rsidR="006A1B8A" w:rsidRPr="00561F65">
        <w:rPr>
          <w:lang w:val="en-CA"/>
        </w:rPr>
        <w:t xml:space="preserve">, </w:t>
      </w:r>
      <w:proofErr w:type="spellStart"/>
      <w:r w:rsidR="006A1B8A" w:rsidRPr="00561F65">
        <w:rPr>
          <w:lang w:val="en-CA"/>
        </w:rPr>
        <w:t>préc</w:t>
      </w:r>
      <w:proofErr w:type="spellEnd"/>
      <w:r w:rsidR="006A1B8A" w:rsidRPr="00561F65">
        <w:rPr>
          <w:lang w:val="en-CA"/>
        </w:rPr>
        <w:t xml:space="preserve">., note </w:t>
      </w:r>
      <w:r w:rsidR="006A1B8A" w:rsidRPr="00561F65">
        <w:fldChar w:fldCharType="begin"/>
      </w:r>
      <w:r w:rsidR="006A1B8A" w:rsidRPr="00561F65">
        <w:rPr>
          <w:lang w:val="en-CA"/>
        </w:rPr>
        <w:instrText xml:space="preserve"> NOTEREF _Ref219211343 \h </w:instrText>
      </w:r>
      <w:r w:rsidR="007017CF" w:rsidRPr="00561F65">
        <w:rPr>
          <w:lang w:val="en-CA"/>
        </w:rPr>
        <w:instrText xml:space="preserve"> \* MERGEFORMAT </w:instrText>
      </w:r>
      <w:r w:rsidR="006A1B8A" w:rsidRPr="00561F65">
        <w:fldChar w:fldCharType="separate"/>
      </w:r>
      <w:r w:rsidR="000374E3" w:rsidRPr="00561F65">
        <w:rPr>
          <w:lang w:val="en-CA"/>
        </w:rPr>
        <w:t>102</w:t>
      </w:r>
      <w:r w:rsidR="006A1B8A" w:rsidRPr="00561F65">
        <w:fldChar w:fldCharType="end"/>
      </w:r>
      <w:r w:rsidR="006A1B8A" w:rsidRPr="00561F65">
        <w:rPr>
          <w:lang w:val="en-CA"/>
        </w:rPr>
        <w:t xml:space="preserve">, </w:t>
      </w:r>
      <w:r w:rsidRPr="00561F65">
        <w:rPr>
          <w:lang w:val="en-CA"/>
        </w:rPr>
        <w:t>p. 47-49</w:t>
      </w:r>
      <w:r w:rsidR="006A1B8A" w:rsidRPr="00561F65">
        <w:rPr>
          <w:lang w:val="en-CA"/>
        </w:rPr>
        <w:t>.</w:t>
      </w:r>
      <w:r w:rsidRPr="00561F65">
        <w:rPr>
          <w:lang w:val="en-CA"/>
        </w:rPr>
        <w:t xml:space="preserve"> </w:t>
      </w:r>
    </w:p>
  </w:footnote>
  <w:footnote w:id="301">
    <w:p w14:paraId="1F6B6268" w14:textId="63D544A5" w:rsidR="00DD39F4" w:rsidRPr="00561F65" w:rsidRDefault="00DD39F4" w:rsidP="004E4354">
      <w:pPr>
        <w:pStyle w:val="NotesBasPage"/>
      </w:pPr>
      <w:r w:rsidRPr="00561F65">
        <w:rPr>
          <w:rStyle w:val="Appelnotedebasdep"/>
        </w:rPr>
        <w:footnoteRef/>
      </w:r>
      <w:r w:rsidRPr="00561F65">
        <w:t xml:space="preserve"> </w:t>
      </w:r>
      <w:r w:rsidR="0040019F" w:rsidRPr="00561F65">
        <w:tab/>
      </w:r>
      <w:r w:rsidRPr="00561F65">
        <w:t>Aucune plainte pour discrimination en emploi fondée sur l’orientation sexuelle ou l’identité ou l’expression de genre traitée entre 2021 et 2025 n’a été fermée pour ce motif.</w:t>
      </w:r>
    </w:p>
  </w:footnote>
  <w:footnote w:id="302">
    <w:p w14:paraId="3AB4B52A" w14:textId="07934BC1" w:rsidR="00C1516E" w:rsidRPr="00561F65" w:rsidRDefault="00C1516E" w:rsidP="004E4354">
      <w:pPr>
        <w:pStyle w:val="NotesBasPage"/>
      </w:pPr>
      <w:r w:rsidRPr="00561F65">
        <w:rPr>
          <w:rStyle w:val="Appelnotedebasdep"/>
        </w:rPr>
        <w:footnoteRef/>
      </w:r>
      <w:r w:rsidRPr="00561F65">
        <w:t xml:space="preserve"> </w:t>
      </w:r>
      <w:r w:rsidR="001B59FA" w:rsidRPr="00561F65">
        <w:tab/>
      </w:r>
      <w:r w:rsidR="004751DB" w:rsidRPr="00561F65">
        <w:t>L.</w:t>
      </w:r>
      <w:r w:rsidR="00E328B0">
        <w:t> </w:t>
      </w:r>
      <w:r w:rsidRPr="00301F6E">
        <w:rPr>
          <w:smallCaps/>
        </w:rPr>
        <w:t>Chamberland</w:t>
      </w:r>
      <w:r w:rsidRPr="00561F65">
        <w:t>, M.</w:t>
      </w:r>
      <w:r w:rsidR="00BC48F0">
        <w:t> </w:t>
      </w:r>
      <w:r w:rsidRPr="00301F6E">
        <w:rPr>
          <w:smallCaps/>
        </w:rPr>
        <w:t>Bernier</w:t>
      </w:r>
      <w:r w:rsidRPr="00561F65">
        <w:t>, C.</w:t>
      </w:r>
      <w:r w:rsidR="00E328B0">
        <w:t> </w:t>
      </w:r>
      <w:r w:rsidRPr="00301F6E">
        <w:rPr>
          <w:smallCaps/>
        </w:rPr>
        <w:t>Lebreton</w:t>
      </w:r>
      <w:r w:rsidRPr="00561F65">
        <w:t>, G.</w:t>
      </w:r>
      <w:r w:rsidR="00E328B0">
        <w:t> </w:t>
      </w:r>
      <w:r w:rsidRPr="00301F6E">
        <w:rPr>
          <w:smallCaps/>
        </w:rPr>
        <w:t>Richard</w:t>
      </w:r>
      <w:r w:rsidRPr="00561F65">
        <w:t xml:space="preserve"> et J.</w:t>
      </w:r>
      <w:r w:rsidR="00E328B0">
        <w:t> </w:t>
      </w:r>
      <w:r w:rsidRPr="00301F6E">
        <w:rPr>
          <w:smallCaps/>
        </w:rPr>
        <w:t>Théroux-Séguin</w:t>
      </w:r>
      <w:r w:rsidRPr="00561F65">
        <w:t>,</w:t>
      </w:r>
      <w:r w:rsidR="00B456AE"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291541">
        <w:t> </w:t>
      </w:r>
      <w:r w:rsidRPr="00561F65">
        <w:t>p.</w:t>
      </w:r>
      <w:r w:rsidR="00A13093" w:rsidRPr="00561F65">
        <w:t> </w:t>
      </w:r>
      <w:r w:rsidRPr="00561F65">
        <w:t>105.</w:t>
      </w:r>
    </w:p>
  </w:footnote>
  <w:footnote w:id="303">
    <w:p w14:paraId="4196DE9B" w14:textId="140664C8" w:rsidR="00C1516E" w:rsidRPr="00561F65" w:rsidRDefault="00C1516E" w:rsidP="004E4354">
      <w:pPr>
        <w:pStyle w:val="NotesBasPage"/>
      </w:pPr>
      <w:r w:rsidRPr="00561F65">
        <w:rPr>
          <w:rStyle w:val="Appelnotedebasdep"/>
        </w:rPr>
        <w:footnoteRef/>
      </w:r>
      <w:r w:rsidRPr="00561F65">
        <w:t xml:space="preserve"> </w:t>
      </w:r>
      <w:r w:rsidR="001B59FA" w:rsidRPr="00561F65">
        <w:tab/>
      </w:r>
      <w:r w:rsidRPr="00561F65">
        <w:t>L</w:t>
      </w:r>
      <w:r w:rsidRPr="00561F65">
        <w:rPr>
          <w:smallCaps/>
        </w:rPr>
        <w:t>éger</w:t>
      </w:r>
      <w:r w:rsidR="005F0CE8">
        <w:rPr>
          <w:smallCaps/>
        </w:rPr>
        <w:t xml:space="preserve"> M</w:t>
      </w:r>
      <w:r w:rsidR="00672868">
        <w:rPr>
          <w:smallCaps/>
        </w:rPr>
        <w:t>arketing</w:t>
      </w:r>
      <w:r w:rsidRPr="00561F65">
        <w:t xml:space="preserve">, </w:t>
      </w:r>
      <w:r w:rsidRPr="00561F65">
        <w:rPr>
          <w:i/>
        </w:rPr>
        <w:t>Rapport de recherche (version révisée) – Étude sur le harcèlement en milieu de travail – Automne</w:t>
      </w:r>
      <w:r w:rsidR="00A13093" w:rsidRPr="00561F65">
        <w:rPr>
          <w:i/>
        </w:rPr>
        <w:t> </w:t>
      </w:r>
      <w:r w:rsidRPr="00561F65">
        <w:rPr>
          <w:i/>
        </w:rPr>
        <w:t>2021</w:t>
      </w:r>
      <w:r w:rsidRPr="00561F65">
        <w:t>, préparé pour la Fondation Émergence et le Conseil du patronat du Québec, 2022, p.</w:t>
      </w:r>
      <w:r w:rsidR="00A13093" w:rsidRPr="00561F65">
        <w:t> </w:t>
      </w:r>
      <w:r w:rsidRPr="00561F65">
        <w:t xml:space="preserve">22, </w:t>
      </w:r>
      <w:r w:rsidR="00472A40" w:rsidRPr="00472A40">
        <w:t>[En ligne].</w:t>
      </w:r>
      <w:r w:rsidR="00C47A9B" w:rsidRPr="00C47A9B">
        <w:t xml:space="preserve"> </w:t>
      </w:r>
      <w:hyperlink r:id="rId132" w:history="1">
        <w:r w:rsidR="00C47A9B" w:rsidRPr="007912CF">
          <w:rPr>
            <w:rStyle w:val="Lienhypertexte"/>
          </w:rPr>
          <w:t>https://www.fondationemergence.org/nouvelles/lutter-contre-le-harcelement-psychologique-et-sexuel-en-milieu-de-travail</w:t>
        </w:r>
      </w:hyperlink>
      <w:r w:rsidRPr="00561F65">
        <w:t xml:space="preserve"> (consulté le 27</w:t>
      </w:r>
      <w:r w:rsidR="00937C69" w:rsidRPr="00561F65">
        <w:t> </w:t>
      </w:r>
      <w:r w:rsidRPr="00561F65">
        <w:t>septembre 2022)</w:t>
      </w:r>
    </w:p>
  </w:footnote>
  <w:footnote w:id="304">
    <w:p w14:paraId="1EC4023D" w14:textId="78156E98" w:rsidR="00A148FD" w:rsidRPr="00561F65" w:rsidRDefault="00A148FD" w:rsidP="004E4354">
      <w:pPr>
        <w:pStyle w:val="NotesBasPage"/>
      </w:pPr>
      <w:r w:rsidRPr="00561F65">
        <w:rPr>
          <w:rStyle w:val="Appelnotedebasdep"/>
        </w:rPr>
        <w:footnoteRef/>
      </w:r>
      <w:r w:rsidRPr="00561F65">
        <w:t xml:space="preserve"> </w:t>
      </w:r>
      <w:r w:rsidR="001B59FA" w:rsidRPr="00561F65">
        <w:tab/>
      </w:r>
      <w:r w:rsidR="00D605ED" w:rsidRPr="00561F65">
        <w:t xml:space="preserve">L. </w:t>
      </w:r>
      <w:r w:rsidRPr="00301F6E">
        <w:rPr>
          <w:smallCaps/>
        </w:rPr>
        <w:t>Chamberland</w:t>
      </w:r>
      <w:r w:rsidRPr="00561F65">
        <w:t>, M.</w:t>
      </w:r>
      <w:r w:rsidR="00BC48F0">
        <w:t> </w:t>
      </w:r>
      <w:r w:rsidRPr="00301F6E">
        <w:rPr>
          <w:smallCaps/>
        </w:rPr>
        <w:t>Bernier</w:t>
      </w:r>
      <w:r w:rsidRPr="00561F65">
        <w:t>, C.</w:t>
      </w:r>
      <w:r w:rsidR="00E328B0">
        <w:t> </w:t>
      </w:r>
      <w:r w:rsidRPr="00301F6E">
        <w:rPr>
          <w:smallCaps/>
        </w:rPr>
        <w:t>Lebreton</w:t>
      </w:r>
      <w:r w:rsidRPr="00561F65">
        <w:t>, G.</w:t>
      </w:r>
      <w:r w:rsidR="00E328B0">
        <w:t> </w:t>
      </w:r>
      <w:r w:rsidRPr="00301F6E">
        <w:rPr>
          <w:smallCaps/>
        </w:rPr>
        <w:t>Richard</w:t>
      </w:r>
      <w:r w:rsidRPr="00561F65">
        <w:t xml:space="preserve"> et J.</w:t>
      </w:r>
      <w:r w:rsidR="00E328B0">
        <w:t> </w:t>
      </w:r>
      <w:r w:rsidRPr="00301F6E">
        <w:rPr>
          <w:smallCaps/>
        </w:rPr>
        <w:t>Théroux-Séguin</w:t>
      </w:r>
      <w:r w:rsidR="00851AC7" w:rsidRPr="00561F65">
        <w:t>,</w:t>
      </w:r>
      <w:r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B456AE" w:rsidRPr="00561F65">
        <w:t xml:space="preserve">, </w:t>
      </w:r>
      <w:r w:rsidRPr="00561F65">
        <w:t>p.</w:t>
      </w:r>
      <w:r w:rsidR="00A13093" w:rsidRPr="00561F65">
        <w:t> </w:t>
      </w:r>
      <w:r w:rsidRPr="00561F65">
        <w:t>107-108.</w:t>
      </w:r>
    </w:p>
  </w:footnote>
  <w:footnote w:id="305">
    <w:p w14:paraId="71E34A47" w14:textId="1A323B0F" w:rsidR="002D3D31" w:rsidRPr="00561F65" w:rsidRDefault="002D3D31" w:rsidP="004E4354">
      <w:pPr>
        <w:pStyle w:val="NotesBasPage"/>
        <w:rPr>
          <w:lang w:val="en-CA"/>
        </w:rPr>
      </w:pPr>
      <w:r w:rsidRPr="00561F65">
        <w:rPr>
          <w:rStyle w:val="Appelnotedebasdep"/>
        </w:rPr>
        <w:footnoteRef/>
      </w:r>
      <w:r w:rsidRPr="00561F65">
        <w:rPr>
          <w:lang w:val="en-CA"/>
        </w:rPr>
        <w:t xml:space="preserve"> </w:t>
      </w:r>
      <w:r w:rsidR="001B59FA" w:rsidRPr="00561F65">
        <w:rPr>
          <w:lang w:val="en-CA"/>
        </w:rPr>
        <w:tab/>
      </w:r>
      <w:r w:rsidR="00D605ED" w:rsidRPr="00561F65">
        <w:rPr>
          <w:lang w:val="en-CA"/>
        </w:rPr>
        <w:t xml:space="preserve">Anna </w:t>
      </w:r>
      <w:r w:rsidRPr="00301F6E">
        <w:rPr>
          <w:smallCaps/>
          <w:lang w:val="en-CA"/>
        </w:rPr>
        <w:t>Einarsdótti</w:t>
      </w:r>
      <w:r w:rsidR="00D605ED" w:rsidRPr="00301F6E">
        <w:rPr>
          <w:smallCaps/>
          <w:lang w:val="en-CA"/>
        </w:rPr>
        <w:t>r</w:t>
      </w:r>
      <w:r w:rsidR="00D605ED" w:rsidRPr="00561F65">
        <w:rPr>
          <w:lang w:val="en-CA"/>
        </w:rPr>
        <w:t>, «</w:t>
      </w:r>
      <w:r w:rsidR="00370E16" w:rsidRPr="00561F65">
        <w:rPr>
          <w:rFonts w:ascii="Arial" w:hAnsi="Arial" w:cs="Arial"/>
          <w:lang w:val="en-CA"/>
        </w:rPr>
        <w:t> </w:t>
      </w:r>
      <w:r w:rsidR="00D605ED" w:rsidRPr="00561F65">
        <w:rPr>
          <w:lang w:val="en-CA"/>
        </w:rPr>
        <w:t>‘It’s</w:t>
      </w:r>
      <w:r w:rsidRPr="00561F65">
        <w:rPr>
          <w:lang w:val="en-CA"/>
        </w:rPr>
        <w:t xml:space="preserve"> Nothing Personal</w:t>
      </w:r>
      <w:proofErr w:type="gramStart"/>
      <w:r w:rsidRPr="00561F65">
        <w:rPr>
          <w:lang w:val="en-CA"/>
        </w:rPr>
        <w:t>’</w:t>
      </w:r>
      <w:r w:rsidR="00B73236" w:rsidRPr="00561F65">
        <w:rPr>
          <w:lang w:val="en-CA"/>
        </w:rPr>
        <w:t> </w:t>
      </w:r>
      <w:r w:rsidRPr="00561F65">
        <w:rPr>
          <w:lang w:val="en-CA"/>
        </w:rPr>
        <w:t>:</w:t>
      </w:r>
      <w:proofErr w:type="gramEnd"/>
      <w:r w:rsidRPr="00561F65">
        <w:rPr>
          <w:lang w:val="en-CA"/>
        </w:rPr>
        <w:t xml:space="preserve"> Anti-Homosexuality in the British Workplace</w:t>
      </w:r>
      <w:r w:rsidR="00370E16" w:rsidRPr="00561F65">
        <w:rPr>
          <w:rFonts w:ascii="Arial" w:hAnsi="Arial" w:cs="Arial"/>
          <w:lang w:val="en-CA"/>
        </w:rPr>
        <w:t> </w:t>
      </w:r>
      <w:r w:rsidRPr="00561F65">
        <w:rPr>
          <w:lang w:val="en-CA"/>
        </w:rPr>
        <w:t xml:space="preserve">» (2015) 49:6 </w:t>
      </w:r>
      <w:r w:rsidRPr="00301F6E">
        <w:rPr>
          <w:i/>
          <w:lang w:val="en-CA"/>
        </w:rPr>
        <w:t>Sociology</w:t>
      </w:r>
      <w:r w:rsidRPr="00561F65">
        <w:rPr>
          <w:lang w:val="en-CA"/>
        </w:rPr>
        <w:t xml:space="preserve"> 1183, 1189-1192.</w:t>
      </w:r>
    </w:p>
  </w:footnote>
  <w:footnote w:id="306">
    <w:p w14:paraId="37A578A9" w14:textId="70992D78" w:rsidR="002D3D31" w:rsidRPr="00561F65" w:rsidRDefault="002D3D31" w:rsidP="004E4354">
      <w:pPr>
        <w:pStyle w:val="NotesBasPage"/>
      </w:pPr>
      <w:r w:rsidRPr="00561F65">
        <w:rPr>
          <w:rStyle w:val="Appelnotedebasdep"/>
        </w:rPr>
        <w:footnoteRef/>
      </w:r>
      <w:r w:rsidRPr="00561F65">
        <w:t xml:space="preserve"> </w:t>
      </w:r>
      <w:r w:rsidR="001B59FA" w:rsidRPr="00561F65">
        <w:tab/>
      </w:r>
      <w:r w:rsidR="00D605ED" w:rsidRPr="00561F65">
        <w:t xml:space="preserve">L. </w:t>
      </w:r>
      <w:r w:rsidRPr="00301F6E">
        <w:rPr>
          <w:smallCaps/>
        </w:rPr>
        <w:t>Chamberland</w:t>
      </w:r>
      <w:r w:rsidRPr="00561F65">
        <w:t>, M.</w:t>
      </w:r>
      <w:r w:rsidR="00BC48F0">
        <w:t> </w:t>
      </w:r>
      <w:r w:rsidRPr="00301F6E">
        <w:rPr>
          <w:smallCaps/>
        </w:rPr>
        <w:t>Bernier</w:t>
      </w:r>
      <w:r w:rsidRPr="00561F65">
        <w:t>, C.</w:t>
      </w:r>
      <w:r w:rsidR="00E328B0">
        <w:t> </w:t>
      </w:r>
      <w:r w:rsidRPr="00301F6E">
        <w:rPr>
          <w:smallCaps/>
        </w:rPr>
        <w:t>Lebreton</w:t>
      </w:r>
      <w:r w:rsidRPr="00561F65">
        <w:t>, G.</w:t>
      </w:r>
      <w:r w:rsidR="00E328B0">
        <w:t> </w:t>
      </w:r>
      <w:r w:rsidRPr="00301F6E">
        <w:rPr>
          <w:smallCaps/>
        </w:rPr>
        <w:t>Richard</w:t>
      </w:r>
      <w:r w:rsidRPr="00561F65">
        <w:t xml:space="preserve"> et J.</w:t>
      </w:r>
      <w:r w:rsidR="00E328B0">
        <w:t> </w:t>
      </w:r>
      <w:r w:rsidRPr="00301F6E">
        <w:rPr>
          <w:smallCaps/>
        </w:rPr>
        <w:t>Théroux-Séguin</w:t>
      </w:r>
      <w:r w:rsidRPr="00561F65">
        <w:t>,</w:t>
      </w:r>
      <w:r w:rsidR="00B456AE"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677A18" w:rsidRPr="00561F65">
        <w:t>,</w:t>
      </w:r>
      <w:r w:rsidRPr="00561F65">
        <w:t xml:space="preserve"> p.</w:t>
      </w:r>
      <w:r w:rsidR="00A13093" w:rsidRPr="00561F65">
        <w:t> </w:t>
      </w:r>
      <w:r w:rsidRPr="00561F65">
        <w:t>71.</w:t>
      </w:r>
    </w:p>
  </w:footnote>
  <w:footnote w:id="307">
    <w:p w14:paraId="6212B067" w14:textId="1665D6B2" w:rsidR="002D3D31" w:rsidRPr="00302D72" w:rsidRDefault="002D3D31" w:rsidP="004E4354">
      <w:pPr>
        <w:pStyle w:val="NotesBasPage"/>
      </w:pPr>
      <w:r w:rsidRPr="00561F65">
        <w:rPr>
          <w:rStyle w:val="Appelnotedebasdep"/>
        </w:rPr>
        <w:footnoteRef/>
      </w:r>
      <w:r w:rsidRPr="00302D72">
        <w:t xml:space="preserve"> </w:t>
      </w:r>
      <w:r w:rsidR="001B59FA" w:rsidRPr="00302D72">
        <w:tab/>
      </w:r>
      <w:r w:rsidR="00851AC7" w:rsidRPr="00302D72">
        <w:rPr>
          <w:i/>
        </w:rPr>
        <w:t>Id</w:t>
      </w:r>
      <w:r w:rsidR="00851AC7" w:rsidRPr="00302D72">
        <w:t>.,</w:t>
      </w:r>
      <w:r w:rsidR="0027040E" w:rsidRPr="00302D72">
        <w:t xml:space="preserve"> </w:t>
      </w:r>
      <w:r w:rsidRPr="00302D72">
        <w:t>p.</w:t>
      </w:r>
      <w:r w:rsidR="00A13093" w:rsidRPr="00302D72">
        <w:t> </w:t>
      </w:r>
      <w:r w:rsidRPr="00302D72">
        <w:t>107.</w:t>
      </w:r>
    </w:p>
  </w:footnote>
  <w:footnote w:id="308">
    <w:p w14:paraId="0206446D" w14:textId="441017A1" w:rsidR="002D3D31" w:rsidRPr="00561F65" w:rsidRDefault="002D3D31" w:rsidP="004E4354">
      <w:pPr>
        <w:pStyle w:val="NotesBasPage"/>
      </w:pPr>
      <w:r w:rsidRPr="00561F65">
        <w:rPr>
          <w:rStyle w:val="Appelnotedebasdep"/>
        </w:rPr>
        <w:footnoteRef/>
      </w:r>
      <w:r w:rsidRPr="001B648D">
        <w:t xml:space="preserve"> </w:t>
      </w:r>
      <w:r w:rsidR="001B59FA" w:rsidRPr="001B648D">
        <w:tab/>
      </w:r>
      <w:r w:rsidR="00D605ED" w:rsidRPr="001B648D">
        <w:t>A</w:t>
      </w:r>
      <w:r w:rsidR="00851AC7" w:rsidRPr="001B648D">
        <w:t>.</w:t>
      </w:r>
      <w:r w:rsidR="00E328B0" w:rsidRPr="001B648D">
        <w:t> </w:t>
      </w:r>
      <w:r w:rsidRPr="001B648D">
        <w:rPr>
          <w:smallCaps/>
        </w:rPr>
        <w:t>Einarsdóttir</w:t>
      </w:r>
      <w:r w:rsidRPr="001B648D">
        <w:t>, H</w:t>
      </w:r>
      <w:r w:rsidR="00851AC7" w:rsidRPr="001B648D">
        <w:t>.</w:t>
      </w:r>
      <w:r w:rsidRPr="001B648D">
        <w:t xml:space="preserve"> </w:t>
      </w:r>
      <w:r w:rsidRPr="00E93991">
        <w:rPr>
          <w:smallCaps/>
        </w:rPr>
        <w:t>Ho</w:t>
      </w:r>
      <w:r w:rsidR="0027594F" w:rsidRPr="00E93991">
        <w:rPr>
          <w:smallCaps/>
        </w:rPr>
        <w:t>ë</w:t>
      </w:r>
      <w:r w:rsidRPr="00E93991">
        <w:rPr>
          <w:smallCaps/>
        </w:rPr>
        <w:t>l</w:t>
      </w:r>
      <w:r w:rsidRPr="00561F65">
        <w:t xml:space="preserve"> </w:t>
      </w:r>
      <w:r w:rsidR="00851AC7" w:rsidRPr="00561F65">
        <w:t>et</w:t>
      </w:r>
      <w:r w:rsidRPr="00561F65">
        <w:t xml:space="preserve"> D</w:t>
      </w:r>
      <w:r w:rsidR="00851AC7" w:rsidRPr="00561F65">
        <w:t>.</w:t>
      </w:r>
      <w:r w:rsidR="00E328B0">
        <w:t> </w:t>
      </w:r>
      <w:r w:rsidRPr="00E93991">
        <w:rPr>
          <w:smallCaps/>
        </w:rPr>
        <w:t>Lewis</w:t>
      </w:r>
      <w:r w:rsidRPr="00561F65">
        <w:t xml:space="preserve">, </w:t>
      </w:r>
      <w:proofErr w:type="spellStart"/>
      <w:r w:rsidR="00D605ED" w:rsidRPr="00561F65">
        <w:t>préc</w:t>
      </w:r>
      <w:proofErr w:type="spellEnd"/>
      <w:r w:rsidR="00D605ED" w:rsidRPr="00561F65">
        <w:t xml:space="preserve">., note </w:t>
      </w:r>
      <w:r w:rsidR="00090EF8" w:rsidRPr="00561F65">
        <w:fldChar w:fldCharType="begin"/>
      </w:r>
      <w:r w:rsidR="00090EF8" w:rsidRPr="00561F65">
        <w:instrText xml:space="preserve"> NOTEREF _Ref216860741 \h </w:instrText>
      </w:r>
      <w:r w:rsidR="007017CF" w:rsidRPr="00561F65">
        <w:instrText xml:space="preserve"> \* MERGEFORMAT </w:instrText>
      </w:r>
      <w:r w:rsidR="00090EF8" w:rsidRPr="00561F65">
        <w:fldChar w:fldCharType="separate"/>
      </w:r>
      <w:r w:rsidR="0084139E">
        <w:t>304</w:t>
      </w:r>
      <w:r w:rsidR="00090EF8" w:rsidRPr="00561F65">
        <w:fldChar w:fldCharType="end"/>
      </w:r>
      <w:r w:rsidR="00090EF8" w:rsidRPr="00561F65">
        <w:t xml:space="preserve">, </w:t>
      </w:r>
      <w:r w:rsidRPr="00561F65">
        <w:t>1189-1192.</w:t>
      </w:r>
    </w:p>
  </w:footnote>
  <w:footnote w:id="309">
    <w:p w14:paraId="457BB761" w14:textId="2A07E73A" w:rsidR="002D3D31" w:rsidRPr="00302D72" w:rsidRDefault="002D3D31" w:rsidP="004E4354">
      <w:pPr>
        <w:pStyle w:val="NotesBasPage"/>
        <w:rPr>
          <w:lang w:val="en-CA"/>
        </w:rPr>
      </w:pPr>
      <w:r w:rsidRPr="00561F65">
        <w:rPr>
          <w:rStyle w:val="Appelnotedebasdep"/>
        </w:rPr>
        <w:footnoteRef/>
      </w:r>
      <w:r w:rsidRPr="00302D72">
        <w:rPr>
          <w:lang w:val="en-CA"/>
        </w:rPr>
        <w:t xml:space="preserve"> </w:t>
      </w:r>
      <w:r w:rsidR="001B59FA" w:rsidRPr="00302D72">
        <w:rPr>
          <w:lang w:val="en-CA"/>
        </w:rPr>
        <w:tab/>
      </w:r>
      <w:r w:rsidR="00672868" w:rsidRPr="00302D72">
        <w:rPr>
          <w:lang w:val="en-CA"/>
        </w:rPr>
        <w:t>L</w:t>
      </w:r>
      <w:r w:rsidR="00672868" w:rsidRPr="00302D72">
        <w:rPr>
          <w:smallCaps/>
          <w:lang w:val="en-CA"/>
        </w:rPr>
        <w:t>éger Marketing</w:t>
      </w:r>
      <w:r w:rsidRPr="00302D72">
        <w:rPr>
          <w:lang w:val="en-CA"/>
        </w:rPr>
        <w:t xml:space="preserve">, </w:t>
      </w:r>
      <w:proofErr w:type="spellStart"/>
      <w:r w:rsidR="003C0EDF" w:rsidRPr="00302D72">
        <w:rPr>
          <w:lang w:val="en-CA"/>
        </w:rPr>
        <w:t>préc</w:t>
      </w:r>
      <w:proofErr w:type="spellEnd"/>
      <w:r w:rsidR="003C0EDF" w:rsidRPr="00302D72">
        <w:rPr>
          <w:lang w:val="en-CA"/>
        </w:rPr>
        <w:t xml:space="preserve">., note </w:t>
      </w:r>
      <w:r w:rsidR="003C0EDF" w:rsidRPr="003C0EDF">
        <w:fldChar w:fldCharType="begin"/>
      </w:r>
      <w:r w:rsidR="003C0EDF" w:rsidRPr="00302D72">
        <w:rPr>
          <w:lang w:val="en-CA"/>
        </w:rPr>
        <w:instrText xml:space="preserve"> NOTEREF _Ref229147026 \h  \* MERGEFORMAT </w:instrText>
      </w:r>
      <w:r w:rsidR="003C0EDF" w:rsidRPr="003C0EDF">
        <w:fldChar w:fldCharType="separate"/>
      </w:r>
      <w:r w:rsidR="003C0EDF" w:rsidRPr="00302D72">
        <w:rPr>
          <w:lang w:val="en-CA"/>
        </w:rPr>
        <w:t>302</w:t>
      </w:r>
      <w:r w:rsidR="003C0EDF" w:rsidRPr="003C0EDF">
        <w:fldChar w:fldCharType="end"/>
      </w:r>
      <w:r w:rsidR="003C0EDF" w:rsidRPr="00302D72">
        <w:rPr>
          <w:lang w:val="en-CA"/>
        </w:rPr>
        <w:t>.</w:t>
      </w:r>
    </w:p>
  </w:footnote>
  <w:footnote w:id="310">
    <w:p w14:paraId="3636DD68" w14:textId="3211F89A" w:rsidR="002D3D31" w:rsidRPr="006D7CBF" w:rsidRDefault="002D3D31" w:rsidP="004E4354">
      <w:pPr>
        <w:pStyle w:val="NotesBasPage"/>
        <w:rPr>
          <w:lang w:val="en-CA"/>
        </w:rPr>
      </w:pPr>
      <w:r w:rsidRPr="00561F65">
        <w:rPr>
          <w:rStyle w:val="Appelnotedebasdep"/>
        </w:rPr>
        <w:footnoteRef/>
      </w:r>
      <w:r w:rsidRPr="006D7CBF">
        <w:rPr>
          <w:lang w:val="en-CA"/>
        </w:rPr>
        <w:t xml:space="preserve"> </w:t>
      </w:r>
      <w:r w:rsidR="001B59FA" w:rsidRPr="006D7CBF">
        <w:rPr>
          <w:lang w:val="en-CA"/>
        </w:rPr>
        <w:tab/>
      </w:r>
      <w:r w:rsidR="00526FE1" w:rsidRPr="006D7CBF">
        <w:rPr>
          <w:i/>
          <w:lang w:val="en-CA"/>
        </w:rPr>
        <w:t>Id</w:t>
      </w:r>
      <w:r w:rsidR="00526FE1" w:rsidRPr="006D7CBF">
        <w:rPr>
          <w:lang w:val="en-CA"/>
        </w:rPr>
        <w:t>.</w:t>
      </w:r>
    </w:p>
  </w:footnote>
  <w:footnote w:id="311">
    <w:p w14:paraId="7467C3E8" w14:textId="38301C2F" w:rsidR="007E13F6" w:rsidRPr="00561F65" w:rsidRDefault="007E13F6" w:rsidP="004E4354">
      <w:pPr>
        <w:pStyle w:val="NotesBasPage"/>
        <w:rPr>
          <w:lang w:val="en-CA"/>
        </w:rPr>
      </w:pPr>
      <w:r w:rsidRPr="00561F65">
        <w:rPr>
          <w:rStyle w:val="Appelnotedebasdep"/>
        </w:rPr>
        <w:footnoteRef/>
      </w:r>
      <w:r w:rsidRPr="00561F65">
        <w:rPr>
          <w:lang w:val="en-CA"/>
        </w:rPr>
        <w:t xml:space="preserve"> </w:t>
      </w:r>
      <w:r w:rsidR="001B59FA" w:rsidRPr="00561F65">
        <w:rPr>
          <w:lang w:val="en-CA"/>
        </w:rPr>
        <w:tab/>
      </w:r>
      <w:r w:rsidRPr="00E93991">
        <w:rPr>
          <w:smallCaps/>
          <w:lang w:val="en-CA"/>
        </w:rPr>
        <w:t>DeSouza</w:t>
      </w:r>
      <w:r w:rsidRPr="00561F65">
        <w:rPr>
          <w:lang w:val="en-CA"/>
        </w:rPr>
        <w:t xml:space="preserve">, ER, ED </w:t>
      </w:r>
      <w:r w:rsidRPr="00E93991">
        <w:rPr>
          <w:smallCaps/>
          <w:lang w:val="en-CA"/>
        </w:rPr>
        <w:t>Wesselmann</w:t>
      </w:r>
      <w:r w:rsidRPr="00561F65">
        <w:rPr>
          <w:lang w:val="en-CA"/>
        </w:rPr>
        <w:t xml:space="preserve"> &amp; D </w:t>
      </w:r>
      <w:proofErr w:type="spellStart"/>
      <w:r w:rsidRPr="00E93991">
        <w:rPr>
          <w:smallCaps/>
          <w:lang w:val="en-CA"/>
        </w:rPr>
        <w:t>Ispas</w:t>
      </w:r>
      <w:proofErr w:type="spellEnd"/>
      <w:r w:rsidRPr="00561F65">
        <w:rPr>
          <w:lang w:val="en-CA"/>
        </w:rPr>
        <w:t>, « Workplace Discrimination against Sexual Minorities: Subtle and not-so-subtle », Scopus (2017) 34:2 Canadian Journal of Administrative Sciences</w:t>
      </w:r>
      <w:r w:rsidR="00AB1B44">
        <w:rPr>
          <w:lang w:val="en-CA"/>
        </w:rPr>
        <w:t> </w:t>
      </w:r>
      <w:r w:rsidRPr="00561F65">
        <w:rPr>
          <w:lang w:val="en-CA"/>
        </w:rPr>
        <w:t>121</w:t>
      </w:r>
      <w:r w:rsidRPr="00561F65">
        <w:rPr>
          <w:lang w:val="en-CA"/>
        </w:rPr>
        <w:noBreakHyphen/>
        <w:t xml:space="preserve">132; </w:t>
      </w:r>
      <w:r w:rsidR="006F407A" w:rsidRPr="00561F65">
        <w:rPr>
          <w:lang w:val="en-CA"/>
        </w:rPr>
        <w:t>D</w:t>
      </w:r>
      <w:r w:rsidR="006B0A58" w:rsidRPr="00561F65">
        <w:rPr>
          <w:lang w:val="en-CA"/>
        </w:rPr>
        <w:t>.</w:t>
      </w:r>
      <w:r w:rsidR="00E328B0">
        <w:rPr>
          <w:lang w:val="en-CA"/>
        </w:rPr>
        <w:t> </w:t>
      </w:r>
      <w:r w:rsidR="006F407A" w:rsidRPr="00561F65">
        <w:rPr>
          <w:smallCaps/>
          <w:lang w:val="en-CA"/>
        </w:rPr>
        <w:t>Irving</w:t>
      </w:r>
      <w:r w:rsidR="006F407A" w:rsidRPr="00561F65">
        <w:rPr>
          <w:lang w:val="en-CA"/>
        </w:rPr>
        <w:t xml:space="preserve"> et </w:t>
      </w:r>
      <w:proofErr w:type="spellStart"/>
      <w:r w:rsidR="006F407A" w:rsidRPr="00561F65">
        <w:rPr>
          <w:lang w:val="en-CA"/>
        </w:rPr>
        <w:t>N</w:t>
      </w:r>
      <w:r w:rsidR="006B0A58" w:rsidRPr="00561F65">
        <w:rPr>
          <w:lang w:val="en-CA"/>
        </w:rPr>
        <w:t>.</w:t>
      </w:r>
      <w:r w:rsidR="006F407A" w:rsidRPr="00561F65">
        <w:rPr>
          <w:smallCaps/>
          <w:lang w:val="en-CA"/>
        </w:rPr>
        <w:t>Hoo</w:t>
      </w:r>
      <w:proofErr w:type="spellEnd"/>
      <w:r w:rsidRPr="00561F65">
        <w:rPr>
          <w:lang w:val="en-CA"/>
        </w:rPr>
        <w:t xml:space="preserve">, </w:t>
      </w:r>
      <w:proofErr w:type="spellStart"/>
      <w:r w:rsidR="006F407A" w:rsidRPr="00561F65">
        <w:rPr>
          <w:lang w:val="en-CA"/>
        </w:rPr>
        <w:t>pr</w:t>
      </w:r>
      <w:r w:rsidR="006B0A58" w:rsidRPr="00561F65">
        <w:rPr>
          <w:lang w:val="en-CA"/>
        </w:rPr>
        <w:t>éc</w:t>
      </w:r>
      <w:proofErr w:type="spellEnd"/>
      <w:r w:rsidR="006B0A58" w:rsidRPr="00561F65">
        <w:rPr>
          <w:lang w:val="en-CA"/>
        </w:rPr>
        <w:t xml:space="preserve">., note </w:t>
      </w:r>
      <w:r w:rsidR="006B0A58" w:rsidRPr="00561F65">
        <w:fldChar w:fldCharType="begin"/>
      </w:r>
      <w:r w:rsidR="006B0A58" w:rsidRPr="00561F65">
        <w:rPr>
          <w:lang w:val="en-CA"/>
        </w:rPr>
        <w:instrText xml:space="preserve"> NOTEREF _Ref216788212 \h </w:instrText>
      </w:r>
      <w:r w:rsidR="007017CF" w:rsidRPr="00561F65">
        <w:rPr>
          <w:lang w:val="en-CA"/>
        </w:rPr>
        <w:instrText xml:space="preserve"> \* MERGEFORMAT </w:instrText>
      </w:r>
      <w:r w:rsidR="006B0A58" w:rsidRPr="00561F65">
        <w:fldChar w:fldCharType="separate"/>
      </w:r>
      <w:r w:rsidR="000374E3" w:rsidRPr="00561F65">
        <w:rPr>
          <w:lang w:val="en-CA"/>
        </w:rPr>
        <w:t>46</w:t>
      </w:r>
      <w:r w:rsidR="006B0A58" w:rsidRPr="00561F65">
        <w:fldChar w:fldCharType="end"/>
      </w:r>
      <w:r w:rsidR="006B0A58" w:rsidRPr="00561F65">
        <w:rPr>
          <w:lang w:val="en-CA"/>
        </w:rPr>
        <w:t>,</w:t>
      </w:r>
      <w:r w:rsidRPr="00561F65">
        <w:rPr>
          <w:lang w:val="en-CA"/>
        </w:rPr>
        <w:t>197</w:t>
      </w:r>
      <w:r w:rsidRPr="00561F65">
        <w:rPr>
          <w:lang w:val="en-CA"/>
        </w:rPr>
        <w:noBreakHyphen/>
        <w:t>220.</w:t>
      </w:r>
    </w:p>
  </w:footnote>
  <w:footnote w:id="312">
    <w:p w14:paraId="4BD39F74" w14:textId="6C4377AD" w:rsidR="007E13F6" w:rsidRPr="00561F65" w:rsidRDefault="007E13F6" w:rsidP="004E4354">
      <w:pPr>
        <w:pStyle w:val="NotesBasPage"/>
      </w:pPr>
      <w:r w:rsidRPr="00561F65">
        <w:rPr>
          <w:rStyle w:val="Appelnotedebasdep"/>
        </w:rPr>
        <w:footnoteRef/>
      </w:r>
      <w:r w:rsidRPr="00561F65">
        <w:t xml:space="preserve"> </w:t>
      </w:r>
      <w:r w:rsidR="001B59FA" w:rsidRPr="00561F65">
        <w:tab/>
      </w:r>
      <w:r w:rsidRPr="007E76E1">
        <w:rPr>
          <w:smallCaps/>
        </w:rPr>
        <w:t>Chamberland</w:t>
      </w:r>
      <w:r w:rsidRPr="00561F65">
        <w:t>, L., M.</w:t>
      </w:r>
      <w:r w:rsidR="00BC48F0">
        <w:t> </w:t>
      </w:r>
      <w:r w:rsidRPr="007E76E1">
        <w:rPr>
          <w:smallCaps/>
        </w:rPr>
        <w:t>Bernier</w:t>
      </w:r>
      <w:r w:rsidRPr="00561F65">
        <w:t>, C.</w:t>
      </w:r>
      <w:r w:rsidR="00E328B0">
        <w:t> </w:t>
      </w:r>
      <w:r w:rsidRPr="007E76E1">
        <w:rPr>
          <w:smallCaps/>
        </w:rPr>
        <w:t>Lebreton</w:t>
      </w:r>
      <w:r w:rsidRPr="00561F65">
        <w:t>, G.</w:t>
      </w:r>
      <w:r w:rsidR="00E328B0">
        <w:t> </w:t>
      </w:r>
      <w:r w:rsidRPr="007E76E1">
        <w:rPr>
          <w:smallCaps/>
        </w:rPr>
        <w:t>Richard</w:t>
      </w:r>
      <w:r w:rsidRPr="00561F65">
        <w:t xml:space="preserve"> et J.</w:t>
      </w:r>
      <w:r w:rsidR="00E328B0">
        <w:t> </w:t>
      </w:r>
      <w:r w:rsidRPr="007E76E1">
        <w:rPr>
          <w:smallCaps/>
        </w:rPr>
        <w:t>Théroux-Séguin</w:t>
      </w:r>
      <w:r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851AC7" w:rsidRPr="00561F65">
        <w:t>,</w:t>
      </w:r>
      <w:r w:rsidR="0027040E" w:rsidRPr="00561F65">
        <w:t xml:space="preserve"> </w:t>
      </w:r>
      <w:r w:rsidRPr="00561F65">
        <w:t>p.</w:t>
      </w:r>
      <w:r w:rsidR="00A13093" w:rsidRPr="00561F65">
        <w:t> </w:t>
      </w:r>
      <w:r w:rsidRPr="00561F65">
        <w:t>110.</w:t>
      </w:r>
    </w:p>
  </w:footnote>
  <w:footnote w:id="313">
    <w:p w14:paraId="10990EDE" w14:textId="54CD5394" w:rsidR="007E13F6" w:rsidRPr="00561F65" w:rsidRDefault="007E13F6" w:rsidP="004E4354">
      <w:pPr>
        <w:pStyle w:val="NotesBasPage"/>
      </w:pPr>
      <w:r w:rsidRPr="00561F65">
        <w:rPr>
          <w:rStyle w:val="Appelnotedebasdep"/>
        </w:rPr>
        <w:footnoteRef/>
      </w:r>
      <w:r w:rsidRPr="00561F65">
        <w:t xml:space="preserve"> </w:t>
      </w:r>
      <w:r w:rsidR="001B59FA" w:rsidRPr="00561F65">
        <w:tab/>
      </w:r>
      <w:r w:rsidR="006B0A58" w:rsidRPr="00561F65">
        <w:t>D.</w:t>
      </w:r>
      <w:r w:rsidR="00E328B0">
        <w:t> </w:t>
      </w:r>
      <w:r w:rsidR="006B0A58" w:rsidRPr="00561F65">
        <w:rPr>
          <w:smallCaps/>
        </w:rPr>
        <w:t>Irving</w:t>
      </w:r>
      <w:r w:rsidR="006B0A58" w:rsidRPr="00561F65">
        <w:t xml:space="preserve"> et N.</w:t>
      </w:r>
      <w:r w:rsidR="00E328B0">
        <w:t> </w:t>
      </w:r>
      <w:r w:rsidR="006B0A58" w:rsidRPr="00561F65">
        <w:rPr>
          <w:smallCaps/>
        </w:rPr>
        <w:t>Hoo</w:t>
      </w:r>
      <w:r w:rsidRPr="00561F65">
        <w:t xml:space="preserve">, </w:t>
      </w:r>
      <w:proofErr w:type="spellStart"/>
      <w:r w:rsidR="006B0A58" w:rsidRPr="00561F65">
        <w:t>préc</w:t>
      </w:r>
      <w:proofErr w:type="spellEnd"/>
      <w:r w:rsidR="006B0A58" w:rsidRPr="00561F65">
        <w:t xml:space="preserve">., note </w:t>
      </w:r>
      <w:r w:rsidR="006B0A58" w:rsidRPr="00561F65">
        <w:fldChar w:fldCharType="begin"/>
      </w:r>
      <w:r w:rsidR="006B0A58" w:rsidRPr="00561F65">
        <w:instrText xml:space="preserve"> NOTEREF _Ref216788212 \h </w:instrText>
      </w:r>
      <w:r w:rsidR="007017CF" w:rsidRPr="00561F65">
        <w:instrText xml:space="preserve"> \* MERGEFORMAT </w:instrText>
      </w:r>
      <w:r w:rsidR="006B0A58" w:rsidRPr="00561F65">
        <w:fldChar w:fldCharType="separate"/>
      </w:r>
      <w:r w:rsidR="000374E3" w:rsidRPr="00561F65">
        <w:t>46</w:t>
      </w:r>
      <w:r w:rsidR="006B0A58" w:rsidRPr="00561F65">
        <w:fldChar w:fldCharType="end"/>
      </w:r>
      <w:r w:rsidR="006B0A58" w:rsidRPr="00561F65">
        <w:t>,</w:t>
      </w:r>
      <w:r w:rsidRPr="00561F65">
        <w:t xml:space="preserve"> 197</w:t>
      </w:r>
      <w:r w:rsidRPr="00561F65">
        <w:noBreakHyphen/>
        <w:t>220.</w:t>
      </w:r>
    </w:p>
  </w:footnote>
  <w:footnote w:id="314">
    <w:p w14:paraId="5ADC1970" w14:textId="457E1E49" w:rsidR="007E13F6" w:rsidRPr="00561F65" w:rsidRDefault="007E13F6" w:rsidP="004E4354">
      <w:pPr>
        <w:pStyle w:val="NotesBasPage"/>
      </w:pPr>
      <w:r w:rsidRPr="00561F65">
        <w:rPr>
          <w:rStyle w:val="Appelnotedebasdep"/>
        </w:rPr>
        <w:footnoteRef/>
      </w:r>
      <w:r w:rsidRPr="00561F65">
        <w:t xml:space="preserve"> </w:t>
      </w:r>
      <w:r w:rsidR="001B59FA" w:rsidRPr="00561F65">
        <w:tab/>
      </w:r>
      <w:r w:rsidR="00851AC7" w:rsidRPr="00561F65">
        <w:t>A.</w:t>
      </w:r>
      <w:r w:rsidR="00E328B0">
        <w:t> </w:t>
      </w:r>
      <w:r w:rsidRPr="00301F6E">
        <w:rPr>
          <w:smallCaps/>
        </w:rPr>
        <w:t>Einarsdóttir</w:t>
      </w:r>
      <w:r w:rsidRPr="00561F65">
        <w:t xml:space="preserve">, </w:t>
      </w:r>
      <w:r w:rsidR="00851AC7" w:rsidRPr="00561F65">
        <w:t>H.</w:t>
      </w:r>
      <w:r w:rsidRPr="00561F65">
        <w:t xml:space="preserve"> </w:t>
      </w:r>
      <w:r w:rsidRPr="00301F6E">
        <w:rPr>
          <w:smallCaps/>
        </w:rPr>
        <w:t>Helge Ho</w:t>
      </w:r>
      <w:r w:rsidR="0027594F" w:rsidRPr="00301F6E">
        <w:rPr>
          <w:smallCaps/>
        </w:rPr>
        <w:t>ë</w:t>
      </w:r>
      <w:r w:rsidRPr="00301F6E">
        <w:rPr>
          <w:smallCaps/>
        </w:rPr>
        <w:t>l</w:t>
      </w:r>
      <w:r w:rsidRPr="00561F65">
        <w:t xml:space="preserve"> </w:t>
      </w:r>
      <w:r w:rsidR="00851AC7" w:rsidRPr="00561F65">
        <w:t>et</w:t>
      </w:r>
      <w:r w:rsidRPr="00561F65">
        <w:t xml:space="preserve"> D</w:t>
      </w:r>
      <w:r w:rsidR="00851AC7" w:rsidRPr="00561F65">
        <w:t>.</w:t>
      </w:r>
      <w:r w:rsidR="00E328B0">
        <w:t> </w:t>
      </w:r>
      <w:r w:rsidRPr="00301F6E">
        <w:rPr>
          <w:smallCaps/>
        </w:rPr>
        <w:t>Lewis</w:t>
      </w:r>
      <w:r w:rsidRPr="00561F65">
        <w:t xml:space="preserve">, </w:t>
      </w:r>
      <w:proofErr w:type="spellStart"/>
      <w:r w:rsidR="00090EF8" w:rsidRPr="00561F65">
        <w:t>préc</w:t>
      </w:r>
      <w:proofErr w:type="spellEnd"/>
      <w:r w:rsidR="00090EF8" w:rsidRPr="00561F65">
        <w:t xml:space="preserve">., note </w:t>
      </w:r>
      <w:r w:rsidR="00090EF8" w:rsidRPr="00561F65">
        <w:fldChar w:fldCharType="begin"/>
      </w:r>
      <w:r w:rsidR="00090EF8" w:rsidRPr="00561F65">
        <w:instrText xml:space="preserve"> NOTEREF _Ref216860741 \h </w:instrText>
      </w:r>
      <w:r w:rsidR="007017CF" w:rsidRPr="00561F65">
        <w:instrText xml:space="preserve"> \* MERGEFORMAT </w:instrText>
      </w:r>
      <w:r w:rsidR="00090EF8" w:rsidRPr="00561F65">
        <w:fldChar w:fldCharType="separate"/>
      </w:r>
      <w:r w:rsidR="0084139E">
        <w:t>304</w:t>
      </w:r>
      <w:r w:rsidR="00090EF8" w:rsidRPr="00561F65">
        <w:fldChar w:fldCharType="end"/>
      </w:r>
      <w:r w:rsidR="00090EF8" w:rsidRPr="00561F65">
        <w:t xml:space="preserve">, </w:t>
      </w:r>
      <w:r w:rsidRPr="00561F65">
        <w:t>1194.</w:t>
      </w:r>
    </w:p>
  </w:footnote>
  <w:footnote w:id="315">
    <w:p w14:paraId="6A0CB185" w14:textId="0ADAB498" w:rsidR="002D652A" w:rsidRPr="00561F65" w:rsidRDefault="002D652A" w:rsidP="004E4354">
      <w:pPr>
        <w:pStyle w:val="NotesBasPage"/>
      </w:pPr>
      <w:r w:rsidRPr="00561F65">
        <w:rPr>
          <w:rStyle w:val="Appelnotedebasdep"/>
        </w:rPr>
        <w:footnoteRef/>
      </w:r>
      <w:r w:rsidRPr="00561F65">
        <w:t xml:space="preserve"> </w:t>
      </w:r>
      <w:r w:rsidR="001B59FA" w:rsidRPr="00561F65">
        <w:tab/>
      </w:r>
      <w:r w:rsidRPr="00AB01B1">
        <w:rPr>
          <w:smallCaps/>
        </w:rPr>
        <w:t>Chamberland</w:t>
      </w:r>
      <w:r w:rsidRPr="00561F65">
        <w:t>, L., M.</w:t>
      </w:r>
      <w:r w:rsidR="00BC48F0">
        <w:t> </w:t>
      </w:r>
      <w:r w:rsidRPr="00AB01B1">
        <w:rPr>
          <w:smallCaps/>
        </w:rPr>
        <w:t>Bernier</w:t>
      </w:r>
      <w:r w:rsidRPr="00561F65">
        <w:t>, C.</w:t>
      </w:r>
      <w:r w:rsidR="00E328B0">
        <w:t> </w:t>
      </w:r>
      <w:r w:rsidRPr="00AB01B1">
        <w:rPr>
          <w:smallCaps/>
        </w:rPr>
        <w:t>Lebreton</w:t>
      </w:r>
      <w:r w:rsidRPr="00561F65">
        <w:t>, G.</w:t>
      </w:r>
      <w:r w:rsidR="00E328B0">
        <w:t> </w:t>
      </w:r>
      <w:r w:rsidRPr="00AB01B1">
        <w:rPr>
          <w:smallCaps/>
        </w:rPr>
        <w:t>Richard</w:t>
      </w:r>
      <w:r w:rsidRPr="00561F65">
        <w:t xml:space="preserve"> et J</w:t>
      </w:r>
      <w:r w:rsidRPr="00AB01B1">
        <w:rPr>
          <w:smallCaps/>
        </w:rPr>
        <w:t>.</w:t>
      </w:r>
      <w:r w:rsidR="00E328B0" w:rsidRPr="00AB01B1">
        <w:rPr>
          <w:smallCaps/>
        </w:rPr>
        <w:t> </w:t>
      </w:r>
      <w:r w:rsidRPr="00AB01B1">
        <w:rPr>
          <w:smallCaps/>
        </w:rPr>
        <w:t>Théroux-Ségui</w:t>
      </w:r>
      <w:r w:rsidR="00851AC7" w:rsidRPr="00AB01B1">
        <w:rPr>
          <w:smallCaps/>
        </w:rPr>
        <w:t>n</w:t>
      </w:r>
      <w:r w:rsidR="00851AC7"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851AC7" w:rsidRPr="00561F65">
        <w:t>,</w:t>
      </w:r>
      <w:r w:rsidR="0027040E" w:rsidRPr="00561F65">
        <w:t xml:space="preserve"> </w:t>
      </w:r>
      <w:r w:rsidRPr="00561F65">
        <w:t>p.</w:t>
      </w:r>
      <w:r w:rsidR="00A13093" w:rsidRPr="00561F65">
        <w:t> </w:t>
      </w:r>
      <w:r w:rsidRPr="00561F65">
        <w:t>108-110-111.</w:t>
      </w:r>
    </w:p>
  </w:footnote>
  <w:footnote w:id="316">
    <w:p w14:paraId="0403365A" w14:textId="3887BCD4" w:rsidR="002D652A" w:rsidRPr="00561F65" w:rsidRDefault="002D652A" w:rsidP="004E4354">
      <w:pPr>
        <w:pStyle w:val="NotesBasPage"/>
      </w:pPr>
      <w:r w:rsidRPr="00561F65">
        <w:rPr>
          <w:rStyle w:val="Appelnotedebasdep"/>
        </w:rPr>
        <w:footnoteRef/>
      </w:r>
      <w:r w:rsidRPr="00561F65">
        <w:t xml:space="preserve"> </w:t>
      </w:r>
      <w:r w:rsidR="001B59FA" w:rsidRPr="00561F65">
        <w:tab/>
      </w:r>
      <w:r w:rsidR="001B648D" w:rsidRPr="00561F65">
        <w:t>L</w:t>
      </w:r>
      <w:r w:rsidR="001B648D" w:rsidRPr="00561F65">
        <w:rPr>
          <w:smallCaps/>
        </w:rPr>
        <w:t>éger</w:t>
      </w:r>
      <w:r w:rsidR="001B648D">
        <w:rPr>
          <w:smallCaps/>
        </w:rPr>
        <w:t xml:space="preserve"> Marketing</w:t>
      </w:r>
      <w:r w:rsidRPr="00561F65">
        <w:t xml:space="preserve">, </w:t>
      </w:r>
      <w:proofErr w:type="spellStart"/>
      <w:r w:rsidR="00BD7A39">
        <w:t>préc</w:t>
      </w:r>
      <w:proofErr w:type="spellEnd"/>
      <w:r w:rsidR="00BD7A39">
        <w:t xml:space="preserve">., note </w:t>
      </w:r>
      <w:r w:rsidR="00BD7A39">
        <w:fldChar w:fldCharType="begin"/>
      </w:r>
      <w:r w:rsidR="00BD7A39">
        <w:instrText xml:space="preserve"> NOTEREF _Ref229147026 \h </w:instrText>
      </w:r>
      <w:r w:rsidR="004E4354">
        <w:instrText xml:space="preserve"> \* MERGEFORMAT </w:instrText>
      </w:r>
      <w:r w:rsidR="00BD7A39">
        <w:fldChar w:fldCharType="separate"/>
      </w:r>
      <w:r w:rsidR="00BD7A39">
        <w:t>302</w:t>
      </w:r>
      <w:r w:rsidR="00BD7A39">
        <w:fldChar w:fldCharType="end"/>
      </w:r>
    </w:p>
  </w:footnote>
  <w:footnote w:id="317">
    <w:p w14:paraId="59AAC92B" w14:textId="5EB85AE4" w:rsidR="009B3E5D" w:rsidRPr="00561F65" w:rsidRDefault="009B3E5D" w:rsidP="004E4354">
      <w:pPr>
        <w:pStyle w:val="NotesBasPage"/>
      </w:pPr>
      <w:r w:rsidRPr="00561F65">
        <w:rPr>
          <w:rStyle w:val="Appelnotedebasdep"/>
        </w:rPr>
        <w:footnoteRef/>
      </w:r>
      <w:r w:rsidRPr="00561F65">
        <w:t xml:space="preserve"> </w:t>
      </w:r>
      <w:r w:rsidR="001B59FA" w:rsidRPr="00561F65">
        <w:tab/>
      </w:r>
      <w:r w:rsidR="006A1B8A" w:rsidRPr="00561F65">
        <w:t>K.</w:t>
      </w:r>
      <w:r w:rsidR="00E328B0">
        <w:t> </w:t>
      </w:r>
      <w:r w:rsidR="006A1B8A" w:rsidRPr="00561F65">
        <w:rPr>
          <w:smallCaps/>
        </w:rPr>
        <w:t>Brennan</w:t>
      </w:r>
      <w:r w:rsidR="006A1B8A" w:rsidRPr="00561F65">
        <w:t>, C.</w:t>
      </w:r>
      <w:r w:rsidR="00E328B0">
        <w:t> </w:t>
      </w:r>
      <w:r w:rsidR="006A1B8A" w:rsidRPr="00561F65">
        <w:rPr>
          <w:smallCaps/>
        </w:rPr>
        <w:t>Halpenny</w:t>
      </w:r>
      <w:r w:rsidR="006A1B8A" w:rsidRPr="00561F65">
        <w:t xml:space="preserve"> et B.</w:t>
      </w:r>
      <w:r w:rsidR="00E328B0">
        <w:t> </w:t>
      </w:r>
      <w:r w:rsidR="006A1B8A" w:rsidRPr="00561F65">
        <w:rPr>
          <w:smallCaps/>
        </w:rPr>
        <w:t>Pakula</w:t>
      </w:r>
      <w:r w:rsidR="006A1B8A" w:rsidRPr="00561F65">
        <w:t xml:space="preserve">, </w:t>
      </w:r>
      <w:proofErr w:type="spellStart"/>
      <w:r w:rsidR="006A1B8A" w:rsidRPr="00561F65">
        <w:t>préc</w:t>
      </w:r>
      <w:proofErr w:type="spellEnd"/>
      <w:r w:rsidR="006A1B8A" w:rsidRPr="00561F65">
        <w:t xml:space="preserve">., note </w:t>
      </w:r>
      <w:r w:rsidR="006A1B8A" w:rsidRPr="00561F65">
        <w:fldChar w:fldCharType="begin"/>
      </w:r>
      <w:r w:rsidR="006A1B8A" w:rsidRPr="00561F65">
        <w:instrText xml:space="preserve"> NOTEREF _Ref219211343 \h </w:instrText>
      </w:r>
      <w:r w:rsidR="007017CF" w:rsidRPr="00561F65">
        <w:instrText xml:space="preserve"> \* MERGEFORMAT </w:instrText>
      </w:r>
      <w:r w:rsidR="006A1B8A" w:rsidRPr="00561F65">
        <w:fldChar w:fldCharType="separate"/>
      </w:r>
      <w:r w:rsidR="000374E3" w:rsidRPr="00561F65">
        <w:t>102</w:t>
      </w:r>
      <w:r w:rsidR="006A1B8A" w:rsidRPr="00561F65">
        <w:fldChar w:fldCharType="end"/>
      </w:r>
      <w:r w:rsidRPr="00561F65">
        <w:t>, p. 73-75</w:t>
      </w:r>
      <w:r w:rsidR="006A1B8A" w:rsidRPr="00561F65">
        <w:t>.</w:t>
      </w:r>
    </w:p>
  </w:footnote>
  <w:footnote w:id="318">
    <w:p w14:paraId="07F46CF0" w14:textId="1545ACD2" w:rsidR="009B3E5D" w:rsidRPr="00561F65" w:rsidRDefault="009B3E5D" w:rsidP="004E4354">
      <w:pPr>
        <w:pStyle w:val="NotesBasPage"/>
      </w:pPr>
      <w:r w:rsidRPr="00561F65">
        <w:rPr>
          <w:rStyle w:val="Appelnotedebasdep"/>
        </w:rPr>
        <w:footnoteRef/>
      </w:r>
      <w:r w:rsidRPr="00561F65">
        <w:t xml:space="preserve"> </w:t>
      </w:r>
      <w:r w:rsidR="001B59FA" w:rsidRPr="00561F65">
        <w:tab/>
      </w:r>
      <w:r w:rsidRPr="00AB01B1">
        <w:rPr>
          <w:smallCaps/>
        </w:rPr>
        <w:t>Chamberland</w:t>
      </w:r>
      <w:r w:rsidRPr="00561F65">
        <w:t>, L., M.</w:t>
      </w:r>
      <w:r w:rsidR="00BC48F0">
        <w:t> </w:t>
      </w:r>
      <w:r w:rsidRPr="00AB01B1">
        <w:rPr>
          <w:smallCaps/>
        </w:rPr>
        <w:t>Bernier</w:t>
      </w:r>
      <w:r w:rsidRPr="00561F65">
        <w:t>, C.</w:t>
      </w:r>
      <w:r w:rsidR="00E328B0">
        <w:t> </w:t>
      </w:r>
      <w:r w:rsidRPr="00AB01B1">
        <w:rPr>
          <w:smallCaps/>
        </w:rPr>
        <w:t>Lebreton</w:t>
      </w:r>
      <w:r w:rsidRPr="00561F65">
        <w:t>, G.</w:t>
      </w:r>
      <w:r w:rsidR="00E328B0">
        <w:t> </w:t>
      </w:r>
      <w:r w:rsidRPr="00AB01B1">
        <w:rPr>
          <w:smallCaps/>
        </w:rPr>
        <w:t>Richard</w:t>
      </w:r>
      <w:r w:rsidRPr="00561F65">
        <w:t xml:space="preserve"> et J.</w:t>
      </w:r>
      <w:r w:rsidR="00E328B0">
        <w:t> </w:t>
      </w:r>
      <w:r w:rsidRPr="00AB01B1">
        <w:rPr>
          <w:smallCaps/>
        </w:rPr>
        <w:t>Théroux-Ségui</w:t>
      </w:r>
      <w:r w:rsidR="00851AC7" w:rsidRPr="00AB01B1">
        <w:rPr>
          <w:smallCaps/>
        </w:rPr>
        <w:t>n</w:t>
      </w:r>
      <w:r w:rsidR="00851AC7"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851AC7" w:rsidRPr="00561F65">
        <w:t>,</w:t>
      </w:r>
      <w:r w:rsidR="0027040E" w:rsidRPr="00561F65">
        <w:t xml:space="preserve"> </w:t>
      </w:r>
      <w:r w:rsidRPr="00561F65">
        <w:t>p.</w:t>
      </w:r>
      <w:r w:rsidR="00A13093" w:rsidRPr="00561F65">
        <w:t> </w:t>
      </w:r>
      <w:r w:rsidRPr="00561F65">
        <w:t>108-112-118.</w:t>
      </w:r>
    </w:p>
  </w:footnote>
  <w:footnote w:id="319">
    <w:p w14:paraId="45C8808A" w14:textId="0341999C" w:rsidR="00EB0FF4" w:rsidRPr="00561F65" w:rsidRDefault="00EB0FF4" w:rsidP="004E4354">
      <w:pPr>
        <w:pStyle w:val="NotesBasPage"/>
      </w:pPr>
      <w:r w:rsidRPr="00561F65">
        <w:rPr>
          <w:rStyle w:val="Appelnotedebasdep"/>
        </w:rPr>
        <w:footnoteRef/>
      </w:r>
      <w:r w:rsidRPr="00561F65">
        <w:t xml:space="preserve"> </w:t>
      </w:r>
      <w:r w:rsidR="001B59FA" w:rsidRPr="00561F65">
        <w:tab/>
      </w:r>
      <w:r w:rsidR="006A1B8A" w:rsidRPr="00561F65">
        <w:t>K.</w:t>
      </w:r>
      <w:r w:rsidR="00E328B0">
        <w:t> </w:t>
      </w:r>
      <w:r w:rsidR="006A1B8A" w:rsidRPr="00561F65">
        <w:rPr>
          <w:smallCaps/>
        </w:rPr>
        <w:t>Brennan</w:t>
      </w:r>
      <w:r w:rsidR="006A1B8A" w:rsidRPr="00561F65">
        <w:t>, C.</w:t>
      </w:r>
      <w:r w:rsidR="00E328B0">
        <w:t> </w:t>
      </w:r>
      <w:r w:rsidR="006A1B8A" w:rsidRPr="00561F65">
        <w:rPr>
          <w:smallCaps/>
        </w:rPr>
        <w:t>Halpenny</w:t>
      </w:r>
      <w:r w:rsidR="006A1B8A" w:rsidRPr="00561F65">
        <w:t xml:space="preserve"> et B.</w:t>
      </w:r>
      <w:r w:rsidR="00E328B0">
        <w:t> </w:t>
      </w:r>
      <w:r w:rsidR="006A1B8A" w:rsidRPr="00561F65">
        <w:rPr>
          <w:smallCaps/>
        </w:rPr>
        <w:t>Pakula</w:t>
      </w:r>
      <w:r w:rsidR="006A1B8A" w:rsidRPr="00561F65">
        <w:t xml:space="preserve">, </w:t>
      </w:r>
      <w:proofErr w:type="spellStart"/>
      <w:r w:rsidR="006A1B8A" w:rsidRPr="00561F65">
        <w:t>préc</w:t>
      </w:r>
      <w:proofErr w:type="spellEnd"/>
      <w:r w:rsidR="006A1B8A" w:rsidRPr="00561F65">
        <w:t xml:space="preserve">., note </w:t>
      </w:r>
      <w:r w:rsidR="006A1B8A" w:rsidRPr="00561F65">
        <w:fldChar w:fldCharType="begin"/>
      </w:r>
      <w:r w:rsidR="006A1B8A" w:rsidRPr="00561F65">
        <w:instrText xml:space="preserve"> NOTEREF _Ref219211343 \h </w:instrText>
      </w:r>
      <w:r w:rsidR="007017CF" w:rsidRPr="00561F65">
        <w:instrText xml:space="preserve"> \* MERGEFORMAT </w:instrText>
      </w:r>
      <w:r w:rsidR="006A1B8A" w:rsidRPr="00561F65">
        <w:fldChar w:fldCharType="separate"/>
      </w:r>
      <w:r w:rsidR="000374E3" w:rsidRPr="00561F65">
        <w:t>102</w:t>
      </w:r>
      <w:r w:rsidR="006A1B8A" w:rsidRPr="00561F65">
        <w:fldChar w:fldCharType="end"/>
      </w:r>
      <w:r w:rsidRPr="00561F65">
        <w:t>, p. 23</w:t>
      </w:r>
      <w:r w:rsidR="006A1B8A" w:rsidRPr="00561F65">
        <w:t>.</w:t>
      </w:r>
    </w:p>
  </w:footnote>
  <w:footnote w:id="320">
    <w:p w14:paraId="37F8056D" w14:textId="72DBA829" w:rsidR="00EB0FF4" w:rsidRPr="00561F65" w:rsidRDefault="00EB0FF4" w:rsidP="004E4354">
      <w:pPr>
        <w:pStyle w:val="NotesBasPage"/>
      </w:pPr>
      <w:r w:rsidRPr="00561F65">
        <w:rPr>
          <w:rStyle w:val="Appelnotedebasdep"/>
        </w:rPr>
        <w:footnoteRef/>
      </w:r>
      <w:r w:rsidRPr="00561F65">
        <w:t xml:space="preserve"> </w:t>
      </w:r>
      <w:r w:rsidR="001B59FA" w:rsidRPr="00561F65">
        <w:tab/>
      </w:r>
      <w:r w:rsidR="009E04EF" w:rsidRPr="00561F65">
        <w:t xml:space="preserve">L. </w:t>
      </w:r>
      <w:r w:rsidRPr="00301F6E">
        <w:rPr>
          <w:smallCaps/>
        </w:rPr>
        <w:t>Chamberland</w:t>
      </w:r>
      <w:r w:rsidRPr="00561F65">
        <w:t>, M.</w:t>
      </w:r>
      <w:r w:rsidR="00BC48F0">
        <w:t> </w:t>
      </w:r>
      <w:r w:rsidRPr="00301F6E">
        <w:rPr>
          <w:smallCaps/>
        </w:rPr>
        <w:t>Bernier</w:t>
      </w:r>
      <w:r w:rsidRPr="00561F65">
        <w:t>, C.</w:t>
      </w:r>
      <w:r w:rsidR="00E328B0">
        <w:t> </w:t>
      </w:r>
      <w:r w:rsidRPr="00301F6E">
        <w:rPr>
          <w:smallCaps/>
        </w:rPr>
        <w:t>Lebreton</w:t>
      </w:r>
      <w:r w:rsidRPr="00561F65">
        <w:t>, G.</w:t>
      </w:r>
      <w:r w:rsidR="00E328B0">
        <w:t> </w:t>
      </w:r>
      <w:r w:rsidRPr="00301F6E">
        <w:rPr>
          <w:smallCaps/>
        </w:rPr>
        <w:t>Richard</w:t>
      </w:r>
      <w:r w:rsidRPr="00561F65">
        <w:t xml:space="preserve"> et J.</w:t>
      </w:r>
      <w:r w:rsidR="00E328B0">
        <w:t> </w:t>
      </w:r>
      <w:r w:rsidRPr="00301F6E">
        <w:rPr>
          <w:smallCaps/>
        </w:rPr>
        <w:t>Théroux-Séguin</w:t>
      </w:r>
      <w:r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851AC7" w:rsidRPr="00561F65">
        <w:t>,</w:t>
      </w:r>
      <w:r w:rsidR="0027040E" w:rsidRPr="00561F65">
        <w:t xml:space="preserve"> </w:t>
      </w:r>
      <w:r w:rsidRPr="00561F65">
        <w:t>p.</w:t>
      </w:r>
      <w:r w:rsidR="00A13093" w:rsidRPr="00561F65">
        <w:t> </w:t>
      </w:r>
      <w:r w:rsidRPr="00561F65">
        <w:t>110.</w:t>
      </w:r>
    </w:p>
  </w:footnote>
  <w:footnote w:id="321">
    <w:p w14:paraId="40F4F187" w14:textId="4A63D786" w:rsidR="00EB0FF4" w:rsidRPr="00561F65" w:rsidRDefault="00EB0FF4" w:rsidP="004E4354">
      <w:pPr>
        <w:pStyle w:val="NotesBasPage"/>
      </w:pPr>
      <w:r w:rsidRPr="00561F65">
        <w:rPr>
          <w:rStyle w:val="Appelnotedebasdep"/>
        </w:rPr>
        <w:footnoteRef/>
      </w:r>
      <w:r w:rsidRPr="00561F65">
        <w:t xml:space="preserve"> </w:t>
      </w:r>
      <w:r w:rsidR="001B59FA" w:rsidRPr="00561F65">
        <w:tab/>
      </w:r>
      <w:r w:rsidRPr="00561F65">
        <w:t>L</w:t>
      </w:r>
      <w:r w:rsidRPr="00561F65">
        <w:rPr>
          <w:smallCaps/>
        </w:rPr>
        <w:t>éger</w:t>
      </w:r>
      <w:r w:rsidRPr="00561F65">
        <w:t>, Rapport de recherche (version révisée</w:t>
      </w:r>
      <w:r w:rsidR="00D72EFE">
        <w:t xml:space="preserve">), </w:t>
      </w:r>
      <w:proofErr w:type="spellStart"/>
      <w:r w:rsidR="00D72EFE">
        <w:t>préc</w:t>
      </w:r>
      <w:proofErr w:type="spellEnd"/>
      <w:r w:rsidR="00D72EFE">
        <w:t xml:space="preserve">., note </w:t>
      </w:r>
      <w:r w:rsidR="00D72EFE">
        <w:fldChar w:fldCharType="begin"/>
      </w:r>
      <w:r w:rsidR="00D72EFE">
        <w:instrText xml:space="preserve"> NOTEREF _Ref229147026 \h </w:instrText>
      </w:r>
      <w:r w:rsidR="004E4354">
        <w:instrText xml:space="preserve"> \* MERGEFORMAT </w:instrText>
      </w:r>
      <w:r w:rsidR="00D72EFE">
        <w:fldChar w:fldCharType="separate"/>
      </w:r>
      <w:r w:rsidR="00D72EFE">
        <w:t>302</w:t>
      </w:r>
      <w:r w:rsidR="00D72EFE">
        <w:fldChar w:fldCharType="end"/>
      </w:r>
      <w:r w:rsidR="00D72EFE">
        <w:t>.</w:t>
      </w:r>
    </w:p>
  </w:footnote>
  <w:footnote w:id="322">
    <w:p w14:paraId="0FE29419" w14:textId="6879EB29" w:rsidR="00EB0FF4" w:rsidRPr="00561F65" w:rsidRDefault="00EB0FF4" w:rsidP="004E4354">
      <w:pPr>
        <w:pStyle w:val="NotesBasPage"/>
      </w:pPr>
      <w:r w:rsidRPr="00561F65">
        <w:rPr>
          <w:rStyle w:val="Appelnotedebasdep"/>
        </w:rPr>
        <w:footnoteRef/>
      </w:r>
      <w:r w:rsidRPr="00561F65">
        <w:t xml:space="preserve"> </w:t>
      </w:r>
      <w:r w:rsidR="001B59FA" w:rsidRPr="00561F65">
        <w:tab/>
      </w:r>
      <w:r w:rsidR="00D72EFE" w:rsidRPr="00D72EFE">
        <w:rPr>
          <w:i/>
          <w:iCs/>
        </w:rPr>
        <w:t>Id.</w:t>
      </w:r>
    </w:p>
  </w:footnote>
  <w:footnote w:id="323">
    <w:p w14:paraId="02584493" w14:textId="1EC5DDD9" w:rsidR="00EB0FF4" w:rsidRPr="00561F65" w:rsidRDefault="00EB0FF4" w:rsidP="004E4354">
      <w:pPr>
        <w:pStyle w:val="NotesBasPage"/>
      </w:pPr>
      <w:r w:rsidRPr="00561F65">
        <w:rPr>
          <w:rStyle w:val="Appelnotedebasdep"/>
        </w:rPr>
        <w:footnoteRef/>
      </w:r>
      <w:r w:rsidRPr="00561F65">
        <w:t xml:space="preserve"> </w:t>
      </w:r>
      <w:r w:rsidR="001B59FA" w:rsidRPr="00561F65">
        <w:tab/>
      </w:r>
      <w:r w:rsidR="009E04EF" w:rsidRPr="00561F65">
        <w:t xml:space="preserve">L. </w:t>
      </w:r>
      <w:r w:rsidRPr="00301F6E">
        <w:rPr>
          <w:smallCaps/>
        </w:rPr>
        <w:t>Chamberland</w:t>
      </w:r>
      <w:r w:rsidRPr="00561F65">
        <w:t>, M.</w:t>
      </w:r>
      <w:r w:rsidR="00BC48F0">
        <w:t> </w:t>
      </w:r>
      <w:r w:rsidRPr="00301F6E">
        <w:rPr>
          <w:smallCaps/>
        </w:rPr>
        <w:t>Bernier</w:t>
      </w:r>
      <w:r w:rsidRPr="00561F65">
        <w:t>, C.</w:t>
      </w:r>
      <w:r w:rsidR="00E328B0">
        <w:t> </w:t>
      </w:r>
      <w:r w:rsidRPr="00301F6E">
        <w:rPr>
          <w:smallCaps/>
        </w:rPr>
        <w:t>Lebreton</w:t>
      </w:r>
      <w:r w:rsidRPr="00561F65">
        <w:t>, G.</w:t>
      </w:r>
      <w:r w:rsidR="00135B4F">
        <w:t> </w:t>
      </w:r>
      <w:r w:rsidRPr="00301F6E">
        <w:rPr>
          <w:smallCaps/>
        </w:rPr>
        <w:t>Richard</w:t>
      </w:r>
      <w:r w:rsidRPr="00561F65">
        <w:t xml:space="preserve"> et J.</w:t>
      </w:r>
      <w:r w:rsidR="00135B4F">
        <w:t> </w:t>
      </w:r>
      <w:r w:rsidRPr="00301F6E">
        <w:rPr>
          <w:smallCaps/>
        </w:rPr>
        <w:t>Théroux-Séguin</w:t>
      </w:r>
      <w:r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851AC7" w:rsidRPr="00561F65">
        <w:t>,</w:t>
      </w:r>
      <w:r w:rsidR="0027040E" w:rsidRPr="00561F65">
        <w:t xml:space="preserve"> </w:t>
      </w:r>
      <w:r w:rsidRPr="00561F65">
        <w:t>p.</w:t>
      </w:r>
      <w:r w:rsidR="00A13093" w:rsidRPr="00561F65">
        <w:t> </w:t>
      </w:r>
      <w:r w:rsidRPr="00561F65">
        <w:t>112.</w:t>
      </w:r>
    </w:p>
  </w:footnote>
  <w:footnote w:id="324">
    <w:p w14:paraId="4960A622" w14:textId="6FF31C1E" w:rsidR="00051F25" w:rsidRPr="00561F65" w:rsidRDefault="00051F25" w:rsidP="004E4354">
      <w:pPr>
        <w:pStyle w:val="NotesBasPage"/>
      </w:pPr>
      <w:r w:rsidRPr="00561F65">
        <w:rPr>
          <w:rStyle w:val="Appelnotedebasdep"/>
        </w:rPr>
        <w:footnoteRef/>
      </w:r>
      <w:r w:rsidRPr="00561F65">
        <w:t xml:space="preserve"> </w:t>
      </w:r>
      <w:r w:rsidR="001B59FA" w:rsidRPr="00561F65">
        <w:tab/>
      </w:r>
      <w:r w:rsidR="00851AC7" w:rsidRPr="00561F65">
        <w:rPr>
          <w:i/>
        </w:rPr>
        <w:t>Id</w:t>
      </w:r>
      <w:r w:rsidR="00851AC7" w:rsidRPr="00561F65">
        <w:t>.</w:t>
      </w:r>
      <w:r w:rsidR="009E04EF" w:rsidRPr="00561F65">
        <w:t>,</w:t>
      </w:r>
      <w:r w:rsidR="0027040E" w:rsidRPr="00561F65">
        <w:t xml:space="preserve"> </w:t>
      </w:r>
      <w:r w:rsidRPr="00561F65">
        <w:t>p.</w:t>
      </w:r>
      <w:r w:rsidR="00A13093" w:rsidRPr="00561F65">
        <w:t> </w:t>
      </w:r>
      <w:r w:rsidRPr="00561F65">
        <w:t>108-109.</w:t>
      </w:r>
    </w:p>
  </w:footnote>
  <w:footnote w:id="325">
    <w:p w14:paraId="6ADF14C6" w14:textId="1D51AEAE" w:rsidR="0036661E" w:rsidRPr="00561F65" w:rsidRDefault="0036661E" w:rsidP="004E4354">
      <w:pPr>
        <w:pStyle w:val="NotesBasPage"/>
      </w:pPr>
      <w:r w:rsidRPr="00561F65">
        <w:rPr>
          <w:rStyle w:val="Appelnotedebasdep"/>
        </w:rPr>
        <w:footnoteRef/>
      </w:r>
      <w:r w:rsidRPr="00561F65">
        <w:t xml:space="preserve"> </w:t>
      </w:r>
      <w:r w:rsidR="001B59FA" w:rsidRPr="00561F65">
        <w:tab/>
      </w:r>
      <w:r w:rsidR="009E04EF" w:rsidRPr="00561F65">
        <w:rPr>
          <w:i/>
        </w:rPr>
        <w:t>Id</w:t>
      </w:r>
      <w:r w:rsidR="009E04EF" w:rsidRPr="00561F65">
        <w:t>.,</w:t>
      </w:r>
      <w:r w:rsidRPr="00561F65">
        <w:t xml:space="preserve"> p.</w:t>
      </w:r>
      <w:r w:rsidR="00A13093" w:rsidRPr="00561F65">
        <w:t> </w:t>
      </w:r>
      <w:r w:rsidRPr="00561F65">
        <w:t>108-109.</w:t>
      </w:r>
    </w:p>
  </w:footnote>
  <w:footnote w:id="326">
    <w:p w14:paraId="0B2CDED4" w14:textId="5547981B" w:rsidR="0036661E" w:rsidRPr="00561F65" w:rsidRDefault="0036661E" w:rsidP="004E4354">
      <w:pPr>
        <w:pStyle w:val="NotesBasPage"/>
      </w:pPr>
      <w:r w:rsidRPr="00561F65">
        <w:rPr>
          <w:rStyle w:val="Appelnotedebasdep"/>
        </w:rPr>
        <w:footnoteRef/>
      </w:r>
      <w:r w:rsidRPr="00561F65">
        <w:t xml:space="preserve"> </w:t>
      </w:r>
      <w:r w:rsidR="001B59FA" w:rsidRPr="00561F65">
        <w:tab/>
      </w:r>
      <w:r w:rsidR="009E04EF" w:rsidRPr="00561F65">
        <w:rPr>
          <w:i/>
        </w:rPr>
        <w:t>Id</w:t>
      </w:r>
      <w:r w:rsidR="009E04EF" w:rsidRPr="00561F65">
        <w:t>., p.</w:t>
      </w:r>
      <w:r w:rsidR="00A13093" w:rsidRPr="00561F65">
        <w:t> </w:t>
      </w:r>
      <w:r w:rsidRPr="00561F65">
        <w:t>110</w:t>
      </w:r>
      <w:r w:rsidR="00BD6329" w:rsidRPr="00561F65">
        <w:rPr>
          <w:rFonts w:ascii="Arial" w:hAnsi="Arial" w:cs="Arial"/>
        </w:rPr>
        <w:t> </w:t>
      </w:r>
      <w:r w:rsidRPr="00561F65">
        <w:t xml:space="preserve">; </w:t>
      </w:r>
      <w:r w:rsidR="006A1B8A" w:rsidRPr="00561F65">
        <w:t>K.</w:t>
      </w:r>
      <w:r w:rsidR="00135B4F">
        <w:t> </w:t>
      </w:r>
      <w:r w:rsidR="006A1B8A" w:rsidRPr="00561F65">
        <w:rPr>
          <w:smallCaps/>
        </w:rPr>
        <w:t>Brennan</w:t>
      </w:r>
      <w:r w:rsidR="006A1B8A" w:rsidRPr="00561F65">
        <w:t>, C.</w:t>
      </w:r>
      <w:r w:rsidR="00135B4F">
        <w:t> </w:t>
      </w:r>
      <w:r w:rsidR="006A1B8A" w:rsidRPr="00561F65">
        <w:rPr>
          <w:smallCaps/>
        </w:rPr>
        <w:t>Halpenny</w:t>
      </w:r>
      <w:r w:rsidR="006A1B8A" w:rsidRPr="00561F65">
        <w:t xml:space="preserve"> et B.</w:t>
      </w:r>
      <w:r w:rsidR="00135B4F">
        <w:t> </w:t>
      </w:r>
      <w:r w:rsidR="006A1B8A" w:rsidRPr="00561F65">
        <w:rPr>
          <w:smallCaps/>
        </w:rPr>
        <w:t>Pakula</w:t>
      </w:r>
      <w:r w:rsidR="006A1B8A" w:rsidRPr="00561F65">
        <w:t xml:space="preserve">, </w:t>
      </w:r>
      <w:proofErr w:type="spellStart"/>
      <w:r w:rsidR="006A1B8A" w:rsidRPr="00561F65">
        <w:t>préc</w:t>
      </w:r>
      <w:proofErr w:type="spellEnd"/>
      <w:r w:rsidR="006A1B8A" w:rsidRPr="00561F65">
        <w:t xml:space="preserve">., note </w:t>
      </w:r>
      <w:r w:rsidR="006A1B8A" w:rsidRPr="00561F65">
        <w:fldChar w:fldCharType="begin"/>
      </w:r>
      <w:r w:rsidR="006A1B8A" w:rsidRPr="00561F65">
        <w:instrText xml:space="preserve"> NOTEREF _Ref219211343 \h </w:instrText>
      </w:r>
      <w:r w:rsidR="007017CF" w:rsidRPr="00561F65">
        <w:instrText xml:space="preserve"> \* MERGEFORMAT </w:instrText>
      </w:r>
      <w:r w:rsidR="006A1B8A" w:rsidRPr="00561F65">
        <w:fldChar w:fldCharType="separate"/>
      </w:r>
      <w:r w:rsidR="000374E3" w:rsidRPr="00561F65">
        <w:t>102</w:t>
      </w:r>
      <w:r w:rsidR="006A1B8A" w:rsidRPr="00561F65">
        <w:fldChar w:fldCharType="end"/>
      </w:r>
      <w:r w:rsidRPr="00561F65">
        <w:t>, p. 23</w:t>
      </w:r>
      <w:r w:rsidR="006A1B8A" w:rsidRPr="00561F65">
        <w:t>.</w:t>
      </w:r>
    </w:p>
  </w:footnote>
  <w:footnote w:id="327">
    <w:p w14:paraId="536D17E6" w14:textId="0475105B" w:rsidR="0036661E" w:rsidRPr="00561F65" w:rsidRDefault="0036661E" w:rsidP="004E4354">
      <w:pPr>
        <w:pStyle w:val="NotesBasPage"/>
      </w:pPr>
      <w:r w:rsidRPr="00561F65">
        <w:rPr>
          <w:rStyle w:val="Appelnotedebasdep"/>
        </w:rPr>
        <w:footnoteRef/>
      </w:r>
      <w:r w:rsidRPr="00561F65">
        <w:t xml:space="preserve"> </w:t>
      </w:r>
      <w:r w:rsidR="00A25D94" w:rsidRPr="00561F65">
        <w:tab/>
      </w:r>
      <w:r w:rsidR="001C0177" w:rsidRPr="00561F65">
        <w:t>Charte, art. 82.</w:t>
      </w:r>
    </w:p>
  </w:footnote>
  <w:footnote w:id="328">
    <w:p w14:paraId="078E147A" w14:textId="21F72866" w:rsidR="00CF281C" w:rsidRPr="00561F65" w:rsidRDefault="00CF281C" w:rsidP="004E4354">
      <w:pPr>
        <w:pStyle w:val="NotesBasPage"/>
      </w:pPr>
      <w:r w:rsidRPr="00561F65">
        <w:rPr>
          <w:rStyle w:val="Appelnotedebasdep"/>
        </w:rPr>
        <w:footnoteRef/>
      </w:r>
      <w:r w:rsidRPr="00561F65">
        <w:t xml:space="preserve"> </w:t>
      </w:r>
      <w:r w:rsidR="006C3831" w:rsidRPr="00561F65">
        <w:tab/>
      </w:r>
      <w:r w:rsidRPr="00561F65">
        <w:t xml:space="preserve">Voir par exemple : </w:t>
      </w:r>
      <w:r w:rsidR="0062280B" w:rsidRPr="00E018C3">
        <w:rPr>
          <w:smallCaps/>
        </w:rPr>
        <w:t>Chaire de recherche sur la diversité sexuelle et la pluralité des genres</w:t>
      </w:r>
      <w:r w:rsidR="0062280B" w:rsidRPr="00561F65">
        <w:t xml:space="preserve">, </w:t>
      </w:r>
      <w:proofErr w:type="spellStart"/>
      <w:r w:rsidR="003D148F" w:rsidRPr="00561F65">
        <w:t>préc</w:t>
      </w:r>
      <w:proofErr w:type="spellEnd"/>
      <w:r w:rsidR="003D148F" w:rsidRPr="00561F65">
        <w:t xml:space="preserve">., note </w:t>
      </w:r>
      <w:r w:rsidR="003D148F" w:rsidRPr="00561F65">
        <w:fldChar w:fldCharType="begin"/>
      </w:r>
      <w:r w:rsidR="003D148F" w:rsidRPr="00561F65">
        <w:instrText xml:space="preserve"> NOTEREF _Ref219212438 \h </w:instrText>
      </w:r>
      <w:r w:rsidR="007017CF" w:rsidRPr="00561F65">
        <w:instrText xml:space="preserve"> \* MERGEFORMAT </w:instrText>
      </w:r>
      <w:r w:rsidR="003D148F" w:rsidRPr="00561F65">
        <w:fldChar w:fldCharType="separate"/>
      </w:r>
      <w:r w:rsidR="000374E3" w:rsidRPr="00561F65">
        <w:t>115</w:t>
      </w:r>
      <w:r w:rsidR="003D148F" w:rsidRPr="00561F65">
        <w:fldChar w:fldCharType="end"/>
      </w:r>
      <w:r w:rsidR="003D148F" w:rsidRPr="00561F65">
        <w:t>,</w:t>
      </w:r>
      <w:r w:rsidR="00E17B21" w:rsidRPr="00561F65">
        <w:t xml:space="preserve"> </w:t>
      </w:r>
      <w:r w:rsidRPr="00561F65">
        <w:t>p. 61-63</w:t>
      </w:r>
      <w:r w:rsidR="00BD6329" w:rsidRPr="00561F65">
        <w:rPr>
          <w:rFonts w:ascii="Arial" w:hAnsi="Arial" w:cs="Arial"/>
        </w:rPr>
        <w:t> </w:t>
      </w:r>
      <w:r w:rsidRPr="00561F65">
        <w:t xml:space="preserve">; </w:t>
      </w:r>
      <w:r w:rsidRPr="00E018C3">
        <w:rPr>
          <w:smallCaps/>
        </w:rPr>
        <w:t>Chamberland</w:t>
      </w:r>
      <w:r w:rsidRPr="00561F65">
        <w:t>, L., M.</w:t>
      </w:r>
      <w:r w:rsidR="00BC48F0">
        <w:t> </w:t>
      </w:r>
      <w:r w:rsidRPr="00E018C3">
        <w:rPr>
          <w:smallCaps/>
        </w:rPr>
        <w:t>Bernier</w:t>
      </w:r>
      <w:r w:rsidRPr="00561F65">
        <w:t>, C.</w:t>
      </w:r>
      <w:r w:rsidR="00135B4F">
        <w:t> </w:t>
      </w:r>
      <w:r w:rsidRPr="00E018C3">
        <w:rPr>
          <w:smallCaps/>
        </w:rPr>
        <w:t>Lebreton</w:t>
      </w:r>
      <w:r w:rsidRPr="00561F65">
        <w:t>, G.</w:t>
      </w:r>
      <w:r w:rsidR="00135B4F">
        <w:t> </w:t>
      </w:r>
      <w:r w:rsidRPr="00E018C3">
        <w:rPr>
          <w:smallCaps/>
        </w:rPr>
        <w:t>Richard</w:t>
      </w:r>
      <w:r w:rsidRPr="00561F65">
        <w:t xml:space="preserve"> et J.</w:t>
      </w:r>
      <w:r w:rsidR="00135B4F">
        <w:t> </w:t>
      </w:r>
      <w:r w:rsidRPr="00E018C3">
        <w:rPr>
          <w:smallCaps/>
        </w:rPr>
        <w:t>Théroux-Séguin</w:t>
      </w:r>
      <w:r w:rsidRPr="00561F65">
        <w:t xml:space="preserve">, </w:t>
      </w:r>
      <w:proofErr w:type="spellStart"/>
      <w:r w:rsidR="00B31722" w:rsidRPr="00561F65">
        <w:t>préc</w:t>
      </w:r>
      <w:proofErr w:type="spellEnd"/>
      <w:r w:rsidR="00B31722" w:rsidRPr="00561F65">
        <w:t>., note</w:t>
      </w:r>
      <w:r w:rsidR="00B456AE" w:rsidRPr="00561F65">
        <w:t xml:space="preserve"> </w:t>
      </w:r>
      <w:r w:rsidR="00B456AE" w:rsidRPr="00561F65">
        <w:fldChar w:fldCharType="begin"/>
      </w:r>
      <w:r w:rsidR="00B456AE" w:rsidRPr="00561F65">
        <w:instrText xml:space="preserve"> NOTEREF _Ref216788212 \h </w:instrText>
      </w:r>
      <w:r w:rsidR="007017CF" w:rsidRPr="00561F65">
        <w:instrText xml:space="preserve"> \* MERGEFORMAT </w:instrText>
      </w:r>
      <w:r w:rsidR="00B456AE" w:rsidRPr="00561F65">
        <w:fldChar w:fldCharType="separate"/>
      </w:r>
      <w:r w:rsidR="000374E3" w:rsidRPr="00561F65">
        <w:t>46</w:t>
      </w:r>
      <w:r w:rsidR="00B456AE" w:rsidRPr="00561F65">
        <w:fldChar w:fldCharType="end"/>
      </w:r>
      <w:r w:rsidR="00A85824" w:rsidRPr="00561F65">
        <w:t>,</w:t>
      </w:r>
      <w:r w:rsidR="0027040E" w:rsidRPr="00561F65">
        <w:t xml:space="preserve"> </w:t>
      </w:r>
      <w:r w:rsidRPr="00561F65">
        <w:t>p.</w:t>
      </w:r>
      <w:r w:rsidR="00A13093" w:rsidRPr="00561F65">
        <w:t> </w:t>
      </w:r>
      <w:r w:rsidRPr="00561F65">
        <w:t>119.</w:t>
      </w:r>
    </w:p>
  </w:footnote>
  <w:footnote w:id="329">
    <w:p w14:paraId="70B43AFF" w14:textId="4B93AC9A" w:rsidR="00CF281C" w:rsidRPr="00561F65" w:rsidRDefault="00CF281C" w:rsidP="004E4354">
      <w:pPr>
        <w:pStyle w:val="NotesBasPage"/>
      </w:pPr>
      <w:r w:rsidRPr="00561F65">
        <w:rPr>
          <w:rStyle w:val="Appelnotedebasdep"/>
        </w:rPr>
        <w:footnoteRef/>
      </w:r>
      <w:r w:rsidRPr="00561F65">
        <w:t xml:space="preserve"> </w:t>
      </w:r>
      <w:r w:rsidR="006C3831" w:rsidRPr="00561F65">
        <w:tab/>
      </w:r>
      <w:r w:rsidR="003D148F" w:rsidRPr="00561F65">
        <w:rPr>
          <w:i/>
        </w:rPr>
        <w:t>Id</w:t>
      </w:r>
      <w:r w:rsidR="003D148F" w:rsidRPr="00561F65">
        <w:t>.</w:t>
      </w:r>
    </w:p>
  </w:footnote>
  <w:footnote w:id="330">
    <w:p w14:paraId="732A6D3B" w14:textId="18DC94FA" w:rsidR="0002502A" w:rsidRPr="00561F65" w:rsidRDefault="0002502A" w:rsidP="004E4354">
      <w:pPr>
        <w:pStyle w:val="NotesBasPage"/>
      </w:pPr>
      <w:r w:rsidRPr="00561F65">
        <w:rPr>
          <w:rStyle w:val="Appelnotedebasdep"/>
        </w:rPr>
        <w:footnoteRef/>
      </w:r>
      <w:r w:rsidRPr="00561F65">
        <w:t xml:space="preserve"> </w:t>
      </w:r>
      <w:r w:rsidRPr="00561F65">
        <w:tab/>
        <w:t>Cette expression se veut une analogie avec le concept de «</w:t>
      </w:r>
      <w:r w:rsidRPr="00561F65">
        <w:rPr>
          <w:rFonts w:ascii="Arial" w:hAnsi="Arial" w:cs="Arial"/>
        </w:rPr>
        <w:t> </w:t>
      </w:r>
      <w:proofErr w:type="spellStart"/>
      <w:r w:rsidRPr="00561F65">
        <w:t>everyday</w:t>
      </w:r>
      <w:proofErr w:type="spellEnd"/>
      <w:r w:rsidRPr="00561F65">
        <w:t xml:space="preserve"> </w:t>
      </w:r>
      <w:proofErr w:type="spellStart"/>
      <w:r w:rsidRPr="00561F65">
        <w:t>racism</w:t>
      </w:r>
      <w:proofErr w:type="spellEnd"/>
      <w:r w:rsidRPr="00561F65">
        <w:rPr>
          <w:rFonts w:ascii="Arial" w:hAnsi="Arial" w:cs="Arial"/>
        </w:rPr>
        <w:t> </w:t>
      </w:r>
      <w:r w:rsidRPr="00561F65">
        <w:rPr>
          <w:rFonts w:cs="Aptos"/>
        </w:rPr>
        <w:t>»</w:t>
      </w:r>
      <w:r w:rsidRPr="00561F65">
        <w:t xml:space="preserve"> d</w:t>
      </w:r>
      <w:r w:rsidRPr="00561F65">
        <w:rPr>
          <w:rFonts w:cs="Aptos"/>
        </w:rPr>
        <w:t>é</w:t>
      </w:r>
      <w:r w:rsidRPr="00561F65">
        <w:t>velopp</w:t>
      </w:r>
      <w:r w:rsidRPr="00561F65">
        <w:rPr>
          <w:rFonts w:cs="Aptos"/>
        </w:rPr>
        <w:t>é</w:t>
      </w:r>
      <w:r w:rsidRPr="00561F65">
        <w:t xml:space="preserve"> par </w:t>
      </w:r>
      <w:proofErr w:type="spellStart"/>
      <w:r w:rsidRPr="00561F65">
        <w:t>Essed</w:t>
      </w:r>
      <w:proofErr w:type="spellEnd"/>
      <w:r w:rsidRPr="00561F65">
        <w:t xml:space="preserve"> (voir note</w:t>
      </w:r>
      <w:r w:rsidR="00A13093" w:rsidRPr="00561F65">
        <w:t> </w:t>
      </w:r>
      <w:r w:rsidRPr="00561F65">
        <w:fldChar w:fldCharType="begin"/>
      </w:r>
      <w:r w:rsidRPr="00561F65">
        <w:instrText xml:space="preserve"> NOTEREF _Ref69126785 \h  \* MERGEFORMAT </w:instrText>
      </w:r>
      <w:r w:rsidRPr="00561F65">
        <w:fldChar w:fldCharType="separate"/>
      </w:r>
      <w:r w:rsidR="0084139E">
        <w:t>330</w:t>
      </w:r>
      <w:r w:rsidRPr="00561F65">
        <w:fldChar w:fldCharType="end"/>
      </w:r>
      <w:r w:rsidRPr="00561F65">
        <w:t>).</w:t>
      </w:r>
    </w:p>
  </w:footnote>
  <w:footnote w:id="331">
    <w:p w14:paraId="3DAD70DC" w14:textId="6EEA3D36" w:rsidR="0002502A" w:rsidRPr="00561F65" w:rsidRDefault="0002502A" w:rsidP="004E4354">
      <w:pPr>
        <w:pStyle w:val="NotesBasPage"/>
        <w:rPr>
          <w:lang w:val="en-CA"/>
        </w:rPr>
      </w:pPr>
      <w:r w:rsidRPr="00561F65">
        <w:rPr>
          <w:rStyle w:val="Appelnotedebasdep"/>
        </w:rPr>
        <w:footnoteRef/>
      </w:r>
      <w:r w:rsidRPr="00561F65">
        <w:rPr>
          <w:lang w:val="en-CA"/>
        </w:rPr>
        <w:t xml:space="preserve"> </w:t>
      </w:r>
      <w:r w:rsidRPr="00561F65">
        <w:rPr>
          <w:lang w:val="en-CA"/>
        </w:rPr>
        <w:tab/>
        <w:t xml:space="preserve">Philomena </w:t>
      </w:r>
      <w:proofErr w:type="spellStart"/>
      <w:r w:rsidRPr="00561F65">
        <w:rPr>
          <w:smallCaps/>
          <w:lang w:val="en-CA"/>
        </w:rPr>
        <w:t>Essed</w:t>
      </w:r>
      <w:proofErr w:type="spellEnd"/>
      <w:r w:rsidRPr="00561F65">
        <w:rPr>
          <w:lang w:val="en-CA"/>
        </w:rPr>
        <w:t xml:space="preserve">, </w:t>
      </w:r>
      <w:r w:rsidRPr="00561F65">
        <w:rPr>
          <w:i/>
          <w:lang w:val="en-CA"/>
        </w:rPr>
        <w:t>Understanding Everyday Racism: An Interdisciplinary Theory</w:t>
      </w:r>
      <w:r w:rsidRPr="00561F65">
        <w:rPr>
          <w:lang w:val="en-CA"/>
        </w:rPr>
        <w:t>, Londres, Sage Publication, 1991, p.</w:t>
      </w:r>
      <w:r w:rsidR="00AB1B44">
        <w:rPr>
          <w:lang w:val="en-CA"/>
        </w:rPr>
        <w:t> </w:t>
      </w:r>
      <w:r w:rsidRPr="00561F65">
        <w:rPr>
          <w:lang w:val="en-CA"/>
        </w:rPr>
        <w:t>79.</w:t>
      </w:r>
    </w:p>
  </w:footnote>
  <w:footnote w:id="332">
    <w:p w14:paraId="41CF8EA6" w14:textId="259500DC" w:rsidR="0002502A" w:rsidRPr="00561F65" w:rsidRDefault="0002502A" w:rsidP="004E4354">
      <w:pPr>
        <w:pStyle w:val="NotesBasPage"/>
        <w:rPr>
          <w:lang w:val="en-CA"/>
        </w:rPr>
      </w:pPr>
      <w:r w:rsidRPr="00561F65">
        <w:rPr>
          <w:rStyle w:val="Appelnotedebasdep"/>
        </w:rPr>
        <w:footnoteRef/>
      </w:r>
      <w:r w:rsidRPr="00561F65">
        <w:t xml:space="preserve"> </w:t>
      </w:r>
      <w:r w:rsidRPr="00561F65">
        <w:tab/>
      </w:r>
      <w:r w:rsidR="00CB02E2" w:rsidRPr="00561F65">
        <w:t>Mireille</w:t>
      </w:r>
      <w:r w:rsidR="006E3833" w:rsidRPr="00561F65">
        <w:t xml:space="preserve"> </w:t>
      </w:r>
      <w:r w:rsidR="006E3833" w:rsidRPr="00AE4A03">
        <w:rPr>
          <w:smallCaps/>
        </w:rPr>
        <w:t>Eberhard</w:t>
      </w:r>
      <w:r w:rsidR="00CB02E2" w:rsidRPr="00561F65">
        <w:t>, «</w:t>
      </w:r>
      <w:r w:rsidR="00FC464D">
        <w:rPr>
          <w:rFonts w:ascii="Arial" w:hAnsi="Arial" w:cs="Arial"/>
        </w:rPr>
        <w:t> </w:t>
      </w:r>
      <w:r w:rsidR="00CB02E2" w:rsidRPr="00561F65">
        <w:t xml:space="preserve">De l’expérience du racisme à sa reconnaissance comme discrimination. </w:t>
      </w:r>
      <w:proofErr w:type="spellStart"/>
      <w:r w:rsidR="00CB02E2" w:rsidRPr="00561F65">
        <w:rPr>
          <w:lang w:val="en-CA"/>
        </w:rPr>
        <w:t>Stratégies</w:t>
      </w:r>
      <w:proofErr w:type="spellEnd"/>
      <w:r w:rsidR="00CB02E2" w:rsidRPr="00561F65">
        <w:rPr>
          <w:lang w:val="en-CA"/>
        </w:rPr>
        <w:t xml:space="preserve"> </w:t>
      </w:r>
      <w:proofErr w:type="spellStart"/>
      <w:r w:rsidR="00CB02E2" w:rsidRPr="00561F65">
        <w:rPr>
          <w:lang w:val="en-CA"/>
        </w:rPr>
        <w:t>discursives</w:t>
      </w:r>
      <w:proofErr w:type="spellEnd"/>
      <w:r w:rsidR="00CB02E2" w:rsidRPr="00561F65">
        <w:rPr>
          <w:lang w:val="en-CA"/>
        </w:rPr>
        <w:t xml:space="preserve"> et </w:t>
      </w:r>
      <w:proofErr w:type="spellStart"/>
      <w:r w:rsidR="00CB02E2" w:rsidRPr="00561F65">
        <w:rPr>
          <w:lang w:val="en-CA"/>
        </w:rPr>
        <w:t>conflits</w:t>
      </w:r>
      <w:proofErr w:type="spellEnd"/>
      <w:r w:rsidR="00CB02E2" w:rsidRPr="00561F65">
        <w:rPr>
          <w:lang w:val="en-CA"/>
        </w:rPr>
        <w:t xml:space="preserve"> </w:t>
      </w:r>
      <w:proofErr w:type="spellStart"/>
      <w:r w:rsidR="00CB02E2" w:rsidRPr="00561F65">
        <w:rPr>
          <w:lang w:val="en-CA"/>
        </w:rPr>
        <w:t>d’interprétation</w:t>
      </w:r>
      <w:proofErr w:type="spellEnd"/>
      <w:r w:rsidR="00FC464D">
        <w:rPr>
          <w:rFonts w:ascii="Arial" w:hAnsi="Arial" w:cs="Arial"/>
          <w:lang w:val="en-CA"/>
        </w:rPr>
        <w:t> </w:t>
      </w:r>
      <w:r w:rsidR="00CB02E2" w:rsidRPr="00561F65">
        <w:rPr>
          <w:lang w:val="en-CA"/>
        </w:rPr>
        <w:t xml:space="preserve">» (2010) Vol. 1:4 </w:t>
      </w:r>
      <w:proofErr w:type="spellStart"/>
      <w:r w:rsidR="00CB02E2" w:rsidRPr="00AE4A03">
        <w:rPr>
          <w:i/>
          <w:lang w:val="en-CA"/>
        </w:rPr>
        <w:t>Sociologie</w:t>
      </w:r>
      <w:proofErr w:type="spellEnd"/>
      <w:r w:rsidR="00CB02E2" w:rsidRPr="00561F65">
        <w:rPr>
          <w:lang w:val="en-CA"/>
        </w:rPr>
        <w:t xml:space="preserve"> 479</w:t>
      </w:r>
      <w:r w:rsidR="00CB02E2" w:rsidRPr="00561F65">
        <w:rPr>
          <w:lang w:val="en-CA"/>
        </w:rPr>
        <w:noBreakHyphen/>
        <w:t>495</w:t>
      </w:r>
      <w:r w:rsidRPr="00561F65">
        <w:rPr>
          <w:lang w:val="en-CA"/>
        </w:rPr>
        <w:t>, p.</w:t>
      </w:r>
      <w:r w:rsidR="00A13093" w:rsidRPr="00561F65">
        <w:rPr>
          <w:lang w:val="en-CA"/>
        </w:rPr>
        <w:t> </w:t>
      </w:r>
      <w:r w:rsidRPr="00561F65">
        <w:rPr>
          <w:lang w:val="en-CA"/>
        </w:rPr>
        <w:t>487.</w:t>
      </w:r>
    </w:p>
  </w:footnote>
  <w:footnote w:id="333">
    <w:p w14:paraId="5998781D" w14:textId="38B6EEA5" w:rsidR="009C5E92" w:rsidRPr="00561F65" w:rsidRDefault="009C5E92" w:rsidP="004E4354">
      <w:pPr>
        <w:pStyle w:val="NotesBasPage"/>
        <w:rPr>
          <w:lang w:val="en-CA"/>
        </w:rPr>
      </w:pPr>
      <w:r w:rsidRPr="00561F65">
        <w:rPr>
          <w:rStyle w:val="Appelnotedebasdep"/>
        </w:rPr>
        <w:footnoteRef/>
      </w:r>
      <w:r w:rsidRPr="00561F65">
        <w:rPr>
          <w:lang w:val="en-CA"/>
        </w:rPr>
        <w:t xml:space="preserve"> </w:t>
      </w:r>
      <w:r w:rsidR="006C3831" w:rsidRPr="00561F65">
        <w:rPr>
          <w:lang w:val="en-CA"/>
        </w:rPr>
        <w:tab/>
      </w:r>
      <w:r w:rsidRPr="00301F6E">
        <w:rPr>
          <w:smallCaps/>
          <w:lang w:val="en-CA"/>
        </w:rPr>
        <w:t>Einarsdóttir</w:t>
      </w:r>
      <w:r w:rsidRPr="00561F65">
        <w:rPr>
          <w:lang w:val="en-CA"/>
        </w:rPr>
        <w:t xml:space="preserve">, Anna, Helge </w:t>
      </w:r>
      <w:r w:rsidRPr="00301F6E">
        <w:rPr>
          <w:smallCaps/>
          <w:lang w:val="en-CA"/>
        </w:rPr>
        <w:t>Hoel</w:t>
      </w:r>
      <w:r w:rsidRPr="00561F65">
        <w:rPr>
          <w:lang w:val="en-CA"/>
        </w:rPr>
        <w:t xml:space="preserve"> &amp; Duncan </w:t>
      </w:r>
      <w:r w:rsidRPr="00301F6E">
        <w:rPr>
          <w:smallCaps/>
          <w:lang w:val="en-CA"/>
        </w:rPr>
        <w:t>Lewis</w:t>
      </w:r>
      <w:r w:rsidRPr="00561F65">
        <w:rPr>
          <w:lang w:val="en-CA"/>
        </w:rPr>
        <w:t>, «</w:t>
      </w:r>
      <w:r w:rsidR="00370E16" w:rsidRPr="00561F65">
        <w:rPr>
          <w:rFonts w:ascii="Arial" w:hAnsi="Arial" w:cs="Arial"/>
          <w:lang w:val="en-CA"/>
        </w:rPr>
        <w:t> </w:t>
      </w:r>
      <w:r w:rsidRPr="00561F65">
        <w:rPr>
          <w:lang w:val="en-CA"/>
        </w:rPr>
        <w:t>‘It’s Nothing Personal</w:t>
      </w:r>
      <w:proofErr w:type="gramStart"/>
      <w:r w:rsidRPr="00561F65">
        <w:rPr>
          <w:lang w:val="en-CA"/>
        </w:rPr>
        <w:t>’</w:t>
      </w:r>
      <w:r w:rsidR="00B73236" w:rsidRPr="00561F65">
        <w:rPr>
          <w:lang w:val="en-CA"/>
        </w:rPr>
        <w:t> </w:t>
      </w:r>
      <w:r w:rsidRPr="00561F65">
        <w:rPr>
          <w:lang w:val="en-CA"/>
        </w:rPr>
        <w:t>:</w:t>
      </w:r>
      <w:proofErr w:type="gramEnd"/>
      <w:r w:rsidRPr="00561F65">
        <w:rPr>
          <w:lang w:val="en-CA"/>
        </w:rPr>
        <w:t xml:space="preserve"> Anti-Homosexuality in the British Workplace</w:t>
      </w:r>
      <w:r w:rsidR="00370E16" w:rsidRPr="00561F65">
        <w:rPr>
          <w:rFonts w:ascii="Arial" w:hAnsi="Arial" w:cs="Arial"/>
          <w:lang w:val="en-CA"/>
        </w:rPr>
        <w:t> </w:t>
      </w:r>
      <w:r w:rsidRPr="00561F65">
        <w:rPr>
          <w:lang w:val="en-CA"/>
        </w:rPr>
        <w:t xml:space="preserve">» (2015) 49:6 </w:t>
      </w:r>
      <w:r w:rsidRPr="00AE4A03">
        <w:rPr>
          <w:i/>
          <w:lang w:val="en-CA"/>
        </w:rPr>
        <w:t>Sociology</w:t>
      </w:r>
      <w:r w:rsidRPr="00561F65">
        <w:rPr>
          <w:lang w:val="en-CA"/>
        </w:rPr>
        <w:t xml:space="preserve"> 1183</w:t>
      </w:r>
      <w:r w:rsidRPr="00561F65">
        <w:rPr>
          <w:lang w:val="en-CA"/>
        </w:rPr>
        <w:noBreakHyphen/>
        <w:t>1199</w:t>
      </w:r>
      <w:r w:rsidR="00090EF8" w:rsidRPr="00561F65">
        <w:rPr>
          <w:lang w:val="en-CA"/>
        </w:rPr>
        <w:t xml:space="preserve">, </w:t>
      </w:r>
      <w:proofErr w:type="spellStart"/>
      <w:r w:rsidR="00090EF8" w:rsidRPr="00561F65">
        <w:rPr>
          <w:lang w:val="en-CA"/>
        </w:rPr>
        <w:t>préc</w:t>
      </w:r>
      <w:proofErr w:type="spellEnd"/>
      <w:r w:rsidR="00090EF8" w:rsidRPr="00561F65">
        <w:rPr>
          <w:lang w:val="en-CA"/>
        </w:rPr>
        <w:t>.</w:t>
      </w:r>
      <w:r w:rsidR="00290060" w:rsidRPr="00561F65">
        <w:rPr>
          <w:lang w:val="en-CA"/>
        </w:rPr>
        <w:t xml:space="preserve">, note </w:t>
      </w:r>
      <w:r w:rsidR="00290060" w:rsidRPr="00561F65">
        <w:fldChar w:fldCharType="begin"/>
      </w:r>
      <w:r w:rsidR="00290060" w:rsidRPr="00561F65">
        <w:rPr>
          <w:lang w:val="en-CA"/>
        </w:rPr>
        <w:instrText xml:space="preserve"> NOTEREF _Ref216860741 \h </w:instrText>
      </w:r>
      <w:r w:rsidR="007017CF" w:rsidRPr="00561F65">
        <w:rPr>
          <w:lang w:val="en-CA"/>
        </w:rPr>
        <w:instrText xml:space="preserve"> \* MERGEFORMAT </w:instrText>
      </w:r>
      <w:r w:rsidR="00290060" w:rsidRPr="00561F65">
        <w:fldChar w:fldCharType="separate"/>
      </w:r>
      <w:r w:rsidR="0084139E">
        <w:rPr>
          <w:lang w:val="en-CA"/>
        </w:rPr>
        <w:t>304</w:t>
      </w:r>
      <w:r w:rsidR="00290060" w:rsidRPr="00561F65">
        <w:fldChar w:fldCharType="end"/>
      </w:r>
      <w:r w:rsidR="0046630A" w:rsidRPr="00561F65">
        <w:rPr>
          <w:rFonts w:ascii="Arial" w:hAnsi="Arial" w:cs="Arial"/>
          <w:lang w:val="en-CA"/>
        </w:rPr>
        <w:t> </w:t>
      </w:r>
      <w:r w:rsidRPr="00561F65">
        <w:rPr>
          <w:lang w:val="en-CA"/>
        </w:rPr>
        <w:t xml:space="preserve">; </w:t>
      </w:r>
      <w:proofErr w:type="spellStart"/>
      <w:r w:rsidRPr="00301F6E">
        <w:rPr>
          <w:smallCaps/>
          <w:lang w:val="en-CA"/>
        </w:rPr>
        <w:t>Mizock</w:t>
      </w:r>
      <w:proofErr w:type="spellEnd"/>
      <w:r w:rsidRPr="00561F65">
        <w:rPr>
          <w:lang w:val="en-CA"/>
        </w:rPr>
        <w:t>, Lauren et al</w:t>
      </w:r>
      <w:r w:rsidR="00261FBB">
        <w:rPr>
          <w:lang w:val="en-CA"/>
        </w:rPr>
        <w:t>.</w:t>
      </w:r>
      <w:r w:rsidRPr="00561F65">
        <w:rPr>
          <w:lang w:val="en-CA"/>
        </w:rPr>
        <w:t xml:space="preserve">, « Transphobia in the workplace: A qualitative study of employment stigma » (2018) 3:3 </w:t>
      </w:r>
      <w:r w:rsidRPr="00AE4A03">
        <w:rPr>
          <w:i/>
          <w:lang w:val="en-CA"/>
        </w:rPr>
        <w:t>Stigma and Health</w:t>
      </w:r>
      <w:r w:rsidR="00AB1B44">
        <w:rPr>
          <w:lang w:val="en-CA"/>
        </w:rPr>
        <w:t> </w:t>
      </w:r>
      <w:r w:rsidRPr="00561F65">
        <w:rPr>
          <w:lang w:val="en-CA"/>
        </w:rPr>
        <w:t>275</w:t>
      </w:r>
      <w:r w:rsidRPr="00561F65">
        <w:rPr>
          <w:lang w:val="en-CA"/>
        </w:rPr>
        <w:noBreakHyphen/>
        <w:t>282.</w:t>
      </w:r>
    </w:p>
  </w:footnote>
  <w:footnote w:id="334">
    <w:p w14:paraId="7F81FDD9" w14:textId="79F67275" w:rsidR="00E508C7" w:rsidRPr="00C54AF9" w:rsidRDefault="00427C74" w:rsidP="004E4354">
      <w:pPr>
        <w:pStyle w:val="NotesBasPage"/>
        <w:rPr>
          <w:iCs/>
        </w:rPr>
      </w:pPr>
      <w:r w:rsidRPr="00561F65">
        <w:rPr>
          <w:rStyle w:val="Appelnotedebasdep"/>
        </w:rPr>
        <w:footnoteRef/>
      </w:r>
      <w:r w:rsidRPr="00561F65">
        <w:t xml:space="preserve"> </w:t>
      </w:r>
      <w:r w:rsidRPr="00561F65">
        <w:tab/>
      </w:r>
      <w:r w:rsidRPr="00561F65">
        <w:rPr>
          <w:smallCaps/>
        </w:rPr>
        <w:t>Gouvernement du Québec</w:t>
      </w:r>
      <w:r w:rsidRPr="00561F65">
        <w:t xml:space="preserve">, </w:t>
      </w:r>
      <w:proofErr w:type="spellStart"/>
      <w:r w:rsidR="00C54AF9" w:rsidRPr="00C54AF9">
        <w:rPr>
          <w:iCs/>
        </w:rPr>
        <w:t>préc</w:t>
      </w:r>
      <w:proofErr w:type="spellEnd"/>
      <w:r w:rsidR="00C54AF9" w:rsidRPr="00C54AF9">
        <w:rPr>
          <w:iCs/>
        </w:rPr>
        <w:t>., note</w:t>
      </w:r>
      <w:r w:rsidR="00C54AF9">
        <w:rPr>
          <w:i/>
        </w:rPr>
        <w:t xml:space="preserve"> </w:t>
      </w:r>
      <w:r w:rsidR="00C54AF9" w:rsidRPr="00C54AF9">
        <w:rPr>
          <w:iCs/>
        </w:rPr>
        <w:fldChar w:fldCharType="begin"/>
      </w:r>
      <w:r w:rsidR="00C54AF9" w:rsidRPr="00C54AF9">
        <w:rPr>
          <w:iCs/>
        </w:rPr>
        <w:instrText xml:space="preserve"> NOTEREF _Ref229387976 \h  \* MERGEFORMAT </w:instrText>
      </w:r>
      <w:r w:rsidR="00C54AF9" w:rsidRPr="00C54AF9">
        <w:rPr>
          <w:iCs/>
        </w:rPr>
      </w:r>
      <w:r w:rsidR="00C54AF9" w:rsidRPr="00C54AF9">
        <w:rPr>
          <w:iCs/>
        </w:rPr>
        <w:fldChar w:fldCharType="separate"/>
      </w:r>
      <w:r w:rsidR="00C54AF9" w:rsidRPr="00C54AF9">
        <w:rPr>
          <w:iCs/>
        </w:rPr>
        <w:t>28</w:t>
      </w:r>
      <w:r w:rsidR="00C54AF9" w:rsidRPr="00C54AF9">
        <w:rPr>
          <w:iCs/>
        </w:rPr>
        <w:fldChar w:fldCharType="end"/>
      </w:r>
      <w:r w:rsidR="00C54AF9">
        <w:rPr>
          <w:iCs/>
        </w:rPr>
        <w:t>.</w:t>
      </w:r>
    </w:p>
  </w:footnote>
  <w:footnote w:id="335">
    <w:p w14:paraId="32049FFF" w14:textId="1CEC95CD" w:rsidR="00C73524" w:rsidRPr="00561F65" w:rsidRDefault="00C73524" w:rsidP="004E4354">
      <w:pPr>
        <w:pStyle w:val="NotesBasPage"/>
      </w:pPr>
      <w:r w:rsidRPr="00561F65">
        <w:rPr>
          <w:rStyle w:val="Appelnotedebasdep"/>
        </w:rPr>
        <w:footnoteRef/>
      </w:r>
      <w:r w:rsidRPr="00561F65">
        <w:t xml:space="preserve"> </w:t>
      </w:r>
      <w:r w:rsidR="006C3831" w:rsidRPr="00561F65">
        <w:tab/>
      </w:r>
      <w:r w:rsidRPr="000758BD">
        <w:rPr>
          <w:i/>
        </w:rPr>
        <w:t>Commission des droits de la personne et des droits de la jeunesse (E.B.)</w:t>
      </w:r>
      <w:r w:rsidRPr="00561F65">
        <w:t xml:space="preserve"> c</w:t>
      </w:r>
      <w:r w:rsidR="003B7515" w:rsidRPr="00561F65">
        <w:t>.</w:t>
      </w:r>
      <w:r w:rsidR="00A13093" w:rsidRPr="00561F65">
        <w:t> </w:t>
      </w:r>
      <w:r w:rsidRPr="000758BD">
        <w:rPr>
          <w:i/>
        </w:rPr>
        <w:t xml:space="preserve">9302-6573 Québec </w:t>
      </w:r>
      <w:proofErr w:type="spellStart"/>
      <w:r w:rsidRPr="000758BD">
        <w:rPr>
          <w:i/>
        </w:rPr>
        <w:t>inc.</w:t>
      </w:r>
      <w:proofErr w:type="spellEnd"/>
      <w:r w:rsidRPr="000758BD">
        <w:rPr>
          <w:i/>
        </w:rPr>
        <w:t xml:space="preserve"> (Bar Lucky</w:t>
      </w:r>
      <w:r w:rsidR="00A13093" w:rsidRPr="000758BD">
        <w:rPr>
          <w:i/>
        </w:rPr>
        <w:t> </w:t>
      </w:r>
      <w:r w:rsidRPr="000758BD">
        <w:rPr>
          <w:i/>
        </w:rPr>
        <w:t>7)</w:t>
      </w:r>
      <w:r w:rsidRPr="00561F65">
        <w:t xml:space="preserve">, </w:t>
      </w:r>
      <w:proofErr w:type="spellStart"/>
      <w:r w:rsidR="003A4501" w:rsidRPr="00561F65">
        <w:t>préc</w:t>
      </w:r>
      <w:proofErr w:type="spellEnd"/>
      <w:r w:rsidR="003A4501" w:rsidRPr="00561F65">
        <w:t>.,</w:t>
      </w:r>
      <w:r w:rsidR="003B7515" w:rsidRPr="00561F65">
        <w:t xml:space="preserve"> note </w:t>
      </w:r>
      <w:r w:rsidR="003B7515" w:rsidRPr="00561F65">
        <w:fldChar w:fldCharType="begin"/>
      </w:r>
      <w:r w:rsidR="003B7515" w:rsidRPr="00561F65">
        <w:instrText xml:space="preserve"> NOTEREF _Ref219291741 \h </w:instrText>
      </w:r>
      <w:r w:rsidR="007017CF" w:rsidRPr="00561F65">
        <w:instrText xml:space="preserve"> \* MERGEFORMAT </w:instrText>
      </w:r>
      <w:r w:rsidR="003B7515" w:rsidRPr="00561F65">
        <w:fldChar w:fldCharType="separate"/>
      </w:r>
      <w:r w:rsidR="000374E3" w:rsidRPr="00561F65">
        <w:t>142</w:t>
      </w:r>
      <w:r w:rsidR="003B7515" w:rsidRPr="00561F65">
        <w:fldChar w:fldCharType="end"/>
      </w:r>
      <w:r w:rsidR="003B7515" w:rsidRPr="00561F65">
        <w:t>.</w:t>
      </w:r>
    </w:p>
  </w:footnote>
  <w:footnote w:id="336">
    <w:p w14:paraId="767AC3BD" w14:textId="3294FF81" w:rsidR="00C73524" w:rsidRPr="00561F65" w:rsidRDefault="00C73524" w:rsidP="004E4354">
      <w:pPr>
        <w:pStyle w:val="NotesBasPage"/>
      </w:pPr>
      <w:r w:rsidRPr="00561F65">
        <w:rPr>
          <w:rStyle w:val="Appelnotedebasdep"/>
        </w:rPr>
        <w:footnoteRef/>
      </w:r>
      <w:r w:rsidRPr="00561F65">
        <w:t xml:space="preserve"> </w:t>
      </w:r>
      <w:r w:rsidR="006C3831" w:rsidRPr="00561F65">
        <w:tab/>
      </w:r>
      <w:r w:rsidRPr="000758BD">
        <w:rPr>
          <w:i/>
        </w:rPr>
        <w:t>Commission des droits de la personne et des droits de la jeunesse (Litalien)</w:t>
      </w:r>
      <w:r w:rsidRPr="00561F65">
        <w:t xml:space="preserve"> c. </w:t>
      </w:r>
      <w:r w:rsidRPr="000758BD">
        <w:rPr>
          <w:i/>
        </w:rPr>
        <w:t>Michaud</w:t>
      </w:r>
      <w:r w:rsidRPr="00561F65">
        <w:t>, 1998</w:t>
      </w:r>
      <w:r w:rsidR="009B5E80" w:rsidRPr="00561F65">
        <w:t> </w:t>
      </w:r>
      <w:r w:rsidRPr="00561F65">
        <w:t>CanLII</w:t>
      </w:r>
      <w:r w:rsidR="00A13093" w:rsidRPr="00561F65">
        <w:t> </w:t>
      </w:r>
      <w:r w:rsidRPr="00561F65">
        <w:t>19166 (QC TDP), par. 27.</w:t>
      </w:r>
    </w:p>
  </w:footnote>
  <w:footnote w:id="337">
    <w:p w14:paraId="0F8F5F34" w14:textId="5B44F734" w:rsidR="001B098D" w:rsidRDefault="00C73524" w:rsidP="004E4354">
      <w:pPr>
        <w:pStyle w:val="NotesBasPage"/>
        <w:rPr>
          <w:lang w:val="en-CA"/>
        </w:rPr>
      </w:pPr>
      <w:r w:rsidRPr="00561F65">
        <w:rPr>
          <w:rStyle w:val="Appelnotedebasdep"/>
        </w:rPr>
        <w:footnoteRef/>
      </w:r>
      <w:r w:rsidRPr="00561F65">
        <w:rPr>
          <w:lang w:val="en-CA"/>
        </w:rPr>
        <w:t xml:space="preserve"> </w:t>
      </w:r>
      <w:r w:rsidR="006C3831" w:rsidRPr="00561F65">
        <w:rPr>
          <w:lang w:val="en-CA"/>
        </w:rPr>
        <w:tab/>
      </w:r>
      <w:r w:rsidRPr="00561F65">
        <w:rPr>
          <w:lang w:val="en-CA"/>
        </w:rPr>
        <w:t xml:space="preserve">Mark R. </w:t>
      </w:r>
      <w:r w:rsidRPr="00561F65">
        <w:rPr>
          <w:smallCaps/>
          <w:lang w:val="en-CA"/>
        </w:rPr>
        <w:t>Hoffarth</w:t>
      </w:r>
      <w:r w:rsidRPr="00561F65">
        <w:rPr>
          <w:lang w:val="en-CA"/>
        </w:rPr>
        <w:t xml:space="preserve"> et Gordon </w:t>
      </w:r>
      <w:r w:rsidRPr="00561F65">
        <w:rPr>
          <w:smallCaps/>
          <w:lang w:val="en-CA"/>
        </w:rPr>
        <w:t>Hodson</w:t>
      </w:r>
      <w:r w:rsidRPr="00561F65">
        <w:rPr>
          <w:lang w:val="en-CA"/>
        </w:rPr>
        <w:t>, «</w:t>
      </w:r>
      <w:r w:rsidRPr="00561F65">
        <w:rPr>
          <w:rFonts w:ascii="Arial" w:hAnsi="Arial"/>
          <w:lang w:val="en-CA"/>
        </w:rPr>
        <w:t> </w:t>
      </w:r>
      <w:r w:rsidRPr="00561F65">
        <w:rPr>
          <w:lang w:val="en-CA"/>
        </w:rPr>
        <w:t>Coming Out, Intergroup Relations, and Attitudes Toward LGBT Rights</w:t>
      </w:r>
      <w:r w:rsidRPr="00561F65">
        <w:rPr>
          <w:rFonts w:ascii="Arial" w:hAnsi="Arial"/>
          <w:lang w:val="en-CA"/>
        </w:rPr>
        <w:t> </w:t>
      </w:r>
      <w:r w:rsidRPr="00561F65">
        <w:rPr>
          <w:rFonts w:cs="Aptos"/>
          <w:lang w:val="en-CA"/>
        </w:rPr>
        <w:t>»</w:t>
      </w:r>
      <w:r w:rsidRPr="00561F65">
        <w:rPr>
          <w:lang w:val="en-CA"/>
        </w:rPr>
        <w:t xml:space="preserve">, dans </w:t>
      </w:r>
      <w:r w:rsidRPr="00561F65">
        <w:rPr>
          <w:i/>
          <w:lang w:val="en-CA"/>
        </w:rPr>
        <w:t>Oxford Research Encyclopedia of Politics</w:t>
      </w:r>
      <w:r w:rsidRPr="00561F65">
        <w:rPr>
          <w:lang w:val="en-CA"/>
        </w:rPr>
        <w:t>, 2020,</w:t>
      </w:r>
      <w:r w:rsidR="001B098D" w:rsidRPr="001B098D">
        <w:rPr>
          <w:lang w:val="en-CA"/>
        </w:rPr>
        <w:t xml:space="preserve"> </w:t>
      </w:r>
      <w:hyperlink r:id="rId133" w:anchor="550712181" w:history="1">
        <w:r w:rsidR="001B098D" w:rsidRPr="00436E53">
          <w:rPr>
            <w:rStyle w:val="Lienhypertexte"/>
            <w:lang w:val="en-CA"/>
          </w:rPr>
          <w:t>https://academic.oup.com/edited-volume/62239/chapter-abstract/550712181?redirectedFrom=fulltext#550712181</w:t>
        </w:r>
      </w:hyperlink>
    </w:p>
    <w:p w14:paraId="5EB41C26" w14:textId="29848BA3" w:rsidR="00C73524" w:rsidRPr="00561F65" w:rsidRDefault="00C73524" w:rsidP="004E4354">
      <w:pPr>
        <w:pStyle w:val="NotesBasPage"/>
        <w:rPr>
          <w:lang w:val="en-CA"/>
        </w:rPr>
      </w:pPr>
      <w:r w:rsidRPr="00561F65">
        <w:rPr>
          <w:lang w:val="en-CA"/>
        </w:rPr>
        <w:t xml:space="preserve">; </w:t>
      </w:r>
      <w:r w:rsidRPr="00561F65">
        <w:rPr>
          <w:rStyle w:val="ui-provider"/>
          <w:rFonts w:cs="Arial"/>
          <w:lang w:val="en-CA"/>
        </w:rPr>
        <w:t>Liviu-Catalin </w:t>
      </w:r>
      <w:r w:rsidRPr="00561F65">
        <w:rPr>
          <w:rStyle w:val="ui-provider"/>
          <w:rFonts w:cs="Arial"/>
          <w:smallCaps/>
          <w:lang w:val="en-CA"/>
        </w:rPr>
        <w:t>Mara</w:t>
      </w:r>
      <w:r w:rsidRPr="00561F65">
        <w:rPr>
          <w:rStyle w:val="ui-provider"/>
          <w:rFonts w:cs="Arial"/>
          <w:lang w:val="en-CA"/>
        </w:rPr>
        <w:t>, Matías </w:t>
      </w:r>
      <w:proofErr w:type="spellStart"/>
      <w:r w:rsidRPr="00561F65">
        <w:rPr>
          <w:rStyle w:val="ui-provider"/>
          <w:rFonts w:cs="Arial"/>
          <w:smallCaps/>
          <w:lang w:val="en-CA"/>
        </w:rPr>
        <w:t>Ginieis</w:t>
      </w:r>
      <w:proofErr w:type="spellEnd"/>
      <w:r w:rsidRPr="00561F65">
        <w:rPr>
          <w:rStyle w:val="ui-provider"/>
          <w:rFonts w:cs="Arial"/>
          <w:lang w:val="en-CA"/>
        </w:rPr>
        <w:t xml:space="preserve"> et Ignasi </w:t>
      </w:r>
      <w:r w:rsidRPr="00561F65">
        <w:rPr>
          <w:rStyle w:val="ui-provider"/>
          <w:rFonts w:cs="Arial"/>
          <w:smallCaps/>
          <w:lang w:val="en-CA"/>
        </w:rPr>
        <w:t>Brunet-Icart</w:t>
      </w:r>
      <w:r w:rsidRPr="00561F65">
        <w:rPr>
          <w:rStyle w:val="ui-provider"/>
          <w:rFonts w:cs="Arial"/>
          <w:lang w:val="en-CA"/>
        </w:rPr>
        <w:t xml:space="preserve">, « Strategies for Coping with LGBT Discrimination at Work: a Systematic Literature Review », (2021) 18 </w:t>
      </w:r>
      <w:r w:rsidRPr="00561F65">
        <w:rPr>
          <w:rStyle w:val="ui-provider"/>
          <w:rFonts w:cs="Arial"/>
          <w:i/>
          <w:lang w:val="en-CA"/>
        </w:rPr>
        <w:t>Sexuality Research and Social Policy</w:t>
      </w:r>
      <w:r w:rsidRPr="00561F65">
        <w:rPr>
          <w:rStyle w:val="ui-provider"/>
          <w:rFonts w:cs="Arial"/>
          <w:lang w:val="en-CA"/>
        </w:rPr>
        <w:t> 339,</w:t>
      </w:r>
      <w:r w:rsidR="00881D70" w:rsidRPr="00881D70">
        <w:rPr>
          <w:lang w:val="en-CA"/>
        </w:rPr>
        <w:t xml:space="preserve"> </w:t>
      </w:r>
      <w:hyperlink r:id="rId134" w:history="1">
        <w:r w:rsidR="00881D70" w:rsidRPr="00436E53">
          <w:rPr>
            <w:rStyle w:val="Lienhypertexte"/>
            <w:rFonts w:cs="Arial"/>
            <w:lang w:val="en-CA"/>
          </w:rPr>
          <w:t>https://link.springer.com/article/10.1007/s13178-020-00462-w</w:t>
        </w:r>
      </w:hyperlink>
      <w:r w:rsidRPr="00561F65">
        <w:rPr>
          <w:rStyle w:val="ui-provider"/>
          <w:rFonts w:cs="Arial"/>
          <w:lang w:val="en-CA"/>
        </w:rPr>
        <w:t>; L</w:t>
      </w:r>
      <w:r w:rsidR="00724436" w:rsidRPr="00561F65">
        <w:rPr>
          <w:rStyle w:val="ui-provider"/>
          <w:rFonts w:cs="Arial"/>
          <w:lang w:val="en-CA"/>
        </w:rPr>
        <w:t>.</w:t>
      </w:r>
      <w:r w:rsidR="00F70893">
        <w:rPr>
          <w:rStyle w:val="ui-provider"/>
          <w:rFonts w:cs="Arial"/>
          <w:lang w:val="en-CA"/>
        </w:rPr>
        <w:t xml:space="preserve"> </w:t>
      </w:r>
      <w:r w:rsidRPr="00F70893">
        <w:rPr>
          <w:rStyle w:val="ui-provider"/>
          <w:rFonts w:cs="Arial"/>
          <w:smallCaps/>
          <w:lang w:val="en-CA"/>
        </w:rPr>
        <w:t>Chamberland</w:t>
      </w:r>
      <w:r w:rsidRPr="00561F65">
        <w:rPr>
          <w:rStyle w:val="ui-provider"/>
          <w:rFonts w:cs="Arial"/>
          <w:lang w:val="en-CA"/>
        </w:rPr>
        <w:t xml:space="preserve">, </w:t>
      </w:r>
      <w:proofErr w:type="spellStart"/>
      <w:r w:rsidR="00347AD9" w:rsidRPr="00561F65">
        <w:rPr>
          <w:lang w:val="en-CA"/>
        </w:rPr>
        <w:t>préc</w:t>
      </w:r>
      <w:proofErr w:type="spellEnd"/>
      <w:r w:rsidR="00347AD9" w:rsidRPr="00561F65">
        <w:rPr>
          <w:lang w:val="en-CA"/>
        </w:rPr>
        <w:t xml:space="preserve">., note </w:t>
      </w:r>
      <w:r w:rsidR="00347AD9" w:rsidRPr="00561F65">
        <w:fldChar w:fldCharType="begin"/>
      </w:r>
      <w:r w:rsidR="00347AD9" w:rsidRPr="00561F65">
        <w:rPr>
          <w:lang w:val="en-CA"/>
        </w:rPr>
        <w:instrText xml:space="preserve"> NOTEREF _Ref216864697 \h </w:instrText>
      </w:r>
      <w:r w:rsidR="007017CF" w:rsidRPr="00561F65">
        <w:rPr>
          <w:lang w:val="en-CA"/>
        </w:rPr>
        <w:instrText xml:space="preserve"> \* MERGEFORMAT </w:instrText>
      </w:r>
      <w:r w:rsidR="00347AD9" w:rsidRPr="00561F65">
        <w:fldChar w:fldCharType="separate"/>
      </w:r>
      <w:r w:rsidR="000374E3" w:rsidRPr="00561F65">
        <w:rPr>
          <w:lang w:val="en-CA"/>
        </w:rPr>
        <w:t>100</w:t>
      </w:r>
      <w:r w:rsidR="00347AD9" w:rsidRPr="00561F65">
        <w:fldChar w:fldCharType="end"/>
      </w:r>
      <w:r w:rsidR="003355F7" w:rsidRPr="00561F65">
        <w:rPr>
          <w:lang w:val="en-CA"/>
        </w:rPr>
        <w:t>.</w:t>
      </w:r>
    </w:p>
  </w:footnote>
  <w:footnote w:id="338">
    <w:p w14:paraId="03062F06" w14:textId="71821542" w:rsidR="00CF3B62" w:rsidRPr="00561F65" w:rsidRDefault="00CF3B62" w:rsidP="004E4354">
      <w:pPr>
        <w:pStyle w:val="NotesBasPage"/>
      </w:pPr>
      <w:r w:rsidRPr="00561F65">
        <w:rPr>
          <w:rStyle w:val="Appelnotedebasdep"/>
        </w:rPr>
        <w:footnoteRef/>
      </w:r>
      <w:r w:rsidRPr="00561F65">
        <w:t xml:space="preserve"> </w:t>
      </w:r>
      <w:r w:rsidR="006C3831" w:rsidRPr="00561F65">
        <w:tab/>
      </w:r>
      <w:r w:rsidR="00DC7B0D" w:rsidRPr="00561F65">
        <w:t>« </w:t>
      </w:r>
      <w:proofErr w:type="spellStart"/>
      <w:r w:rsidR="0051254F">
        <w:t>S</w:t>
      </w:r>
      <w:r w:rsidR="00DC7B0D" w:rsidRPr="00561F65">
        <w:t>exism</w:t>
      </w:r>
      <w:proofErr w:type="spellEnd"/>
      <w:r w:rsidR="00DC7B0D" w:rsidRPr="00561F65">
        <w:t xml:space="preserve"> », </w:t>
      </w:r>
      <w:r w:rsidR="00DC7B0D" w:rsidRPr="00561F65">
        <w:rPr>
          <w:i/>
        </w:rPr>
        <w:t>Britannica</w:t>
      </w:r>
      <w:r w:rsidR="00DC7B0D" w:rsidRPr="00561F65">
        <w:t xml:space="preserve">, </w:t>
      </w:r>
      <w:r w:rsidR="00250C09">
        <w:t>[E</w:t>
      </w:r>
      <w:r w:rsidR="00DC7B0D" w:rsidRPr="00561F65">
        <w:t>n ligne</w:t>
      </w:r>
      <w:r w:rsidR="00250C09">
        <w:t>].</w:t>
      </w:r>
      <w:hyperlink r:id="rId135" w:history="1">
        <w:r w:rsidR="00F70893" w:rsidRPr="00B95250">
          <w:rPr>
            <w:rStyle w:val="Lienhypertexte"/>
          </w:rPr>
          <w:t xml:space="preserve"> https://www.britannica.com/topic/sexism</w:t>
        </w:r>
      </w:hyperlink>
      <w:r w:rsidRPr="00561F65">
        <w:t xml:space="preserve"> </w:t>
      </w:r>
    </w:p>
  </w:footnote>
  <w:footnote w:id="339">
    <w:p w14:paraId="1F46B07B" w14:textId="036DDE5A" w:rsidR="00CF3B62" w:rsidRPr="00561F65" w:rsidRDefault="00CF3B62" w:rsidP="004E4354">
      <w:pPr>
        <w:pStyle w:val="NotesBasPage"/>
      </w:pPr>
      <w:r w:rsidRPr="00561F65">
        <w:rPr>
          <w:rStyle w:val="Appelnotedebasdep"/>
        </w:rPr>
        <w:footnoteRef/>
      </w:r>
      <w:r w:rsidRPr="00561F65">
        <w:t xml:space="preserve"> </w:t>
      </w:r>
      <w:r w:rsidR="006C3831" w:rsidRPr="00561F65">
        <w:tab/>
      </w:r>
      <w:r w:rsidR="009F6889" w:rsidRPr="00561F65">
        <w:t>L.</w:t>
      </w:r>
      <w:r w:rsidR="00135B4F">
        <w:t> </w:t>
      </w:r>
      <w:r w:rsidRPr="00561F65">
        <w:rPr>
          <w:smallCaps/>
        </w:rPr>
        <w:t>Chamberland</w:t>
      </w:r>
      <w:r w:rsidR="009F6889" w:rsidRPr="00561F65">
        <w:rPr>
          <w:smallCaps/>
        </w:rPr>
        <w:t xml:space="preserve"> </w:t>
      </w:r>
      <w:r w:rsidR="009F6889" w:rsidRPr="00561F65">
        <w:t>et C.</w:t>
      </w:r>
      <w:r w:rsidR="00135B4F">
        <w:t> </w:t>
      </w:r>
      <w:r w:rsidRPr="00561F65">
        <w:rPr>
          <w:smallCaps/>
        </w:rPr>
        <w:t>Lebreton</w:t>
      </w:r>
      <w:r w:rsidRPr="00561F65">
        <w:t xml:space="preserve">, </w:t>
      </w:r>
      <w:proofErr w:type="spellStart"/>
      <w:r w:rsidR="009F6889" w:rsidRPr="00561F65">
        <w:t>préc</w:t>
      </w:r>
      <w:proofErr w:type="spellEnd"/>
      <w:r w:rsidR="009F6889" w:rsidRPr="00561F65">
        <w:t xml:space="preserve">., note </w:t>
      </w:r>
      <w:r w:rsidR="009F6889" w:rsidRPr="00561F65">
        <w:fldChar w:fldCharType="begin"/>
      </w:r>
      <w:r w:rsidR="009F6889" w:rsidRPr="00561F65">
        <w:instrText xml:space="preserve"> NOTEREF _Ref219207360 \h </w:instrText>
      </w:r>
      <w:r w:rsidR="007017CF" w:rsidRPr="00561F65">
        <w:instrText xml:space="preserve"> \* MERGEFORMAT </w:instrText>
      </w:r>
      <w:r w:rsidR="009F6889" w:rsidRPr="00561F65">
        <w:fldChar w:fldCharType="separate"/>
      </w:r>
      <w:r w:rsidR="000374E3" w:rsidRPr="00561F65">
        <w:t>82</w:t>
      </w:r>
      <w:r w:rsidR="009F6889" w:rsidRPr="00561F65">
        <w:fldChar w:fldCharType="end"/>
      </w:r>
      <w:r w:rsidR="009F6889" w:rsidRPr="00561F65">
        <w:t>.</w:t>
      </w:r>
    </w:p>
  </w:footnote>
  <w:footnote w:id="340">
    <w:p w14:paraId="24FA4AC4" w14:textId="53A8A065" w:rsidR="002C387B" w:rsidRPr="00561F65" w:rsidRDefault="002C387B" w:rsidP="004E4354">
      <w:pPr>
        <w:pStyle w:val="NotesBasPage"/>
        <w:rPr>
          <w:lang w:val="en-CA"/>
        </w:rPr>
      </w:pPr>
      <w:r w:rsidRPr="00561F65">
        <w:rPr>
          <w:rStyle w:val="Appelnotedebasdep"/>
        </w:rPr>
        <w:footnoteRef/>
      </w:r>
      <w:r w:rsidRPr="00561F65">
        <w:rPr>
          <w:lang w:val="en-CA"/>
        </w:rPr>
        <w:t xml:space="preserve"> </w:t>
      </w:r>
      <w:r w:rsidR="006C3831" w:rsidRPr="00561F65">
        <w:rPr>
          <w:lang w:val="en-CA"/>
        </w:rPr>
        <w:tab/>
      </w:r>
      <w:proofErr w:type="spellStart"/>
      <w:r w:rsidRPr="00561F65">
        <w:rPr>
          <w:lang w:val="en-CA"/>
        </w:rPr>
        <w:t>Notamment</w:t>
      </w:r>
      <w:proofErr w:type="spellEnd"/>
      <w:r w:rsidRPr="00561F65">
        <w:rPr>
          <w:lang w:val="en-CA"/>
        </w:rPr>
        <w:t xml:space="preserve"> </w:t>
      </w:r>
      <w:proofErr w:type="spellStart"/>
      <w:r w:rsidRPr="00561F65">
        <w:rPr>
          <w:lang w:val="en-CA"/>
        </w:rPr>
        <w:t>décrit</w:t>
      </w:r>
      <w:proofErr w:type="spellEnd"/>
      <w:r w:rsidRPr="00561F65">
        <w:rPr>
          <w:lang w:val="en-CA"/>
        </w:rPr>
        <w:t xml:space="preserve"> dans Waaldijk </w:t>
      </w:r>
      <w:r w:rsidRPr="00561F65">
        <w:rPr>
          <w:smallCaps/>
          <w:lang w:val="en-CA"/>
        </w:rPr>
        <w:t>Kees</w:t>
      </w:r>
      <w:r w:rsidRPr="00561F65">
        <w:rPr>
          <w:lang w:val="en-CA"/>
        </w:rPr>
        <w:t>, «</w:t>
      </w:r>
      <w:r w:rsidR="00AB4C13" w:rsidRPr="00561F65">
        <w:rPr>
          <w:rFonts w:ascii="Arial" w:hAnsi="Arial" w:cs="Arial"/>
          <w:lang w:val="en-CA"/>
        </w:rPr>
        <w:t> </w:t>
      </w:r>
      <w:r w:rsidRPr="00561F65">
        <w:rPr>
          <w:lang w:val="en-CA"/>
        </w:rPr>
        <w:t>Standard Sequences in the Legal Recognition of Homosexuality</w:t>
      </w:r>
      <w:r w:rsidR="00AB4C13" w:rsidRPr="00561F65">
        <w:rPr>
          <w:rFonts w:ascii="Arial" w:hAnsi="Arial" w:cs="Arial"/>
          <w:lang w:val="en-CA"/>
        </w:rPr>
        <w:t> </w:t>
      </w:r>
      <w:r w:rsidRPr="00561F65">
        <w:rPr>
          <w:lang w:val="en-CA"/>
        </w:rPr>
        <w:t>» (1994) 4</w:t>
      </w:r>
      <w:r w:rsidR="009B5E80" w:rsidRPr="00561F65">
        <w:rPr>
          <w:lang w:val="en-CA"/>
        </w:rPr>
        <w:t> </w:t>
      </w:r>
      <w:r w:rsidRPr="00561F65">
        <w:rPr>
          <w:lang w:val="en-CA"/>
        </w:rPr>
        <w:t>Australasian Gay and Lesbian Law Jo</w:t>
      </w:r>
      <w:r w:rsidR="00F51E95" w:rsidRPr="00561F65">
        <w:rPr>
          <w:lang w:val="en-CA"/>
        </w:rPr>
        <w:t>ur</w:t>
      </w:r>
      <w:r w:rsidRPr="00561F65">
        <w:rPr>
          <w:lang w:val="en-CA"/>
        </w:rPr>
        <w:t>nal</w:t>
      </w:r>
      <w:r w:rsidR="00A13093" w:rsidRPr="00561F65">
        <w:rPr>
          <w:lang w:val="en-CA"/>
        </w:rPr>
        <w:t> </w:t>
      </w:r>
      <w:r w:rsidRPr="00561F65">
        <w:rPr>
          <w:lang w:val="en-CA"/>
        </w:rPr>
        <w:t>50</w:t>
      </w:r>
      <w:r w:rsidRPr="00561F65">
        <w:rPr>
          <w:lang w:val="en-CA"/>
        </w:rPr>
        <w:noBreakHyphen/>
        <w:t>73.</w:t>
      </w:r>
    </w:p>
  </w:footnote>
  <w:footnote w:id="341">
    <w:p w14:paraId="3112FECC" w14:textId="58EA21E3" w:rsidR="002C387B" w:rsidRPr="00561F65" w:rsidRDefault="002C387B" w:rsidP="004E4354">
      <w:pPr>
        <w:pStyle w:val="NotesBasPage"/>
      </w:pPr>
      <w:r w:rsidRPr="00561F65">
        <w:rPr>
          <w:rStyle w:val="Appelnotedebasdep"/>
        </w:rPr>
        <w:footnoteRef/>
      </w:r>
      <w:r w:rsidRPr="00561F65">
        <w:t xml:space="preserve"> </w:t>
      </w:r>
      <w:r w:rsidR="006C3831" w:rsidRPr="00561F65">
        <w:tab/>
      </w:r>
      <w:r w:rsidR="00D57B4E" w:rsidRPr="00561F65">
        <w:t xml:space="preserve">Manon </w:t>
      </w:r>
      <w:r w:rsidRPr="00561F65">
        <w:rPr>
          <w:smallCaps/>
        </w:rPr>
        <w:t>Tremblay</w:t>
      </w:r>
      <w:r w:rsidRPr="00561F65">
        <w:t>, « Citoyenneté substantielle des lesbiennes et des gais et politiques publiques au Canada</w:t>
      </w:r>
      <w:r w:rsidR="00F01F5E" w:rsidRPr="00561F65">
        <w:rPr>
          <w:rFonts w:ascii="Arial" w:hAnsi="Arial" w:cs="Arial"/>
        </w:rPr>
        <w:t> </w:t>
      </w:r>
      <w:r w:rsidRPr="00561F65">
        <w:t>: r</w:t>
      </w:r>
      <w:r w:rsidRPr="00561F65">
        <w:rPr>
          <w:rFonts w:cs="Aptos"/>
        </w:rPr>
        <w:t>é</w:t>
      </w:r>
      <w:r w:rsidRPr="00561F65">
        <w:t>flexions autour de la notion d</w:t>
      </w:r>
      <w:proofErr w:type="gramStart"/>
      <w:r w:rsidRPr="00561F65">
        <w:rPr>
          <w:rFonts w:cs="Aptos"/>
        </w:rPr>
        <w:t>’«</w:t>
      </w:r>
      <w:proofErr w:type="spellStart"/>
      <w:r w:rsidRPr="00561F65">
        <w:t>homof</w:t>
      </w:r>
      <w:r w:rsidRPr="00561F65">
        <w:rPr>
          <w:rFonts w:cs="Aptos"/>
        </w:rPr>
        <w:t>é</w:t>
      </w:r>
      <w:r w:rsidRPr="00561F65">
        <w:t>d</w:t>
      </w:r>
      <w:r w:rsidRPr="00561F65">
        <w:rPr>
          <w:rFonts w:cs="Aptos"/>
        </w:rPr>
        <w:t>é</w:t>
      </w:r>
      <w:r w:rsidRPr="00561F65">
        <w:t>ralisme</w:t>
      </w:r>
      <w:proofErr w:type="spellEnd"/>
      <w:proofErr w:type="gramEnd"/>
      <w:r w:rsidRPr="00561F65">
        <w:rPr>
          <w:rFonts w:cs="Aptos"/>
        </w:rPr>
        <w:t>» »</w:t>
      </w:r>
      <w:r w:rsidRPr="00561F65">
        <w:t xml:space="preserve"> (2016) 36 </w:t>
      </w:r>
      <w:proofErr w:type="spellStart"/>
      <w:r w:rsidRPr="004F6243">
        <w:rPr>
          <w:i/>
        </w:rPr>
        <w:t>Zeitschrift</w:t>
      </w:r>
      <w:proofErr w:type="spellEnd"/>
      <w:r w:rsidRPr="004F6243">
        <w:rPr>
          <w:i/>
        </w:rPr>
        <w:t xml:space="preserve"> </w:t>
      </w:r>
      <w:proofErr w:type="spellStart"/>
      <w:r w:rsidRPr="004F6243">
        <w:rPr>
          <w:i/>
        </w:rPr>
        <w:t>f</w:t>
      </w:r>
      <w:r w:rsidRPr="004F6243">
        <w:rPr>
          <w:rFonts w:cs="Aptos"/>
          <w:i/>
        </w:rPr>
        <w:t>ü</w:t>
      </w:r>
      <w:r w:rsidRPr="004F6243">
        <w:rPr>
          <w:i/>
        </w:rPr>
        <w:t>r</w:t>
      </w:r>
      <w:proofErr w:type="spellEnd"/>
      <w:r w:rsidRPr="004F6243">
        <w:rPr>
          <w:i/>
        </w:rPr>
        <w:t xml:space="preserve"> Kanada-</w:t>
      </w:r>
      <w:proofErr w:type="spellStart"/>
      <w:r w:rsidRPr="004F6243">
        <w:rPr>
          <w:i/>
        </w:rPr>
        <w:t>Studien</w:t>
      </w:r>
      <w:proofErr w:type="spellEnd"/>
      <w:r w:rsidRPr="00561F65">
        <w:t xml:space="preserve"> 9</w:t>
      </w:r>
      <w:r w:rsidRPr="00561F65">
        <w:noBreakHyphen/>
        <w:t>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4217" w14:textId="5144C5B4" w:rsidR="005F0F9A" w:rsidRPr="00A839DD" w:rsidRDefault="005F0F9A">
    <w:pPr>
      <w:pStyle w:val="En-tte"/>
    </w:pPr>
    <w:r w:rsidRPr="00A839DD">
      <w:rPr>
        <w:noProof/>
      </w:rPr>
      <mc:AlternateContent>
        <mc:Choice Requires="wps">
          <w:drawing>
            <wp:anchor distT="0" distB="0" distL="0" distR="0" simplePos="0" relativeHeight="251658249" behindDoc="0" locked="0" layoutInCell="1" allowOverlap="1" wp14:anchorId="6F0B0FF9" wp14:editId="04CC0CED">
              <wp:simplePos x="635" y="635"/>
              <wp:positionH relativeFrom="page">
                <wp:align>right</wp:align>
              </wp:positionH>
              <wp:positionV relativeFrom="page">
                <wp:align>top</wp:align>
              </wp:positionV>
              <wp:extent cx="1892300" cy="333375"/>
              <wp:effectExtent l="0" t="0" r="0" b="9525"/>
              <wp:wrapNone/>
              <wp:docPr id="920588803" name="Zone de texte 2" descr="Document à diffusion restreint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92300" cy="333375"/>
                      </a:xfrm>
                      <a:prstGeom prst="rect">
                        <a:avLst/>
                      </a:prstGeom>
                      <a:noFill/>
                      <a:ln>
                        <a:noFill/>
                      </a:ln>
                    </wps:spPr>
                    <wps:txbx>
                      <w:txbxContent>
                        <w:p w14:paraId="134CFB6D" w14:textId="0B563215" w:rsidR="005F0F9A" w:rsidRPr="00A839DD" w:rsidRDefault="005F0F9A" w:rsidP="005F0F9A">
                          <w:pPr>
                            <w:rPr>
                              <w:rFonts w:ascii="Calibri" w:eastAsia="Calibri" w:hAnsi="Calibri" w:cs="Calibri"/>
                              <w:color w:val="000000"/>
                              <w:sz w:val="20"/>
                              <w:szCs w:val="20"/>
                            </w:rPr>
                          </w:pPr>
                          <w:r w:rsidRPr="00A839DD">
                            <w:rPr>
                              <w:rFonts w:ascii="Calibri" w:eastAsia="Calibri" w:hAnsi="Calibri" w:cs="Calibri"/>
                              <w:color w:val="000000"/>
                              <w:sz w:val="20"/>
                              <w:szCs w:val="20"/>
                            </w:rPr>
                            <w:t>Document à diffusion restreinte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0B0FF9" id="_x0000_t202" coordsize="21600,21600" o:spt="202" path="m,l,21600r21600,l21600,xe">
              <v:stroke joinstyle="miter"/>
              <v:path gradientshapeok="t" o:connecttype="rect"/>
            </v:shapetype>
            <v:shape id="Zone de texte 2" o:spid="_x0000_s1026" type="#_x0000_t202" alt="Document à diffusion restreinte" style="position:absolute;margin-left:97.8pt;margin-top:0;width:149pt;height:26.25pt;z-index:251658249;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" filled="f" stroked="f">
              <v:textbox style="mso-fit-shape-to-text:t" inset="0,15pt,20pt,0">
                <w:txbxContent>
                  <w:p w14:paraId="134CFB6D" w14:textId="0B563215" w:rsidR="005F0F9A" w:rsidRPr="00A839DD" w:rsidRDefault="005F0F9A" w:rsidP="005F0F9A">
                    <w:pPr>
                      <w:rPr>
                        <w:rFonts w:ascii="Calibri" w:eastAsia="Calibri" w:hAnsi="Calibri" w:cs="Calibri"/>
                        <w:color w:val="000000"/>
                        <w:sz w:val="20"/>
                        <w:szCs w:val="20"/>
                      </w:rPr>
                    </w:pPr>
                    <w:r w:rsidRPr="00A839DD">
                      <w:rPr>
                        <w:rFonts w:ascii="Calibri" w:eastAsia="Calibri" w:hAnsi="Calibri" w:cs="Calibri"/>
                        <w:color w:val="000000"/>
                        <w:sz w:val="20"/>
                        <w:szCs w:val="20"/>
                      </w:rPr>
                      <w:t>Document à diffusion restreinte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F3108" w14:textId="22A395D8" w:rsidR="00911BF3" w:rsidRPr="00A839DD" w:rsidRDefault="00911BF3">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A1701" w14:textId="77777777" w:rsidR="00F67679" w:rsidRPr="00A839DD" w:rsidRDefault="00F67679" w:rsidP="00F67679">
    <w:pPr>
      <w:suppressAutoHyphens w:val="0"/>
      <w:autoSpaceDE/>
      <w:autoSpaceDN/>
      <w:adjustRightInd/>
      <w:jc w:val="right"/>
      <w:textAlignment w:val="auto"/>
      <w:rPr>
        <w:b/>
        <w:sz w:val="18"/>
        <w:szCs w:val="18"/>
      </w:rPr>
    </w:pPr>
    <w:r w:rsidRPr="00A839DD">
      <w:rPr>
        <w:b/>
        <w:bCs/>
        <w:smallCaps/>
        <w:noProof/>
        <w:color w:val="953D89"/>
        <w:sz w:val="18"/>
      </w:rPr>
      <w:drawing>
        <wp:anchor distT="0" distB="0" distL="114300" distR="114300" simplePos="0" relativeHeight="251658250" behindDoc="0" locked="0" layoutInCell="1" allowOverlap="1" wp14:anchorId="1F618278" wp14:editId="7AD6E7DE">
          <wp:simplePos x="0" y="0"/>
          <wp:positionH relativeFrom="column">
            <wp:posOffset>-45720</wp:posOffset>
          </wp:positionH>
          <wp:positionV relativeFrom="page">
            <wp:posOffset>394659</wp:posOffset>
          </wp:positionV>
          <wp:extent cx="331200" cy="331200"/>
          <wp:effectExtent l="0" t="0" r="0" b="0"/>
          <wp:wrapNone/>
          <wp:docPr id="356620159"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A839DD">
      <w:rPr>
        <w:b/>
        <w:sz w:val="18"/>
        <w:szCs w:val="18"/>
      </w:rPr>
      <w:t>L’égalité réelle se fait toujours attendre - 30 ans de plaintes pour discrimination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4400" w14:textId="32E552BB" w:rsidR="00911BF3" w:rsidRPr="00A839DD" w:rsidRDefault="00911B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4EA5" w14:textId="56615864" w:rsidR="006549D4" w:rsidRPr="00A839DD" w:rsidRDefault="00777CA1" w:rsidP="006549D4">
    <w:pPr>
      <w:suppressAutoHyphens w:val="0"/>
      <w:autoSpaceDE/>
      <w:autoSpaceDN/>
      <w:adjustRightInd/>
      <w:jc w:val="center"/>
      <w:textAlignment w:val="auto"/>
      <w:rPr>
        <w:sz w:val="18"/>
        <w:szCs w:val="18"/>
      </w:rPr>
    </w:pPr>
    <w:r w:rsidRPr="00A839DD">
      <w:rPr>
        <w:b/>
        <w:bCs/>
        <w:smallCaps/>
        <w:noProof/>
        <w:color w:val="953D89"/>
        <w:sz w:val="18"/>
      </w:rPr>
      <w:drawing>
        <wp:anchor distT="0" distB="0" distL="114300" distR="114300" simplePos="0" relativeHeight="251658240" behindDoc="0" locked="0" layoutInCell="1" allowOverlap="1" wp14:anchorId="68C80DD8" wp14:editId="3A8FE6BA">
          <wp:simplePos x="0" y="0"/>
          <wp:positionH relativeFrom="column">
            <wp:posOffset>0</wp:posOffset>
          </wp:positionH>
          <wp:positionV relativeFrom="paragraph">
            <wp:posOffset>-635</wp:posOffset>
          </wp:positionV>
          <wp:extent cx="331200" cy="331200"/>
          <wp:effectExtent l="0" t="0" r="0" b="0"/>
          <wp:wrapNone/>
          <wp:docPr id="118284681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p w14:paraId="03A190E9" w14:textId="7711DE41" w:rsidR="00227ED3" w:rsidRPr="00A839DD" w:rsidRDefault="006549D4" w:rsidP="006549D4">
    <w:pPr>
      <w:tabs>
        <w:tab w:val="left" w:pos="4000"/>
        <w:tab w:val="right" w:pos="9972"/>
      </w:tabs>
      <w:suppressAutoHyphens w:val="0"/>
      <w:autoSpaceDE/>
      <w:autoSpaceDN/>
      <w:adjustRightInd/>
      <w:textAlignment w:val="auto"/>
      <w:rPr>
        <w:sz w:val="18"/>
        <w:szCs w:val="18"/>
      </w:rPr>
    </w:pPr>
    <w:r w:rsidRPr="00A839DD">
      <w:rPr>
        <w:sz w:val="18"/>
        <w:szCs w:val="18"/>
      </w:rPr>
      <w:tab/>
    </w:r>
    <w:r w:rsidRPr="00A839DD">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7217" w14:textId="635865C3" w:rsidR="00952F93" w:rsidRPr="00A839DD" w:rsidRDefault="00742371" w:rsidP="00B01FF7">
    <w:pPr>
      <w:pStyle w:val="En-tte"/>
      <w:tabs>
        <w:tab w:val="clear" w:pos="1134"/>
        <w:tab w:val="left" w:pos="8381"/>
      </w:tabs>
      <w:rPr>
        <w:color w:val="001042"/>
      </w:rPr>
    </w:pPr>
    <w:r w:rsidRPr="00A839DD">
      <w:rPr>
        <w:color w:val="001042"/>
      </w:rPr>
      <w:t>Rapport</w:t>
    </w:r>
    <w:r w:rsidR="00B01FF7" w:rsidRPr="00A839DD">
      <w:rPr>
        <w:color w:val="001042"/>
      </w:rPr>
      <w:tab/>
    </w:r>
  </w:p>
  <w:p w14:paraId="3EC5D780" w14:textId="6D099C6C" w:rsidR="00952F93" w:rsidRPr="00A839DD" w:rsidRDefault="000973BC" w:rsidP="00FB315B">
    <w:pPr>
      <w:pStyle w:val="En-tte"/>
      <w:tabs>
        <w:tab w:val="left" w:pos="8940"/>
      </w:tabs>
    </w:pPr>
    <w:r w:rsidRPr="00A839DD">
      <w:rPr>
        <w:noProof/>
        <w:color w:val="001042"/>
      </w:rPr>
      <w:drawing>
        <wp:anchor distT="0" distB="0" distL="0" distR="0" simplePos="0" relativeHeight="251658241" behindDoc="1" locked="0" layoutInCell="1" allowOverlap="1" wp14:anchorId="655F262D" wp14:editId="5FFC455E">
          <wp:simplePos x="0" y="0"/>
          <wp:positionH relativeFrom="page">
            <wp:posOffset>5908059</wp:posOffset>
          </wp:positionH>
          <wp:positionV relativeFrom="page">
            <wp:posOffset>320059</wp:posOffset>
          </wp:positionV>
          <wp:extent cx="1458000" cy="586800"/>
          <wp:effectExtent l="0" t="0" r="8890" b="3810"/>
          <wp:wrapNone/>
          <wp:docPr id="2073904619" name="Image 2073904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4619" name="Image 20739046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58000" cy="586800"/>
                  </a:xfrm>
                  <a:prstGeom prst="rect">
                    <a:avLst/>
                  </a:prstGeom>
                </pic:spPr>
              </pic:pic>
            </a:graphicData>
          </a:graphic>
          <wp14:sizeRelH relativeFrom="margin">
            <wp14:pctWidth>0</wp14:pctWidth>
          </wp14:sizeRelH>
          <wp14:sizeRelV relativeFrom="margin">
            <wp14:pctHeight>0</wp14:pctHeight>
          </wp14:sizeRelV>
        </wp:anchor>
      </w:drawing>
    </w:r>
    <w:r w:rsidR="00093060">
      <w:rPr>
        <w:noProof/>
        <w:color w:val="001042"/>
      </w:rPr>
      <w:t>Mai</w:t>
    </w:r>
    <w:r w:rsidR="00615A72" w:rsidRPr="00A839DD">
      <w:rPr>
        <w:color w:val="001042"/>
      </w:rPr>
      <w:t xml:space="preserve"> </w:t>
    </w:r>
    <w:r w:rsidR="003863FA" w:rsidRPr="00A839DD">
      <w:rPr>
        <w:color w:val="001042"/>
      </w:rPr>
      <w:t>202</w:t>
    </w:r>
    <w:r w:rsidR="00093060">
      <w:rPr>
        <w:color w:val="001042"/>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BD21" w14:textId="6EDB7379" w:rsidR="00911BF3" w:rsidRPr="00A839DD" w:rsidRDefault="00911BF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35EB1" w14:textId="73E9C8CA" w:rsidR="00911BF3" w:rsidRPr="00A839DD" w:rsidRDefault="00911BF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ED60" w14:textId="6F88D189" w:rsidR="0098108A" w:rsidRPr="00A839DD" w:rsidRDefault="0098108A" w:rsidP="000973BC">
    <w:pPr>
      <w:pStyle w:val="En-tte"/>
    </w:pPr>
    <w:r w:rsidRPr="00A839DD">
      <w:rPr>
        <w:b/>
        <w:bCs/>
        <w:smallCaps/>
        <w:noProof/>
        <w:color w:val="953D89"/>
        <w:sz w:val="18"/>
      </w:rPr>
      <w:drawing>
        <wp:anchor distT="0" distB="0" distL="114300" distR="114300" simplePos="0" relativeHeight="251658248" behindDoc="0" locked="0" layoutInCell="1" allowOverlap="1" wp14:anchorId="733C7E01" wp14:editId="6D43D38B">
          <wp:simplePos x="0" y="0"/>
          <wp:positionH relativeFrom="column">
            <wp:posOffset>0</wp:posOffset>
          </wp:positionH>
          <wp:positionV relativeFrom="paragraph">
            <wp:posOffset>-635</wp:posOffset>
          </wp:positionV>
          <wp:extent cx="331200" cy="331200"/>
          <wp:effectExtent l="0" t="0" r="0" b="0"/>
          <wp:wrapNone/>
          <wp:docPr id="184908435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1F9E2" w14:textId="3567123F" w:rsidR="00911BF3" w:rsidRPr="00A839DD" w:rsidRDefault="00911BF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1203" w14:textId="4E33C3A4" w:rsidR="0098108A" w:rsidRPr="00A839DD" w:rsidRDefault="00383DE5" w:rsidP="0098108A">
    <w:pPr>
      <w:suppressAutoHyphens w:val="0"/>
      <w:autoSpaceDE/>
      <w:autoSpaceDN/>
      <w:adjustRightInd/>
      <w:jc w:val="right"/>
      <w:textAlignment w:val="auto"/>
      <w:rPr>
        <w:b/>
        <w:sz w:val="18"/>
        <w:szCs w:val="18"/>
      </w:rPr>
    </w:pPr>
    <w:r w:rsidRPr="00A839DD">
      <w:rPr>
        <w:b/>
        <w:bCs/>
        <w:smallCaps/>
        <w:noProof/>
        <w:color w:val="953D89"/>
        <w:sz w:val="18"/>
      </w:rPr>
      <w:drawing>
        <wp:anchor distT="0" distB="0" distL="114300" distR="114300" simplePos="0" relativeHeight="251658247" behindDoc="0" locked="0" layoutInCell="1" allowOverlap="1" wp14:anchorId="2D3A4E56" wp14:editId="782D719A">
          <wp:simplePos x="0" y="0"/>
          <wp:positionH relativeFrom="column">
            <wp:posOffset>-45720</wp:posOffset>
          </wp:positionH>
          <wp:positionV relativeFrom="page">
            <wp:posOffset>394659</wp:posOffset>
          </wp:positionV>
          <wp:extent cx="331200" cy="331200"/>
          <wp:effectExtent l="0" t="0" r="0" b="0"/>
          <wp:wrapNone/>
          <wp:docPr id="198080988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A839DD">
      <w:rPr>
        <w:b/>
        <w:sz w:val="18"/>
        <w:szCs w:val="18"/>
      </w:rPr>
      <w:t>L’égalité réelle se fait toujours attendre - 30 ans de plaintes pour discrimination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F4F5E" w14:textId="6AC8D382" w:rsidR="00911BF3" w:rsidRPr="00A839DD" w:rsidRDefault="00911B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C6D7D"/>
    <w:multiLevelType w:val="multilevel"/>
    <w:tmpl w:val="F0EAC61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146"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132116E1"/>
    <w:multiLevelType w:val="hybridMultilevel"/>
    <w:tmpl w:val="E460B8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8871E4C"/>
    <w:multiLevelType w:val="hybridMultilevel"/>
    <w:tmpl w:val="6C488040"/>
    <w:lvl w:ilvl="0" w:tplc="91E6C2E0">
      <w:start w:val="1"/>
      <w:numFmt w:val="bullet"/>
      <w:pStyle w:val="Paragraphede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CE32C34"/>
    <w:multiLevelType w:val="hybridMultilevel"/>
    <w:tmpl w:val="2362F3F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D0B20D2"/>
    <w:multiLevelType w:val="hybridMultilevel"/>
    <w:tmpl w:val="B5C84068"/>
    <w:lvl w:ilvl="0" w:tplc="511AEB94">
      <w:start w:val="1"/>
      <w:numFmt w:val="decimal"/>
      <w:pStyle w:val="Puces"/>
      <w:lvlText w:val="1.%1"/>
      <w:lvlJc w:val="left"/>
      <w:pPr>
        <w:ind w:left="720" w:hanging="360"/>
      </w:pPr>
      <w:rPr>
        <w:rFonts w:hint="default"/>
        <w:b/>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653BD6"/>
    <w:multiLevelType w:val="hybridMultilevel"/>
    <w:tmpl w:val="2334CA06"/>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14948F1"/>
    <w:multiLevelType w:val="hybridMultilevel"/>
    <w:tmpl w:val="F43422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14D61A4"/>
    <w:multiLevelType w:val="hybridMultilevel"/>
    <w:tmpl w:val="E9F4C762"/>
    <w:lvl w:ilvl="0" w:tplc="74DEDA94">
      <w:start w:val="1"/>
      <w:numFmt w:val="decimal"/>
      <w:lvlText w:val="%1."/>
      <w:lvlJc w:val="left"/>
      <w:pPr>
        <w:ind w:left="720" w:hanging="360"/>
      </w:pPr>
      <w:rPr>
        <w:rFonts w:ascii="Aptos" w:hAnsi="Aptos" w:hint="default"/>
        <w:caps w:val="0"/>
        <w:strike w:val="0"/>
        <w:dstrike w:val="0"/>
        <w:vanish w:val="0"/>
        <w:sz w:val="22"/>
        <w:szCs w:val="22"/>
        <w:u w:color="00104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3264764"/>
    <w:multiLevelType w:val="hybridMultilevel"/>
    <w:tmpl w:val="2D7C6FA2"/>
    <w:lvl w:ilvl="0" w:tplc="137AAAA0">
      <w:start w:val="1"/>
      <w:numFmt w:val="decimal"/>
      <w:lvlText w:val="%1."/>
      <w:lvlJc w:val="left"/>
      <w:pPr>
        <w:ind w:left="720" w:hanging="360"/>
      </w:pPr>
      <w:rPr>
        <w:rFonts w:ascii="Aptos" w:hAnsi="Aptos" w:hint="default"/>
        <w:caps w:val="0"/>
        <w:strike w:val="0"/>
        <w:dstrike w:val="0"/>
        <w:vanish w:val="0"/>
        <w:sz w:val="22"/>
        <w:szCs w:val="22"/>
        <w:u w:color="00104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9C83BC2"/>
    <w:multiLevelType w:val="hybridMultilevel"/>
    <w:tmpl w:val="927661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F76272C"/>
    <w:multiLevelType w:val="hybridMultilevel"/>
    <w:tmpl w:val="445E59EE"/>
    <w:lvl w:ilvl="0" w:tplc="2996DE4E">
      <w:start w:val="1"/>
      <w:numFmt w:val="bullet"/>
      <w:pStyle w:val="puces0"/>
      <w:lvlText w:val=""/>
      <w:lvlJc w:val="left"/>
      <w:pPr>
        <w:ind w:left="1428" w:hanging="360"/>
      </w:pPr>
      <w:rPr>
        <w:rFonts w:ascii="Wingdings" w:hAnsi="Wingdings" w:hint="default"/>
        <w:caps w:val="0"/>
        <w:strike w:val="0"/>
        <w:dstrike w:val="0"/>
        <w:vanish w:val="0"/>
        <w:color w:val="001042"/>
        <w:vertAlign w:val="baseline"/>
      </w:rPr>
    </w:lvl>
    <w:lvl w:ilvl="1" w:tplc="0C0C0003">
      <w:start w:val="1"/>
      <w:numFmt w:val="bullet"/>
      <w:lvlText w:val="o"/>
      <w:lvlJc w:val="left"/>
      <w:pPr>
        <w:ind w:left="2148" w:hanging="360"/>
      </w:pPr>
      <w:rPr>
        <w:rFonts w:ascii="Courier New" w:hAnsi="Courier New" w:cs="Courier New" w:hint="default"/>
      </w:rPr>
    </w:lvl>
    <w:lvl w:ilvl="2" w:tplc="86EC94DE">
      <w:numFmt w:val="bullet"/>
      <w:lvlText w:val="•"/>
      <w:lvlJc w:val="left"/>
      <w:pPr>
        <w:ind w:left="2938" w:hanging="430"/>
      </w:pPr>
      <w:rPr>
        <w:rFonts w:ascii="Calibri" w:eastAsia="Times New Roman" w:hAnsi="Calibri" w:cs="Calibri"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1" w15:restartNumberingAfterBreak="0">
    <w:nsid w:val="62134273"/>
    <w:multiLevelType w:val="hybridMultilevel"/>
    <w:tmpl w:val="B05429F8"/>
    <w:lvl w:ilvl="0" w:tplc="517211DC">
      <w:start w:val="1"/>
      <w:numFmt w:val="upperLetter"/>
      <w:pStyle w:val="Titre4"/>
      <w:lvlText w:val="%1."/>
      <w:lvlJc w:val="left"/>
      <w:pPr>
        <w:ind w:left="360" w:hanging="360"/>
      </w:pPr>
      <w:rPr>
        <w:rFonts w:ascii="Aptos" w:hAnsi="Aptos" w:hint="default"/>
        <w:b/>
        <w:i w:val="0"/>
        <w:caps w:val="0"/>
        <w:strike w:val="0"/>
        <w:dstrike w:val="0"/>
        <w:vanish w:val="0"/>
        <w:sz w:val="22"/>
        <w:szCs w:val="22"/>
        <w:u w:color="953D89"/>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6761A8D"/>
    <w:multiLevelType w:val="hybridMultilevel"/>
    <w:tmpl w:val="B8C4D790"/>
    <w:lvl w:ilvl="0" w:tplc="32789262">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A076876"/>
    <w:multiLevelType w:val="hybridMultilevel"/>
    <w:tmpl w:val="7DE64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BBF4486"/>
    <w:multiLevelType w:val="hybridMultilevel"/>
    <w:tmpl w:val="2FAE95B0"/>
    <w:lvl w:ilvl="0" w:tplc="FE5EFF76">
      <w:start w:val="1"/>
      <w:numFmt w:val="decimal"/>
      <w:lvlText w:val="%1."/>
      <w:lvlJc w:val="left"/>
      <w:pPr>
        <w:ind w:left="720" w:hanging="360"/>
      </w:pPr>
      <w:rPr>
        <w:rFonts w:ascii="Aptos" w:hAnsi="Aptos" w:hint="default"/>
        <w:caps w:val="0"/>
        <w:strike w:val="0"/>
        <w:dstrike w:val="0"/>
        <w:vanish w:val="0"/>
        <w:sz w:val="22"/>
        <w:szCs w:val="22"/>
        <w:u w:color="00104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E7302D8"/>
    <w:multiLevelType w:val="hybridMultilevel"/>
    <w:tmpl w:val="EB60635E"/>
    <w:lvl w:ilvl="0" w:tplc="5BD08CF4">
      <w:numFmt w:val="bullet"/>
      <w:lvlText w:val="-"/>
      <w:lvlJc w:val="left"/>
      <w:pPr>
        <w:ind w:left="720" w:hanging="360"/>
      </w:pPr>
      <w:rPr>
        <w:rFonts w:ascii="Aptos" w:eastAsia="Times New Roman" w:hAnsi="Aptos" w:cs="Segoe U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7BE7779"/>
    <w:multiLevelType w:val="hybridMultilevel"/>
    <w:tmpl w:val="6206D7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18746173">
    <w:abstractNumId w:val="4"/>
  </w:num>
  <w:num w:numId="2" w16cid:durableId="351691130">
    <w:abstractNumId w:val="10"/>
  </w:num>
  <w:num w:numId="3" w16cid:durableId="333847793">
    <w:abstractNumId w:val="0"/>
  </w:num>
  <w:num w:numId="4" w16cid:durableId="1743067496">
    <w:abstractNumId w:val="14"/>
  </w:num>
  <w:num w:numId="5" w16cid:durableId="1706952263">
    <w:abstractNumId w:val="5"/>
  </w:num>
  <w:num w:numId="6" w16cid:durableId="1502037820">
    <w:abstractNumId w:val="2"/>
  </w:num>
  <w:num w:numId="7" w16cid:durableId="2056154">
    <w:abstractNumId w:val="12"/>
  </w:num>
  <w:num w:numId="8" w16cid:durableId="1039472933">
    <w:abstractNumId w:val="8"/>
  </w:num>
  <w:num w:numId="9" w16cid:durableId="382994737">
    <w:abstractNumId w:val="7"/>
  </w:num>
  <w:num w:numId="10" w16cid:durableId="1437409270">
    <w:abstractNumId w:val="11"/>
  </w:num>
  <w:num w:numId="11" w16cid:durableId="1407148530">
    <w:abstractNumId w:val="11"/>
    <w:lvlOverride w:ilvl="0">
      <w:startOverride w:val="1"/>
    </w:lvlOverride>
  </w:num>
  <w:num w:numId="12" w16cid:durableId="578713693">
    <w:abstractNumId w:val="11"/>
    <w:lvlOverride w:ilvl="0">
      <w:startOverride w:val="1"/>
    </w:lvlOverride>
  </w:num>
  <w:num w:numId="13" w16cid:durableId="81417134">
    <w:abstractNumId w:val="11"/>
    <w:lvlOverride w:ilvl="0">
      <w:startOverride w:val="1"/>
    </w:lvlOverride>
  </w:num>
  <w:num w:numId="14" w16cid:durableId="1421950856">
    <w:abstractNumId w:val="11"/>
    <w:lvlOverride w:ilvl="0">
      <w:startOverride w:val="1"/>
    </w:lvlOverride>
  </w:num>
  <w:num w:numId="15" w16cid:durableId="2053378084">
    <w:abstractNumId w:val="11"/>
  </w:num>
  <w:num w:numId="16" w16cid:durableId="74013535">
    <w:abstractNumId w:val="11"/>
    <w:lvlOverride w:ilvl="0">
      <w:startOverride w:val="1"/>
    </w:lvlOverride>
  </w:num>
  <w:num w:numId="17" w16cid:durableId="1641380690">
    <w:abstractNumId w:val="11"/>
    <w:lvlOverride w:ilvl="0">
      <w:startOverride w:val="1"/>
    </w:lvlOverride>
  </w:num>
  <w:num w:numId="18" w16cid:durableId="169756586">
    <w:abstractNumId w:val="11"/>
  </w:num>
  <w:num w:numId="19" w16cid:durableId="691952149">
    <w:abstractNumId w:val="11"/>
    <w:lvlOverride w:ilvl="0">
      <w:startOverride w:val="1"/>
    </w:lvlOverride>
  </w:num>
  <w:num w:numId="20" w16cid:durableId="1960062091">
    <w:abstractNumId w:val="0"/>
  </w:num>
  <w:num w:numId="21" w16cid:durableId="436870626">
    <w:abstractNumId w:val="0"/>
  </w:num>
  <w:num w:numId="22" w16cid:durableId="1716271009">
    <w:abstractNumId w:val="0"/>
  </w:num>
  <w:num w:numId="23" w16cid:durableId="1085348362">
    <w:abstractNumId w:val="0"/>
  </w:num>
  <w:num w:numId="24" w16cid:durableId="57479740">
    <w:abstractNumId w:val="9"/>
  </w:num>
  <w:num w:numId="25" w16cid:durableId="306478566">
    <w:abstractNumId w:val="6"/>
  </w:num>
  <w:num w:numId="26" w16cid:durableId="1962565188">
    <w:abstractNumId w:val="3"/>
  </w:num>
  <w:num w:numId="27" w16cid:durableId="939024243">
    <w:abstractNumId w:val="1"/>
  </w:num>
  <w:num w:numId="28" w16cid:durableId="295112139">
    <w:abstractNumId w:val="13"/>
  </w:num>
  <w:num w:numId="29" w16cid:durableId="2047367566">
    <w:abstractNumId w:val="16"/>
  </w:num>
  <w:num w:numId="30" w16cid:durableId="47048951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ec+gVZyvi3pLdEPuw8BSauuQbodBDlzE2tFlagptI2qB1zgen0MzYzOztqZWzADtNHUcsDFHlhV90SGLnKtQw==" w:salt="KJqjU9sTrZvMkHIZk0qCJ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9D"/>
    <w:rsid w:val="00000096"/>
    <w:rsid w:val="000004AB"/>
    <w:rsid w:val="000004DD"/>
    <w:rsid w:val="00000672"/>
    <w:rsid w:val="000007A5"/>
    <w:rsid w:val="000009AF"/>
    <w:rsid w:val="00000A07"/>
    <w:rsid w:val="00000B20"/>
    <w:rsid w:val="00000B49"/>
    <w:rsid w:val="00000E2B"/>
    <w:rsid w:val="00000F45"/>
    <w:rsid w:val="000010EA"/>
    <w:rsid w:val="0000115D"/>
    <w:rsid w:val="00001707"/>
    <w:rsid w:val="000017C2"/>
    <w:rsid w:val="00001902"/>
    <w:rsid w:val="00001A60"/>
    <w:rsid w:val="00001EFF"/>
    <w:rsid w:val="00002030"/>
    <w:rsid w:val="000028D3"/>
    <w:rsid w:val="0000298B"/>
    <w:rsid w:val="000029AF"/>
    <w:rsid w:val="00002CB6"/>
    <w:rsid w:val="00002F9C"/>
    <w:rsid w:val="00003280"/>
    <w:rsid w:val="000032C1"/>
    <w:rsid w:val="00003461"/>
    <w:rsid w:val="00003472"/>
    <w:rsid w:val="00003495"/>
    <w:rsid w:val="000034F4"/>
    <w:rsid w:val="000037DD"/>
    <w:rsid w:val="0000385A"/>
    <w:rsid w:val="00003BBA"/>
    <w:rsid w:val="00003E0A"/>
    <w:rsid w:val="00003E7C"/>
    <w:rsid w:val="00003E7F"/>
    <w:rsid w:val="00003F6B"/>
    <w:rsid w:val="00003FF7"/>
    <w:rsid w:val="00004254"/>
    <w:rsid w:val="00004484"/>
    <w:rsid w:val="000044AA"/>
    <w:rsid w:val="00004516"/>
    <w:rsid w:val="00004948"/>
    <w:rsid w:val="00004CA7"/>
    <w:rsid w:val="00004E1F"/>
    <w:rsid w:val="00004E41"/>
    <w:rsid w:val="000050EE"/>
    <w:rsid w:val="000050F8"/>
    <w:rsid w:val="00005563"/>
    <w:rsid w:val="0000562C"/>
    <w:rsid w:val="00005642"/>
    <w:rsid w:val="0000584E"/>
    <w:rsid w:val="00005AB0"/>
    <w:rsid w:val="00005D32"/>
    <w:rsid w:val="00006026"/>
    <w:rsid w:val="00006179"/>
    <w:rsid w:val="00006401"/>
    <w:rsid w:val="0000646A"/>
    <w:rsid w:val="0000656E"/>
    <w:rsid w:val="000065A9"/>
    <w:rsid w:val="0000669F"/>
    <w:rsid w:val="000067FB"/>
    <w:rsid w:val="000068D2"/>
    <w:rsid w:val="00006A5D"/>
    <w:rsid w:val="00006B86"/>
    <w:rsid w:val="00006B93"/>
    <w:rsid w:val="00006BDE"/>
    <w:rsid w:val="00006C50"/>
    <w:rsid w:val="00006D18"/>
    <w:rsid w:val="00006EAD"/>
    <w:rsid w:val="00006F9F"/>
    <w:rsid w:val="00007096"/>
    <w:rsid w:val="0000712D"/>
    <w:rsid w:val="000072A9"/>
    <w:rsid w:val="000074D6"/>
    <w:rsid w:val="00007831"/>
    <w:rsid w:val="00007B29"/>
    <w:rsid w:val="00007C6C"/>
    <w:rsid w:val="00007C6E"/>
    <w:rsid w:val="00007E17"/>
    <w:rsid w:val="00010011"/>
    <w:rsid w:val="0001021F"/>
    <w:rsid w:val="000105A2"/>
    <w:rsid w:val="00010942"/>
    <w:rsid w:val="000109A4"/>
    <w:rsid w:val="00010AEC"/>
    <w:rsid w:val="00010AF9"/>
    <w:rsid w:val="00010BAC"/>
    <w:rsid w:val="00010C3E"/>
    <w:rsid w:val="00010E11"/>
    <w:rsid w:val="000111DB"/>
    <w:rsid w:val="00011302"/>
    <w:rsid w:val="00011378"/>
    <w:rsid w:val="000114A1"/>
    <w:rsid w:val="00011566"/>
    <w:rsid w:val="0001166E"/>
    <w:rsid w:val="000116F3"/>
    <w:rsid w:val="00011A1F"/>
    <w:rsid w:val="00011B56"/>
    <w:rsid w:val="00011BE7"/>
    <w:rsid w:val="00011D02"/>
    <w:rsid w:val="00011EB2"/>
    <w:rsid w:val="00011F9D"/>
    <w:rsid w:val="0001212D"/>
    <w:rsid w:val="000123E2"/>
    <w:rsid w:val="0001240A"/>
    <w:rsid w:val="00012617"/>
    <w:rsid w:val="00012A8D"/>
    <w:rsid w:val="00012C43"/>
    <w:rsid w:val="00012F8E"/>
    <w:rsid w:val="000132F9"/>
    <w:rsid w:val="00013457"/>
    <w:rsid w:val="0001355A"/>
    <w:rsid w:val="00013874"/>
    <w:rsid w:val="00013B6D"/>
    <w:rsid w:val="00013D93"/>
    <w:rsid w:val="00013DBD"/>
    <w:rsid w:val="00013EEB"/>
    <w:rsid w:val="00014338"/>
    <w:rsid w:val="00014396"/>
    <w:rsid w:val="0001495A"/>
    <w:rsid w:val="00014994"/>
    <w:rsid w:val="000149DD"/>
    <w:rsid w:val="00014A18"/>
    <w:rsid w:val="00014B90"/>
    <w:rsid w:val="00014E19"/>
    <w:rsid w:val="00014F41"/>
    <w:rsid w:val="000150DA"/>
    <w:rsid w:val="000153A2"/>
    <w:rsid w:val="000153FF"/>
    <w:rsid w:val="0001594E"/>
    <w:rsid w:val="00015EEB"/>
    <w:rsid w:val="00016012"/>
    <w:rsid w:val="0001629D"/>
    <w:rsid w:val="00016363"/>
    <w:rsid w:val="00016583"/>
    <w:rsid w:val="000166E7"/>
    <w:rsid w:val="00016A41"/>
    <w:rsid w:val="00016AEB"/>
    <w:rsid w:val="00016B50"/>
    <w:rsid w:val="00016BEC"/>
    <w:rsid w:val="00016F38"/>
    <w:rsid w:val="00017181"/>
    <w:rsid w:val="000172DB"/>
    <w:rsid w:val="000172E1"/>
    <w:rsid w:val="000176E3"/>
    <w:rsid w:val="0001794D"/>
    <w:rsid w:val="00017BED"/>
    <w:rsid w:val="00017F9B"/>
    <w:rsid w:val="00020016"/>
    <w:rsid w:val="0002004C"/>
    <w:rsid w:val="000200BC"/>
    <w:rsid w:val="0002062D"/>
    <w:rsid w:val="000206A4"/>
    <w:rsid w:val="00020891"/>
    <w:rsid w:val="00020950"/>
    <w:rsid w:val="00020A46"/>
    <w:rsid w:val="00020C42"/>
    <w:rsid w:val="00020D28"/>
    <w:rsid w:val="00020ED1"/>
    <w:rsid w:val="00021064"/>
    <w:rsid w:val="00021167"/>
    <w:rsid w:val="000215DD"/>
    <w:rsid w:val="00021614"/>
    <w:rsid w:val="00021965"/>
    <w:rsid w:val="00021AE2"/>
    <w:rsid w:val="00021D14"/>
    <w:rsid w:val="00021D40"/>
    <w:rsid w:val="00021E0B"/>
    <w:rsid w:val="00021E82"/>
    <w:rsid w:val="00021EB7"/>
    <w:rsid w:val="00021EE0"/>
    <w:rsid w:val="00022076"/>
    <w:rsid w:val="000220C7"/>
    <w:rsid w:val="00022135"/>
    <w:rsid w:val="00022583"/>
    <w:rsid w:val="000225B7"/>
    <w:rsid w:val="00022C44"/>
    <w:rsid w:val="00022E13"/>
    <w:rsid w:val="00022F18"/>
    <w:rsid w:val="0002312E"/>
    <w:rsid w:val="00023139"/>
    <w:rsid w:val="0002330C"/>
    <w:rsid w:val="0002332F"/>
    <w:rsid w:val="000236FA"/>
    <w:rsid w:val="0002379A"/>
    <w:rsid w:val="000237C0"/>
    <w:rsid w:val="000237D4"/>
    <w:rsid w:val="00023869"/>
    <w:rsid w:val="00023A4D"/>
    <w:rsid w:val="00023B6B"/>
    <w:rsid w:val="00023B82"/>
    <w:rsid w:val="00023BDE"/>
    <w:rsid w:val="00023CB8"/>
    <w:rsid w:val="00023CC8"/>
    <w:rsid w:val="00023DFD"/>
    <w:rsid w:val="0002446A"/>
    <w:rsid w:val="00024491"/>
    <w:rsid w:val="00024643"/>
    <w:rsid w:val="00024723"/>
    <w:rsid w:val="00024748"/>
    <w:rsid w:val="000247A0"/>
    <w:rsid w:val="000247A8"/>
    <w:rsid w:val="0002482A"/>
    <w:rsid w:val="000248F8"/>
    <w:rsid w:val="00024C47"/>
    <w:rsid w:val="00024DAA"/>
    <w:rsid w:val="0002502A"/>
    <w:rsid w:val="00025046"/>
    <w:rsid w:val="0002513E"/>
    <w:rsid w:val="00025289"/>
    <w:rsid w:val="00025414"/>
    <w:rsid w:val="00025481"/>
    <w:rsid w:val="00025543"/>
    <w:rsid w:val="000256A5"/>
    <w:rsid w:val="000257AA"/>
    <w:rsid w:val="00025875"/>
    <w:rsid w:val="000258A7"/>
    <w:rsid w:val="00025948"/>
    <w:rsid w:val="00025AC7"/>
    <w:rsid w:val="00025B28"/>
    <w:rsid w:val="00025CD9"/>
    <w:rsid w:val="00025E92"/>
    <w:rsid w:val="00026084"/>
    <w:rsid w:val="00026154"/>
    <w:rsid w:val="0002616A"/>
    <w:rsid w:val="000261C1"/>
    <w:rsid w:val="000261D5"/>
    <w:rsid w:val="0002687D"/>
    <w:rsid w:val="0002691C"/>
    <w:rsid w:val="00026E13"/>
    <w:rsid w:val="00026E34"/>
    <w:rsid w:val="00026E92"/>
    <w:rsid w:val="00026EE5"/>
    <w:rsid w:val="00026FE9"/>
    <w:rsid w:val="00027581"/>
    <w:rsid w:val="00027641"/>
    <w:rsid w:val="000278AD"/>
    <w:rsid w:val="000279C3"/>
    <w:rsid w:val="000279E9"/>
    <w:rsid w:val="00027A00"/>
    <w:rsid w:val="00027A48"/>
    <w:rsid w:val="00027C12"/>
    <w:rsid w:val="00027C96"/>
    <w:rsid w:val="00027DD1"/>
    <w:rsid w:val="00027FE8"/>
    <w:rsid w:val="000300D1"/>
    <w:rsid w:val="0003011E"/>
    <w:rsid w:val="000303EA"/>
    <w:rsid w:val="000304BE"/>
    <w:rsid w:val="000304F0"/>
    <w:rsid w:val="0003088B"/>
    <w:rsid w:val="00030997"/>
    <w:rsid w:val="00030B7E"/>
    <w:rsid w:val="00030CD6"/>
    <w:rsid w:val="00030CDC"/>
    <w:rsid w:val="000314C9"/>
    <w:rsid w:val="00031556"/>
    <w:rsid w:val="0003161A"/>
    <w:rsid w:val="0003165C"/>
    <w:rsid w:val="0003179E"/>
    <w:rsid w:val="000319BA"/>
    <w:rsid w:val="00031E57"/>
    <w:rsid w:val="00031ED2"/>
    <w:rsid w:val="00032075"/>
    <w:rsid w:val="00032236"/>
    <w:rsid w:val="000323AB"/>
    <w:rsid w:val="000323BE"/>
    <w:rsid w:val="00032656"/>
    <w:rsid w:val="00032994"/>
    <w:rsid w:val="00032ACB"/>
    <w:rsid w:val="00032D24"/>
    <w:rsid w:val="00032E0F"/>
    <w:rsid w:val="0003300D"/>
    <w:rsid w:val="0003318B"/>
    <w:rsid w:val="0003325A"/>
    <w:rsid w:val="000333B7"/>
    <w:rsid w:val="0003342D"/>
    <w:rsid w:val="0003378E"/>
    <w:rsid w:val="0003379B"/>
    <w:rsid w:val="000339D0"/>
    <w:rsid w:val="00033B87"/>
    <w:rsid w:val="00033CA3"/>
    <w:rsid w:val="00033EE9"/>
    <w:rsid w:val="000340CF"/>
    <w:rsid w:val="00034177"/>
    <w:rsid w:val="00034374"/>
    <w:rsid w:val="00034673"/>
    <w:rsid w:val="00034685"/>
    <w:rsid w:val="000347C0"/>
    <w:rsid w:val="0003493A"/>
    <w:rsid w:val="00034B99"/>
    <w:rsid w:val="00034C25"/>
    <w:rsid w:val="000350CB"/>
    <w:rsid w:val="000350ED"/>
    <w:rsid w:val="00035143"/>
    <w:rsid w:val="000351B8"/>
    <w:rsid w:val="000352BD"/>
    <w:rsid w:val="000352D8"/>
    <w:rsid w:val="0003538E"/>
    <w:rsid w:val="00035786"/>
    <w:rsid w:val="0003590A"/>
    <w:rsid w:val="000359B8"/>
    <w:rsid w:val="0003611E"/>
    <w:rsid w:val="0003616E"/>
    <w:rsid w:val="00036344"/>
    <w:rsid w:val="00036407"/>
    <w:rsid w:val="0003657F"/>
    <w:rsid w:val="0003660C"/>
    <w:rsid w:val="000366C2"/>
    <w:rsid w:val="00036A19"/>
    <w:rsid w:val="00036AC0"/>
    <w:rsid w:val="00036C40"/>
    <w:rsid w:val="00036E30"/>
    <w:rsid w:val="00036F44"/>
    <w:rsid w:val="00037376"/>
    <w:rsid w:val="0003742A"/>
    <w:rsid w:val="000374E3"/>
    <w:rsid w:val="000376D4"/>
    <w:rsid w:val="00037A31"/>
    <w:rsid w:val="00037C27"/>
    <w:rsid w:val="00037D75"/>
    <w:rsid w:val="00037DFF"/>
    <w:rsid w:val="00037E2C"/>
    <w:rsid w:val="000401A7"/>
    <w:rsid w:val="000401BC"/>
    <w:rsid w:val="0004033F"/>
    <w:rsid w:val="000404E7"/>
    <w:rsid w:val="00040532"/>
    <w:rsid w:val="000406A5"/>
    <w:rsid w:val="000406C8"/>
    <w:rsid w:val="000406E9"/>
    <w:rsid w:val="0004088D"/>
    <w:rsid w:val="00040B19"/>
    <w:rsid w:val="00040B36"/>
    <w:rsid w:val="00040B48"/>
    <w:rsid w:val="00040C3E"/>
    <w:rsid w:val="00040D44"/>
    <w:rsid w:val="00040DBE"/>
    <w:rsid w:val="00040FAA"/>
    <w:rsid w:val="0004103C"/>
    <w:rsid w:val="00041047"/>
    <w:rsid w:val="0004130E"/>
    <w:rsid w:val="0004147F"/>
    <w:rsid w:val="000414B4"/>
    <w:rsid w:val="00041756"/>
    <w:rsid w:val="00041808"/>
    <w:rsid w:val="00041832"/>
    <w:rsid w:val="00041873"/>
    <w:rsid w:val="00042014"/>
    <w:rsid w:val="00042194"/>
    <w:rsid w:val="000424EB"/>
    <w:rsid w:val="0004252A"/>
    <w:rsid w:val="000426D7"/>
    <w:rsid w:val="000427BC"/>
    <w:rsid w:val="00042821"/>
    <w:rsid w:val="00042843"/>
    <w:rsid w:val="0004287A"/>
    <w:rsid w:val="000428C0"/>
    <w:rsid w:val="00042E37"/>
    <w:rsid w:val="00042F92"/>
    <w:rsid w:val="000430C6"/>
    <w:rsid w:val="000431C8"/>
    <w:rsid w:val="0004330B"/>
    <w:rsid w:val="00043542"/>
    <w:rsid w:val="0004379B"/>
    <w:rsid w:val="000437F4"/>
    <w:rsid w:val="000437F8"/>
    <w:rsid w:val="000438BB"/>
    <w:rsid w:val="00043BA3"/>
    <w:rsid w:val="00043BF2"/>
    <w:rsid w:val="00043CA5"/>
    <w:rsid w:val="00043E0A"/>
    <w:rsid w:val="00043E8B"/>
    <w:rsid w:val="000441E8"/>
    <w:rsid w:val="00044371"/>
    <w:rsid w:val="0004449B"/>
    <w:rsid w:val="00044524"/>
    <w:rsid w:val="0004471A"/>
    <w:rsid w:val="00044781"/>
    <w:rsid w:val="0004491D"/>
    <w:rsid w:val="00044EFF"/>
    <w:rsid w:val="00044F68"/>
    <w:rsid w:val="00045042"/>
    <w:rsid w:val="00045223"/>
    <w:rsid w:val="00045560"/>
    <w:rsid w:val="00045770"/>
    <w:rsid w:val="00045B04"/>
    <w:rsid w:val="00045B47"/>
    <w:rsid w:val="00045CC9"/>
    <w:rsid w:val="00045D2F"/>
    <w:rsid w:val="000461A0"/>
    <w:rsid w:val="000461C3"/>
    <w:rsid w:val="0004624C"/>
    <w:rsid w:val="00046440"/>
    <w:rsid w:val="00046519"/>
    <w:rsid w:val="00046707"/>
    <w:rsid w:val="000467F8"/>
    <w:rsid w:val="00046918"/>
    <w:rsid w:val="00046B63"/>
    <w:rsid w:val="00046E6B"/>
    <w:rsid w:val="00046E8A"/>
    <w:rsid w:val="00047065"/>
    <w:rsid w:val="000470D1"/>
    <w:rsid w:val="000470E0"/>
    <w:rsid w:val="00047498"/>
    <w:rsid w:val="000474CD"/>
    <w:rsid w:val="0004780F"/>
    <w:rsid w:val="0004781D"/>
    <w:rsid w:val="0005010E"/>
    <w:rsid w:val="00050773"/>
    <w:rsid w:val="0005084E"/>
    <w:rsid w:val="00050920"/>
    <w:rsid w:val="00050B4E"/>
    <w:rsid w:val="00050B94"/>
    <w:rsid w:val="00050C2E"/>
    <w:rsid w:val="00050DE5"/>
    <w:rsid w:val="00050FF6"/>
    <w:rsid w:val="000511B2"/>
    <w:rsid w:val="0005129B"/>
    <w:rsid w:val="00051516"/>
    <w:rsid w:val="0005167A"/>
    <w:rsid w:val="0005176A"/>
    <w:rsid w:val="00051B74"/>
    <w:rsid w:val="00051F25"/>
    <w:rsid w:val="00052097"/>
    <w:rsid w:val="000520A2"/>
    <w:rsid w:val="000521FC"/>
    <w:rsid w:val="00052301"/>
    <w:rsid w:val="0005265D"/>
    <w:rsid w:val="00052A1C"/>
    <w:rsid w:val="00052ADE"/>
    <w:rsid w:val="00052FEA"/>
    <w:rsid w:val="00053288"/>
    <w:rsid w:val="0005337D"/>
    <w:rsid w:val="000534EF"/>
    <w:rsid w:val="000536CD"/>
    <w:rsid w:val="00053923"/>
    <w:rsid w:val="000539DA"/>
    <w:rsid w:val="00053AA4"/>
    <w:rsid w:val="00053B98"/>
    <w:rsid w:val="00053BFB"/>
    <w:rsid w:val="00053C2E"/>
    <w:rsid w:val="00053FEC"/>
    <w:rsid w:val="00054099"/>
    <w:rsid w:val="00054157"/>
    <w:rsid w:val="000544C2"/>
    <w:rsid w:val="00054A21"/>
    <w:rsid w:val="00054AAE"/>
    <w:rsid w:val="00054BBA"/>
    <w:rsid w:val="00054C43"/>
    <w:rsid w:val="00054CA2"/>
    <w:rsid w:val="00054DC5"/>
    <w:rsid w:val="00054F87"/>
    <w:rsid w:val="00055179"/>
    <w:rsid w:val="000552A9"/>
    <w:rsid w:val="000552AB"/>
    <w:rsid w:val="000553D2"/>
    <w:rsid w:val="0005545C"/>
    <w:rsid w:val="0005551D"/>
    <w:rsid w:val="0005552D"/>
    <w:rsid w:val="00055806"/>
    <w:rsid w:val="000559CA"/>
    <w:rsid w:val="000559E3"/>
    <w:rsid w:val="00055A87"/>
    <w:rsid w:val="00055BA2"/>
    <w:rsid w:val="00055CDC"/>
    <w:rsid w:val="00055E42"/>
    <w:rsid w:val="00055E72"/>
    <w:rsid w:val="00056347"/>
    <w:rsid w:val="0005667D"/>
    <w:rsid w:val="00056B9B"/>
    <w:rsid w:val="00056D0A"/>
    <w:rsid w:val="00056DD7"/>
    <w:rsid w:val="00056E78"/>
    <w:rsid w:val="00056E79"/>
    <w:rsid w:val="00056F95"/>
    <w:rsid w:val="000571BB"/>
    <w:rsid w:val="00057387"/>
    <w:rsid w:val="000573CB"/>
    <w:rsid w:val="00057405"/>
    <w:rsid w:val="000577D4"/>
    <w:rsid w:val="00057EA2"/>
    <w:rsid w:val="00057EED"/>
    <w:rsid w:val="00057F84"/>
    <w:rsid w:val="00057FDA"/>
    <w:rsid w:val="00060084"/>
    <w:rsid w:val="0006023F"/>
    <w:rsid w:val="00060255"/>
    <w:rsid w:val="000603BA"/>
    <w:rsid w:val="000605D4"/>
    <w:rsid w:val="00060602"/>
    <w:rsid w:val="00060724"/>
    <w:rsid w:val="000609A9"/>
    <w:rsid w:val="00060A94"/>
    <w:rsid w:val="00060B55"/>
    <w:rsid w:val="00060C5E"/>
    <w:rsid w:val="00060C83"/>
    <w:rsid w:val="00060E0D"/>
    <w:rsid w:val="00060EF8"/>
    <w:rsid w:val="000610DA"/>
    <w:rsid w:val="00061218"/>
    <w:rsid w:val="000612F7"/>
    <w:rsid w:val="0006154C"/>
    <w:rsid w:val="00061960"/>
    <w:rsid w:val="00061EA1"/>
    <w:rsid w:val="00061F5A"/>
    <w:rsid w:val="00061FBC"/>
    <w:rsid w:val="0006247E"/>
    <w:rsid w:val="00062496"/>
    <w:rsid w:val="00062686"/>
    <w:rsid w:val="00062772"/>
    <w:rsid w:val="00062795"/>
    <w:rsid w:val="00062979"/>
    <w:rsid w:val="0006309A"/>
    <w:rsid w:val="000630C5"/>
    <w:rsid w:val="000632A3"/>
    <w:rsid w:val="00063341"/>
    <w:rsid w:val="0006339A"/>
    <w:rsid w:val="000633E9"/>
    <w:rsid w:val="0006353D"/>
    <w:rsid w:val="000638AB"/>
    <w:rsid w:val="000638D0"/>
    <w:rsid w:val="000639FF"/>
    <w:rsid w:val="00063B7D"/>
    <w:rsid w:val="00063DB3"/>
    <w:rsid w:val="000641D7"/>
    <w:rsid w:val="00064211"/>
    <w:rsid w:val="00064980"/>
    <w:rsid w:val="00064AA8"/>
    <w:rsid w:val="00064B5E"/>
    <w:rsid w:val="00064C78"/>
    <w:rsid w:val="00064D5A"/>
    <w:rsid w:val="00064F9E"/>
    <w:rsid w:val="00065252"/>
    <w:rsid w:val="00065288"/>
    <w:rsid w:val="0006542A"/>
    <w:rsid w:val="0006563D"/>
    <w:rsid w:val="00065808"/>
    <w:rsid w:val="00065A07"/>
    <w:rsid w:val="00065AC4"/>
    <w:rsid w:val="0006609F"/>
    <w:rsid w:val="00066130"/>
    <w:rsid w:val="0006636F"/>
    <w:rsid w:val="000665D2"/>
    <w:rsid w:val="0006664E"/>
    <w:rsid w:val="000668A5"/>
    <w:rsid w:val="00066989"/>
    <w:rsid w:val="00066A85"/>
    <w:rsid w:val="00066DB8"/>
    <w:rsid w:val="00066DE9"/>
    <w:rsid w:val="000670F4"/>
    <w:rsid w:val="0006751A"/>
    <w:rsid w:val="000675A4"/>
    <w:rsid w:val="000675F5"/>
    <w:rsid w:val="00067A57"/>
    <w:rsid w:val="00067BF7"/>
    <w:rsid w:val="00067C95"/>
    <w:rsid w:val="00067FC8"/>
    <w:rsid w:val="0007022C"/>
    <w:rsid w:val="00070279"/>
    <w:rsid w:val="000702FF"/>
    <w:rsid w:val="00070340"/>
    <w:rsid w:val="000703C2"/>
    <w:rsid w:val="00070435"/>
    <w:rsid w:val="0007077A"/>
    <w:rsid w:val="00070798"/>
    <w:rsid w:val="000708C9"/>
    <w:rsid w:val="00070A64"/>
    <w:rsid w:val="00070C28"/>
    <w:rsid w:val="00070D27"/>
    <w:rsid w:val="000711A1"/>
    <w:rsid w:val="00071212"/>
    <w:rsid w:val="00071442"/>
    <w:rsid w:val="0007146B"/>
    <w:rsid w:val="0007159E"/>
    <w:rsid w:val="0007176C"/>
    <w:rsid w:val="00071838"/>
    <w:rsid w:val="000719FD"/>
    <w:rsid w:val="00071C0A"/>
    <w:rsid w:val="00071C0E"/>
    <w:rsid w:val="00071E55"/>
    <w:rsid w:val="00071ED5"/>
    <w:rsid w:val="00072019"/>
    <w:rsid w:val="00072154"/>
    <w:rsid w:val="0007233F"/>
    <w:rsid w:val="000723BD"/>
    <w:rsid w:val="0007241A"/>
    <w:rsid w:val="000725C4"/>
    <w:rsid w:val="00072789"/>
    <w:rsid w:val="000728A6"/>
    <w:rsid w:val="00072C7E"/>
    <w:rsid w:val="000730B0"/>
    <w:rsid w:val="00073512"/>
    <w:rsid w:val="00073649"/>
    <w:rsid w:val="000736CB"/>
    <w:rsid w:val="0007398D"/>
    <w:rsid w:val="00073B35"/>
    <w:rsid w:val="00073FB7"/>
    <w:rsid w:val="0007437D"/>
    <w:rsid w:val="00074484"/>
    <w:rsid w:val="00074542"/>
    <w:rsid w:val="000746DB"/>
    <w:rsid w:val="00074791"/>
    <w:rsid w:val="00074829"/>
    <w:rsid w:val="00074926"/>
    <w:rsid w:val="00074932"/>
    <w:rsid w:val="000749C2"/>
    <w:rsid w:val="0007504E"/>
    <w:rsid w:val="00075178"/>
    <w:rsid w:val="000751E5"/>
    <w:rsid w:val="000752F3"/>
    <w:rsid w:val="00075426"/>
    <w:rsid w:val="00075427"/>
    <w:rsid w:val="000754E9"/>
    <w:rsid w:val="000756CA"/>
    <w:rsid w:val="00075701"/>
    <w:rsid w:val="000757AA"/>
    <w:rsid w:val="000758BD"/>
    <w:rsid w:val="00075936"/>
    <w:rsid w:val="0007595F"/>
    <w:rsid w:val="00075D2F"/>
    <w:rsid w:val="00076A0A"/>
    <w:rsid w:val="00076A78"/>
    <w:rsid w:val="00076AFE"/>
    <w:rsid w:val="00076B87"/>
    <w:rsid w:val="00076CA0"/>
    <w:rsid w:val="00076EB5"/>
    <w:rsid w:val="000771FD"/>
    <w:rsid w:val="00077B06"/>
    <w:rsid w:val="00077C7C"/>
    <w:rsid w:val="00077D00"/>
    <w:rsid w:val="00077DC2"/>
    <w:rsid w:val="00077DF7"/>
    <w:rsid w:val="0008075C"/>
    <w:rsid w:val="00080B1B"/>
    <w:rsid w:val="00080BE7"/>
    <w:rsid w:val="00081418"/>
    <w:rsid w:val="00081697"/>
    <w:rsid w:val="000816FB"/>
    <w:rsid w:val="000817D1"/>
    <w:rsid w:val="000819A0"/>
    <w:rsid w:val="00081A84"/>
    <w:rsid w:val="00081CED"/>
    <w:rsid w:val="00081DA8"/>
    <w:rsid w:val="00081DEE"/>
    <w:rsid w:val="00082164"/>
    <w:rsid w:val="000825C2"/>
    <w:rsid w:val="00082807"/>
    <w:rsid w:val="00082AFD"/>
    <w:rsid w:val="00082B79"/>
    <w:rsid w:val="00082C8D"/>
    <w:rsid w:val="00082D22"/>
    <w:rsid w:val="00082D7B"/>
    <w:rsid w:val="00082DF4"/>
    <w:rsid w:val="00082E51"/>
    <w:rsid w:val="00082F7C"/>
    <w:rsid w:val="000834AA"/>
    <w:rsid w:val="000836A6"/>
    <w:rsid w:val="000837B9"/>
    <w:rsid w:val="000839E1"/>
    <w:rsid w:val="00083A51"/>
    <w:rsid w:val="00083BE0"/>
    <w:rsid w:val="00083E7F"/>
    <w:rsid w:val="00083F3B"/>
    <w:rsid w:val="00083F77"/>
    <w:rsid w:val="0008417F"/>
    <w:rsid w:val="000842AA"/>
    <w:rsid w:val="00084533"/>
    <w:rsid w:val="0008462E"/>
    <w:rsid w:val="000849E5"/>
    <w:rsid w:val="00084AA6"/>
    <w:rsid w:val="00084F7A"/>
    <w:rsid w:val="0008570E"/>
    <w:rsid w:val="00085877"/>
    <w:rsid w:val="000859EA"/>
    <w:rsid w:val="00085FCB"/>
    <w:rsid w:val="0008630F"/>
    <w:rsid w:val="00086352"/>
    <w:rsid w:val="000863C6"/>
    <w:rsid w:val="000865F5"/>
    <w:rsid w:val="00086796"/>
    <w:rsid w:val="000868C9"/>
    <w:rsid w:val="00086916"/>
    <w:rsid w:val="00086A18"/>
    <w:rsid w:val="00086A2F"/>
    <w:rsid w:val="00086C0C"/>
    <w:rsid w:val="00086E95"/>
    <w:rsid w:val="00087081"/>
    <w:rsid w:val="00087090"/>
    <w:rsid w:val="00087109"/>
    <w:rsid w:val="00087305"/>
    <w:rsid w:val="000873A6"/>
    <w:rsid w:val="000873D2"/>
    <w:rsid w:val="0008748B"/>
    <w:rsid w:val="00087507"/>
    <w:rsid w:val="00087603"/>
    <w:rsid w:val="00087609"/>
    <w:rsid w:val="00087B39"/>
    <w:rsid w:val="00087B4A"/>
    <w:rsid w:val="00087CD7"/>
    <w:rsid w:val="00087EC4"/>
    <w:rsid w:val="00087F11"/>
    <w:rsid w:val="000900BB"/>
    <w:rsid w:val="00090469"/>
    <w:rsid w:val="0009056C"/>
    <w:rsid w:val="00090707"/>
    <w:rsid w:val="0009074D"/>
    <w:rsid w:val="000907DA"/>
    <w:rsid w:val="000909AB"/>
    <w:rsid w:val="00090B8F"/>
    <w:rsid w:val="00090C7D"/>
    <w:rsid w:val="00090CDD"/>
    <w:rsid w:val="00090EF8"/>
    <w:rsid w:val="00090FE7"/>
    <w:rsid w:val="000911B7"/>
    <w:rsid w:val="00091255"/>
    <w:rsid w:val="00091263"/>
    <w:rsid w:val="00091313"/>
    <w:rsid w:val="0009132F"/>
    <w:rsid w:val="0009136E"/>
    <w:rsid w:val="00091716"/>
    <w:rsid w:val="0009177B"/>
    <w:rsid w:val="00091EE7"/>
    <w:rsid w:val="00091FD8"/>
    <w:rsid w:val="0009200A"/>
    <w:rsid w:val="00092067"/>
    <w:rsid w:val="00092192"/>
    <w:rsid w:val="0009223D"/>
    <w:rsid w:val="00092286"/>
    <w:rsid w:val="0009253D"/>
    <w:rsid w:val="000928FF"/>
    <w:rsid w:val="000929C9"/>
    <w:rsid w:val="000929FA"/>
    <w:rsid w:val="000929FE"/>
    <w:rsid w:val="00092A42"/>
    <w:rsid w:val="00092C98"/>
    <w:rsid w:val="00093060"/>
    <w:rsid w:val="000930B9"/>
    <w:rsid w:val="0009314D"/>
    <w:rsid w:val="00093265"/>
    <w:rsid w:val="00093395"/>
    <w:rsid w:val="0009348E"/>
    <w:rsid w:val="000935F1"/>
    <w:rsid w:val="000935FA"/>
    <w:rsid w:val="000939C7"/>
    <w:rsid w:val="000939FB"/>
    <w:rsid w:val="00093AF3"/>
    <w:rsid w:val="00093C47"/>
    <w:rsid w:val="00093D43"/>
    <w:rsid w:val="00093E8F"/>
    <w:rsid w:val="00093F2F"/>
    <w:rsid w:val="000942E8"/>
    <w:rsid w:val="00094508"/>
    <w:rsid w:val="000945E5"/>
    <w:rsid w:val="0009485C"/>
    <w:rsid w:val="000949F7"/>
    <w:rsid w:val="00094C61"/>
    <w:rsid w:val="00094F72"/>
    <w:rsid w:val="00094F93"/>
    <w:rsid w:val="00094FEF"/>
    <w:rsid w:val="00094FFE"/>
    <w:rsid w:val="0009502F"/>
    <w:rsid w:val="00095389"/>
    <w:rsid w:val="000954CC"/>
    <w:rsid w:val="0009557A"/>
    <w:rsid w:val="000956CE"/>
    <w:rsid w:val="00095723"/>
    <w:rsid w:val="000958A0"/>
    <w:rsid w:val="00095954"/>
    <w:rsid w:val="0009596C"/>
    <w:rsid w:val="00095989"/>
    <w:rsid w:val="00095D84"/>
    <w:rsid w:val="00096037"/>
    <w:rsid w:val="000962A6"/>
    <w:rsid w:val="0009655A"/>
    <w:rsid w:val="00096741"/>
    <w:rsid w:val="0009685B"/>
    <w:rsid w:val="00096936"/>
    <w:rsid w:val="00096A03"/>
    <w:rsid w:val="00096AF3"/>
    <w:rsid w:val="00096BA6"/>
    <w:rsid w:val="00096BB7"/>
    <w:rsid w:val="00096D1F"/>
    <w:rsid w:val="00096DB7"/>
    <w:rsid w:val="00096DEA"/>
    <w:rsid w:val="000971C3"/>
    <w:rsid w:val="000973BC"/>
    <w:rsid w:val="00097531"/>
    <w:rsid w:val="0009764E"/>
    <w:rsid w:val="0009765B"/>
    <w:rsid w:val="00097754"/>
    <w:rsid w:val="0009782D"/>
    <w:rsid w:val="000978D0"/>
    <w:rsid w:val="00097EBC"/>
    <w:rsid w:val="00097F17"/>
    <w:rsid w:val="000A012B"/>
    <w:rsid w:val="000A02F1"/>
    <w:rsid w:val="000A0510"/>
    <w:rsid w:val="000A05A5"/>
    <w:rsid w:val="000A0834"/>
    <w:rsid w:val="000A08D2"/>
    <w:rsid w:val="000A0B63"/>
    <w:rsid w:val="000A0C26"/>
    <w:rsid w:val="000A0D11"/>
    <w:rsid w:val="000A0D9C"/>
    <w:rsid w:val="000A0FB2"/>
    <w:rsid w:val="000A1439"/>
    <w:rsid w:val="000A1540"/>
    <w:rsid w:val="000A1560"/>
    <w:rsid w:val="000A1643"/>
    <w:rsid w:val="000A1BF1"/>
    <w:rsid w:val="000A1E7F"/>
    <w:rsid w:val="000A1F40"/>
    <w:rsid w:val="000A203D"/>
    <w:rsid w:val="000A219D"/>
    <w:rsid w:val="000A221A"/>
    <w:rsid w:val="000A226C"/>
    <w:rsid w:val="000A22D2"/>
    <w:rsid w:val="000A25BF"/>
    <w:rsid w:val="000A28AE"/>
    <w:rsid w:val="000A2C24"/>
    <w:rsid w:val="000A2E3A"/>
    <w:rsid w:val="000A30B2"/>
    <w:rsid w:val="000A325D"/>
    <w:rsid w:val="000A343A"/>
    <w:rsid w:val="000A383D"/>
    <w:rsid w:val="000A3A62"/>
    <w:rsid w:val="000A3C9C"/>
    <w:rsid w:val="000A3E13"/>
    <w:rsid w:val="000A4129"/>
    <w:rsid w:val="000A42B4"/>
    <w:rsid w:val="000A43FA"/>
    <w:rsid w:val="000A442D"/>
    <w:rsid w:val="000A457D"/>
    <w:rsid w:val="000A4583"/>
    <w:rsid w:val="000A4631"/>
    <w:rsid w:val="000A49A8"/>
    <w:rsid w:val="000A4D68"/>
    <w:rsid w:val="000A5165"/>
    <w:rsid w:val="000A523A"/>
    <w:rsid w:val="000A5483"/>
    <w:rsid w:val="000A5BE4"/>
    <w:rsid w:val="000A5C0A"/>
    <w:rsid w:val="000A5CE7"/>
    <w:rsid w:val="000A5DB7"/>
    <w:rsid w:val="000A5F0C"/>
    <w:rsid w:val="000A600C"/>
    <w:rsid w:val="000A60BE"/>
    <w:rsid w:val="000A6202"/>
    <w:rsid w:val="000A621F"/>
    <w:rsid w:val="000A62E5"/>
    <w:rsid w:val="000A6626"/>
    <w:rsid w:val="000A6780"/>
    <w:rsid w:val="000A6A12"/>
    <w:rsid w:val="000A6AEB"/>
    <w:rsid w:val="000A6BD0"/>
    <w:rsid w:val="000A6C17"/>
    <w:rsid w:val="000A6C8F"/>
    <w:rsid w:val="000A6FFF"/>
    <w:rsid w:val="000A7071"/>
    <w:rsid w:val="000A73C8"/>
    <w:rsid w:val="000A7662"/>
    <w:rsid w:val="000A783C"/>
    <w:rsid w:val="000A7D75"/>
    <w:rsid w:val="000A7F83"/>
    <w:rsid w:val="000B019E"/>
    <w:rsid w:val="000B02BB"/>
    <w:rsid w:val="000B040A"/>
    <w:rsid w:val="000B0437"/>
    <w:rsid w:val="000B066F"/>
    <w:rsid w:val="000B0684"/>
    <w:rsid w:val="000B089D"/>
    <w:rsid w:val="000B0920"/>
    <w:rsid w:val="000B0BDC"/>
    <w:rsid w:val="000B0E32"/>
    <w:rsid w:val="000B0FEF"/>
    <w:rsid w:val="000B10D2"/>
    <w:rsid w:val="000B1318"/>
    <w:rsid w:val="000B1590"/>
    <w:rsid w:val="000B15F1"/>
    <w:rsid w:val="000B171E"/>
    <w:rsid w:val="000B1794"/>
    <w:rsid w:val="000B197E"/>
    <w:rsid w:val="000B1AAD"/>
    <w:rsid w:val="000B1B64"/>
    <w:rsid w:val="000B1D4E"/>
    <w:rsid w:val="000B1F8F"/>
    <w:rsid w:val="000B21BC"/>
    <w:rsid w:val="000B22AD"/>
    <w:rsid w:val="000B2477"/>
    <w:rsid w:val="000B26BF"/>
    <w:rsid w:val="000B2A9A"/>
    <w:rsid w:val="000B2AD6"/>
    <w:rsid w:val="000B2B5A"/>
    <w:rsid w:val="000B33B3"/>
    <w:rsid w:val="000B3580"/>
    <w:rsid w:val="000B35C5"/>
    <w:rsid w:val="000B3600"/>
    <w:rsid w:val="000B3633"/>
    <w:rsid w:val="000B3682"/>
    <w:rsid w:val="000B3727"/>
    <w:rsid w:val="000B37F2"/>
    <w:rsid w:val="000B384A"/>
    <w:rsid w:val="000B3A38"/>
    <w:rsid w:val="000B3C46"/>
    <w:rsid w:val="000B3CA3"/>
    <w:rsid w:val="000B3E32"/>
    <w:rsid w:val="000B3FEC"/>
    <w:rsid w:val="000B40CC"/>
    <w:rsid w:val="000B40FB"/>
    <w:rsid w:val="000B435E"/>
    <w:rsid w:val="000B4762"/>
    <w:rsid w:val="000B47BC"/>
    <w:rsid w:val="000B47CC"/>
    <w:rsid w:val="000B47FA"/>
    <w:rsid w:val="000B4915"/>
    <w:rsid w:val="000B492A"/>
    <w:rsid w:val="000B4DB5"/>
    <w:rsid w:val="000B4EFE"/>
    <w:rsid w:val="000B5315"/>
    <w:rsid w:val="000B564C"/>
    <w:rsid w:val="000B56CB"/>
    <w:rsid w:val="000B56D2"/>
    <w:rsid w:val="000B59CA"/>
    <w:rsid w:val="000B5EC0"/>
    <w:rsid w:val="000B5EE6"/>
    <w:rsid w:val="000B5EE9"/>
    <w:rsid w:val="000B5F02"/>
    <w:rsid w:val="000B61A1"/>
    <w:rsid w:val="000B6515"/>
    <w:rsid w:val="000B6829"/>
    <w:rsid w:val="000B6993"/>
    <w:rsid w:val="000B6B9B"/>
    <w:rsid w:val="000B6C9D"/>
    <w:rsid w:val="000B6EFD"/>
    <w:rsid w:val="000B70F4"/>
    <w:rsid w:val="000B7189"/>
    <w:rsid w:val="000B71D9"/>
    <w:rsid w:val="000B737F"/>
    <w:rsid w:val="000B74D2"/>
    <w:rsid w:val="000B76BE"/>
    <w:rsid w:val="000B7732"/>
    <w:rsid w:val="000B7A1D"/>
    <w:rsid w:val="000B7D8B"/>
    <w:rsid w:val="000B7F81"/>
    <w:rsid w:val="000C00A7"/>
    <w:rsid w:val="000C0148"/>
    <w:rsid w:val="000C0676"/>
    <w:rsid w:val="000C09DA"/>
    <w:rsid w:val="000C0A98"/>
    <w:rsid w:val="000C0B3F"/>
    <w:rsid w:val="000C0BDF"/>
    <w:rsid w:val="000C1052"/>
    <w:rsid w:val="000C108C"/>
    <w:rsid w:val="000C11F9"/>
    <w:rsid w:val="000C13E2"/>
    <w:rsid w:val="000C1624"/>
    <w:rsid w:val="000C166F"/>
    <w:rsid w:val="000C1909"/>
    <w:rsid w:val="000C1A14"/>
    <w:rsid w:val="000C1A86"/>
    <w:rsid w:val="000C1CF5"/>
    <w:rsid w:val="000C1E19"/>
    <w:rsid w:val="000C2173"/>
    <w:rsid w:val="000C2326"/>
    <w:rsid w:val="000C2330"/>
    <w:rsid w:val="000C266A"/>
    <w:rsid w:val="000C284D"/>
    <w:rsid w:val="000C2C4A"/>
    <w:rsid w:val="000C2DB5"/>
    <w:rsid w:val="000C2E71"/>
    <w:rsid w:val="000C3051"/>
    <w:rsid w:val="000C3485"/>
    <w:rsid w:val="000C34C6"/>
    <w:rsid w:val="000C3693"/>
    <w:rsid w:val="000C3719"/>
    <w:rsid w:val="000C389B"/>
    <w:rsid w:val="000C38F2"/>
    <w:rsid w:val="000C38F6"/>
    <w:rsid w:val="000C399F"/>
    <w:rsid w:val="000C39A2"/>
    <w:rsid w:val="000C3ADC"/>
    <w:rsid w:val="000C3B43"/>
    <w:rsid w:val="000C3E80"/>
    <w:rsid w:val="000C43B2"/>
    <w:rsid w:val="000C4423"/>
    <w:rsid w:val="000C44A1"/>
    <w:rsid w:val="000C4845"/>
    <w:rsid w:val="000C49AD"/>
    <w:rsid w:val="000C4A7E"/>
    <w:rsid w:val="000C4BA7"/>
    <w:rsid w:val="000C4BEC"/>
    <w:rsid w:val="000C4CE2"/>
    <w:rsid w:val="000C4E08"/>
    <w:rsid w:val="000C5021"/>
    <w:rsid w:val="000C54F9"/>
    <w:rsid w:val="000C54FC"/>
    <w:rsid w:val="000C5612"/>
    <w:rsid w:val="000C56CF"/>
    <w:rsid w:val="000C5766"/>
    <w:rsid w:val="000C5BA6"/>
    <w:rsid w:val="000C5E27"/>
    <w:rsid w:val="000C5F58"/>
    <w:rsid w:val="000C60F5"/>
    <w:rsid w:val="000C61E0"/>
    <w:rsid w:val="000C6332"/>
    <w:rsid w:val="000C6878"/>
    <w:rsid w:val="000C696A"/>
    <w:rsid w:val="000C6DCD"/>
    <w:rsid w:val="000C7014"/>
    <w:rsid w:val="000C7097"/>
    <w:rsid w:val="000C7371"/>
    <w:rsid w:val="000C747F"/>
    <w:rsid w:val="000C751F"/>
    <w:rsid w:val="000C75B5"/>
    <w:rsid w:val="000C75C6"/>
    <w:rsid w:val="000C7B38"/>
    <w:rsid w:val="000C7D5D"/>
    <w:rsid w:val="000D0032"/>
    <w:rsid w:val="000D0284"/>
    <w:rsid w:val="000D047C"/>
    <w:rsid w:val="000D08CF"/>
    <w:rsid w:val="000D0943"/>
    <w:rsid w:val="000D0E4B"/>
    <w:rsid w:val="000D0ECC"/>
    <w:rsid w:val="000D0F06"/>
    <w:rsid w:val="000D0F62"/>
    <w:rsid w:val="000D0FB5"/>
    <w:rsid w:val="000D0FD9"/>
    <w:rsid w:val="000D1175"/>
    <w:rsid w:val="000D11A8"/>
    <w:rsid w:val="000D1271"/>
    <w:rsid w:val="000D1363"/>
    <w:rsid w:val="000D13AD"/>
    <w:rsid w:val="000D14D1"/>
    <w:rsid w:val="000D163F"/>
    <w:rsid w:val="000D17C7"/>
    <w:rsid w:val="000D1B97"/>
    <w:rsid w:val="000D1DB1"/>
    <w:rsid w:val="000D1F3C"/>
    <w:rsid w:val="000D1FEC"/>
    <w:rsid w:val="000D2347"/>
    <w:rsid w:val="000D2421"/>
    <w:rsid w:val="000D26DA"/>
    <w:rsid w:val="000D2767"/>
    <w:rsid w:val="000D27B5"/>
    <w:rsid w:val="000D2830"/>
    <w:rsid w:val="000D2CBE"/>
    <w:rsid w:val="000D2D7A"/>
    <w:rsid w:val="000D2E55"/>
    <w:rsid w:val="000D32E9"/>
    <w:rsid w:val="000D3471"/>
    <w:rsid w:val="000D366B"/>
    <w:rsid w:val="000D36EB"/>
    <w:rsid w:val="000D3B44"/>
    <w:rsid w:val="000D3DA3"/>
    <w:rsid w:val="000D4003"/>
    <w:rsid w:val="000D402D"/>
    <w:rsid w:val="000D4172"/>
    <w:rsid w:val="000D420A"/>
    <w:rsid w:val="000D42CA"/>
    <w:rsid w:val="000D446C"/>
    <w:rsid w:val="000D46A4"/>
    <w:rsid w:val="000D4710"/>
    <w:rsid w:val="000D47C7"/>
    <w:rsid w:val="000D47D9"/>
    <w:rsid w:val="000D4D32"/>
    <w:rsid w:val="000D4ECD"/>
    <w:rsid w:val="000D4F2E"/>
    <w:rsid w:val="000D4F4A"/>
    <w:rsid w:val="000D4F7D"/>
    <w:rsid w:val="000D4FBA"/>
    <w:rsid w:val="000D52B3"/>
    <w:rsid w:val="000D537D"/>
    <w:rsid w:val="000D5415"/>
    <w:rsid w:val="000D5583"/>
    <w:rsid w:val="000D55E9"/>
    <w:rsid w:val="000D5608"/>
    <w:rsid w:val="000D57A2"/>
    <w:rsid w:val="000D57F1"/>
    <w:rsid w:val="000D5A74"/>
    <w:rsid w:val="000D5C4C"/>
    <w:rsid w:val="000D5CA3"/>
    <w:rsid w:val="000D5DFA"/>
    <w:rsid w:val="000D5EA9"/>
    <w:rsid w:val="000D60B2"/>
    <w:rsid w:val="000D613D"/>
    <w:rsid w:val="000D64C6"/>
    <w:rsid w:val="000D64C7"/>
    <w:rsid w:val="000D65A3"/>
    <w:rsid w:val="000D6774"/>
    <w:rsid w:val="000D681E"/>
    <w:rsid w:val="000D6988"/>
    <w:rsid w:val="000D6B2D"/>
    <w:rsid w:val="000D6B4D"/>
    <w:rsid w:val="000D6B84"/>
    <w:rsid w:val="000D6D08"/>
    <w:rsid w:val="000D7085"/>
    <w:rsid w:val="000D712E"/>
    <w:rsid w:val="000D775E"/>
    <w:rsid w:val="000D7873"/>
    <w:rsid w:val="000D79DC"/>
    <w:rsid w:val="000D7A2A"/>
    <w:rsid w:val="000D7F5D"/>
    <w:rsid w:val="000D7F6B"/>
    <w:rsid w:val="000E0048"/>
    <w:rsid w:val="000E005D"/>
    <w:rsid w:val="000E0062"/>
    <w:rsid w:val="000E0132"/>
    <w:rsid w:val="000E02D1"/>
    <w:rsid w:val="000E031C"/>
    <w:rsid w:val="000E0329"/>
    <w:rsid w:val="000E0372"/>
    <w:rsid w:val="000E0448"/>
    <w:rsid w:val="000E0483"/>
    <w:rsid w:val="000E0625"/>
    <w:rsid w:val="000E063A"/>
    <w:rsid w:val="000E0734"/>
    <w:rsid w:val="000E079A"/>
    <w:rsid w:val="000E0B4B"/>
    <w:rsid w:val="000E0E91"/>
    <w:rsid w:val="000E1105"/>
    <w:rsid w:val="000E11D4"/>
    <w:rsid w:val="000E122D"/>
    <w:rsid w:val="000E1313"/>
    <w:rsid w:val="000E1326"/>
    <w:rsid w:val="000E1371"/>
    <w:rsid w:val="000E1373"/>
    <w:rsid w:val="000E13FC"/>
    <w:rsid w:val="000E159B"/>
    <w:rsid w:val="000E175E"/>
    <w:rsid w:val="000E1791"/>
    <w:rsid w:val="000E19DB"/>
    <w:rsid w:val="000E1B4B"/>
    <w:rsid w:val="000E1BB8"/>
    <w:rsid w:val="000E1E5F"/>
    <w:rsid w:val="000E1E90"/>
    <w:rsid w:val="000E1FF4"/>
    <w:rsid w:val="000E24C3"/>
    <w:rsid w:val="000E251A"/>
    <w:rsid w:val="000E2614"/>
    <w:rsid w:val="000E2630"/>
    <w:rsid w:val="000E268E"/>
    <w:rsid w:val="000E2A31"/>
    <w:rsid w:val="000E2AC5"/>
    <w:rsid w:val="000E2B24"/>
    <w:rsid w:val="000E2B7D"/>
    <w:rsid w:val="000E2B9F"/>
    <w:rsid w:val="000E2C21"/>
    <w:rsid w:val="000E2C23"/>
    <w:rsid w:val="000E2C8A"/>
    <w:rsid w:val="000E2CE0"/>
    <w:rsid w:val="000E2EC3"/>
    <w:rsid w:val="000E3145"/>
    <w:rsid w:val="000E32E8"/>
    <w:rsid w:val="000E33D1"/>
    <w:rsid w:val="000E33EF"/>
    <w:rsid w:val="000E3524"/>
    <w:rsid w:val="000E3693"/>
    <w:rsid w:val="000E36D7"/>
    <w:rsid w:val="000E3818"/>
    <w:rsid w:val="000E3866"/>
    <w:rsid w:val="000E3B45"/>
    <w:rsid w:val="000E3B87"/>
    <w:rsid w:val="000E3F95"/>
    <w:rsid w:val="000E4200"/>
    <w:rsid w:val="000E4354"/>
    <w:rsid w:val="000E46B2"/>
    <w:rsid w:val="000E4864"/>
    <w:rsid w:val="000E4DD7"/>
    <w:rsid w:val="000E4FDC"/>
    <w:rsid w:val="000E5370"/>
    <w:rsid w:val="000E5557"/>
    <w:rsid w:val="000E55D3"/>
    <w:rsid w:val="000E5678"/>
    <w:rsid w:val="000E57B4"/>
    <w:rsid w:val="000E5801"/>
    <w:rsid w:val="000E586B"/>
    <w:rsid w:val="000E5918"/>
    <w:rsid w:val="000E5DF7"/>
    <w:rsid w:val="000E5E7C"/>
    <w:rsid w:val="000E618F"/>
    <w:rsid w:val="000E62CB"/>
    <w:rsid w:val="000E645A"/>
    <w:rsid w:val="000E670A"/>
    <w:rsid w:val="000E6728"/>
    <w:rsid w:val="000E67F6"/>
    <w:rsid w:val="000E6A0E"/>
    <w:rsid w:val="000E6A75"/>
    <w:rsid w:val="000E6B30"/>
    <w:rsid w:val="000E6CB1"/>
    <w:rsid w:val="000E6E31"/>
    <w:rsid w:val="000E6F64"/>
    <w:rsid w:val="000E6F77"/>
    <w:rsid w:val="000E6FD5"/>
    <w:rsid w:val="000E75E8"/>
    <w:rsid w:val="000E76B5"/>
    <w:rsid w:val="000E77DB"/>
    <w:rsid w:val="000E7FCB"/>
    <w:rsid w:val="000F0014"/>
    <w:rsid w:val="000F00A6"/>
    <w:rsid w:val="000F016F"/>
    <w:rsid w:val="000F0460"/>
    <w:rsid w:val="000F053B"/>
    <w:rsid w:val="000F066C"/>
    <w:rsid w:val="000F079B"/>
    <w:rsid w:val="000F08D5"/>
    <w:rsid w:val="000F09C9"/>
    <w:rsid w:val="000F0B0C"/>
    <w:rsid w:val="000F0B27"/>
    <w:rsid w:val="000F0BAC"/>
    <w:rsid w:val="000F0BB6"/>
    <w:rsid w:val="000F0C5A"/>
    <w:rsid w:val="000F0D7B"/>
    <w:rsid w:val="000F0F19"/>
    <w:rsid w:val="000F0FDF"/>
    <w:rsid w:val="000F101E"/>
    <w:rsid w:val="000F14A8"/>
    <w:rsid w:val="000F14E4"/>
    <w:rsid w:val="000F1754"/>
    <w:rsid w:val="000F17CC"/>
    <w:rsid w:val="000F1810"/>
    <w:rsid w:val="000F1CB3"/>
    <w:rsid w:val="000F1F6D"/>
    <w:rsid w:val="000F2432"/>
    <w:rsid w:val="000F251A"/>
    <w:rsid w:val="000F29C5"/>
    <w:rsid w:val="000F2CE7"/>
    <w:rsid w:val="000F2D72"/>
    <w:rsid w:val="000F31B9"/>
    <w:rsid w:val="000F3238"/>
    <w:rsid w:val="000F34A9"/>
    <w:rsid w:val="000F350A"/>
    <w:rsid w:val="000F3530"/>
    <w:rsid w:val="000F35C9"/>
    <w:rsid w:val="000F39E7"/>
    <w:rsid w:val="000F3A18"/>
    <w:rsid w:val="000F3EA9"/>
    <w:rsid w:val="000F3FD7"/>
    <w:rsid w:val="000F42F0"/>
    <w:rsid w:val="000F4364"/>
    <w:rsid w:val="000F46B5"/>
    <w:rsid w:val="000F46C8"/>
    <w:rsid w:val="000F47C0"/>
    <w:rsid w:val="000F47D5"/>
    <w:rsid w:val="000F4AB6"/>
    <w:rsid w:val="000F4F7E"/>
    <w:rsid w:val="000F512A"/>
    <w:rsid w:val="000F522A"/>
    <w:rsid w:val="000F5279"/>
    <w:rsid w:val="000F5454"/>
    <w:rsid w:val="000F55BF"/>
    <w:rsid w:val="000F55EB"/>
    <w:rsid w:val="000F5631"/>
    <w:rsid w:val="000F5690"/>
    <w:rsid w:val="000F581A"/>
    <w:rsid w:val="000F5BF5"/>
    <w:rsid w:val="000F5C96"/>
    <w:rsid w:val="000F5EB6"/>
    <w:rsid w:val="000F62BA"/>
    <w:rsid w:val="000F6323"/>
    <w:rsid w:val="000F6433"/>
    <w:rsid w:val="000F6450"/>
    <w:rsid w:val="000F65F5"/>
    <w:rsid w:val="000F6683"/>
    <w:rsid w:val="000F6B14"/>
    <w:rsid w:val="000F6C5F"/>
    <w:rsid w:val="000F6C7A"/>
    <w:rsid w:val="000F6F3D"/>
    <w:rsid w:val="000F70E0"/>
    <w:rsid w:val="000F7326"/>
    <w:rsid w:val="000F7478"/>
    <w:rsid w:val="000F7582"/>
    <w:rsid w:val="000F7801"/>
    <w:rsid w:val="000F7847"/>
    <w:rsid w:val="000F78A1"/>
    <w:rsid w:val="000F7A47"/>
    <w:rsid w:val="000F7AE0"/>
    <w:rsid w:val="000F7B5D"/>
    <w:rsid w:val="001000A6"/>
    <w:rsid w:val="0010017A"/>
    <w:rsid w:val="0010020E"/>
    <w:rsid w:val="0010042B"/>
    <w:rsid w:val="001005D7"/>
    <w:rsid w:val="001007BD"/>
    <w:rsid w:val="001007ED"/>
    <w:rsid w:val="00100BBD"/>
    <w:rsid w:val="00100C17"/>
    <w:rsid w:val="00100C56"/>
    <w:rsid w:val="00100FD6"/>
    <w:rsid w:val="001011CB"/>
    <w:rsid w:val="001012F7"/>
    <w:rsid w:val="00101367"/>
    <w:rsid w:val="001019AE"/>
    <w:rsid w:val="00101B0F"/>
    <w:rsid w:val="00101B1E"/>
    <w:rsid w:val="00101F61"/>
    <w:rsid w:val="00101F66"/>
    <w:rsid w:val="00101FE9"/>
    <w:rsid w:val="00102191"/>
    <w:rsid w:val="00102232"/>
    <w:rsid w:val="0010225C"/>
    <w:rsid w:val="001022F8"/>
    <w:rsid w:val="00102321"/>
    <w:rsid w:val="0010233F"/>
    <w:rsid w:val="001023B1"/>
    <w:rsid w:val="00102492"/>
    <w:rsid w:val="0010252F"/>
    <w:rsid w:val="001025C5"/>
    <w:rsid w:val="00102984"/>
    <w:rsid w:val="00102A10"/>
    <w:rsid w:val="00102B5E"/>
    <w:rsid w:val="00102BC7"/>
    <w:rsid w:val="00102D22"/>
    <w:rsid w:val="00102FA2"/>
    <w:rsid w:val="001032CC"/>
    <w:rsid w:val="0010332B"/>
    <w:rsid w:val="001035DF"/>
    <w:rsid w:val="00103781"/>
    <w:rsid w:val="00103928"/>
    <w:rsid w:val="001039B6"/>
    <w:rsid w:val="001039B9"/>
    <w:rsid w:val="00103BF4"/>
    <w:rsid w:val="00103CB0"/>
    <w:rsid w:val="00103CD9"/>
    <w:rsid w:val="00103CE3"/>
    <w:rsid w:val="00104175"/>
    <w:rsid w:val="0010433D"/>
    <w:rsid w:val="00104347"/>
    <w:rsid w:val="00104396"/>
    <w:rsid w:val="00104409"/>
    <w:rsid w:val="00104692"/>
    <w:rsid w:val="00104A0F"/>
    <w:rsid w:val="00104CAA"/>
    <w:rsid w:val="00104D45"/>
    <w:rsid w:val="00105132"/>
    <w:rsid w:val="001051E1"/>
    <w:rsid w:val="00105216"/>
    <w:rsid w:val="0010538C"/>
    <w:rsid w:val="00105408"/>
    <w:rsid w:val="00105424"/>
    <w:rsid w:val="001055E8"/>
    <w:rsid w:val="00105714"/>
    <w:rsid w:val="00105CA7"/>
    <w:rsid w:val="001060B5"/>
    <w:rsid w:val="001061C3"/>
    <w:rsid w:val="00106246"/>
    <w:rsid w:val="001062FB"/>
    <w:rsid w:val="001066B9"/>
    <w:rsid w:val="001067A2"/>
    <w:rsid w:val="00106922"/>
    <w:rsid w:val="001069B7"/>
    <w:rsid w:val="00106A90"/>
    <w:rsid w:val="00106E8F"/>
    <w:rsid w:val="0010705A"/>
    <w:rsid w:val="001073A3"/>
    <w:rsid w:val="001074FF"/>
    <w:rsid w:val="001075E6"/>
    <w:rsid w:val="0010780F"/>
    <w:rsid w:val="001079FB"/>
    <w:rsid w:val="00110106"/>
    <w:rsid w:val="001105DA"/>
    <w:rsid w:val="00110965"/>
    <w:rsid w:val="001109D5"/>
    <w:rsid w:val="00110BD8"/>
    <w:rsid w:val="00110C7F"/>
    <w:rsid w:val="00110DEE"/>
    <w:rsid w:val="00110E59"/>
    <w:rsid w:val="00110E79"/>
    <w:rsid w:val="00110F5D"/>
    <w:rsid w:val="00111183"/>
    <w:rsid w:val="00111679"/>
    <w:rsid w:val="0011189A"/>
    <w:rsid w:val="00111A16"/>
    <w:rsid w:val="00111A71"/>
    <w:rsid w:val="00111D89"/>
    <w:rsid w:val="00112210"/>
    <w:rsid w:val="001122CF"/>
    <w:rsid w:val="001124EA"/>
    <w:rsid w:val="0011266E"/>
    <w:rsid w:val="001129DD"/>
    <w:rsid w:val="00112B68"/>
    <w:rsid w:val="00112B6A"/>
    <w:rsid w:val="00112BAD"/>
    <w:rsid w:val="00112BED"/>
    <w:rsid w:val="00112E23"/>
    <w:rsid w:val="0011364A"/>
    <w:rsid w:val="0011368D"/>
    <w:rsid w:val="00113814"/>
    <w:rsid w:val="001138DF"/>
    <w:rsid w:val="00113ACA"/>
    <w:rsid w:val="001140BD"/>
    <w:rsid w:val="001141EB"/>
    <w:rsid w:val="001142CF"/>
    <w:rsid w:val="0011455F"/>
    <w:rsid w:val="00114580"/>
    <w:rsid w:val="0011464F"/>
    <w:rsid w:val="001148B7"/>
    <w:rsid w:val="0011493C"/>
    <w:rsid w:val="00114B95"/>
    <w:rsid w:val="00115100"/>
    <w:rsid w:val="001152D8"/>
    <w:rsid w:val="00115313"/>
    <w:rsid w:val="00115321"/>
    <w:rsid w:val="001153D6"/>
    <w:rsid w:val="001154E1"/>
    <w:rsid w:val="001156C0"/>
    <w:rsid w:val="0011580C"/>
    <w:rsid w:val="00115A93"/>
    <w:rsid w:val="00115A9D"/>
    <w:rsid w:val="00115C5E"/>
    <w:rsid w:val="00115C8C"/>
    <w:rsid w:val="00115EE4"/>
    <w:rsid w:val="00115EF1"/>
    <w:rsid w:val="00116011"/>
    <w:rsid w:val="00116171"/>
    <w:rsid w:val="00116499"/>
    <w:rsid w:val="0011656E"/>
    <w:rsid w:val="00116578"/>
    <w:rsid w:val="001166F5"/>
    <w:rsid w:val="00116C62"/>
    <w:rsid w:val="00116CEE"/>
    <w:rsid w:val="00116F16"/>
    <w:rsid w:val="00117144"/>
    <w:rsid w:val="00117186"/>
    <w:rsid w:val="001171B0"/>
    <w:rsid w:val="00117472"/>
    <w:rsid w:val="001174E5"/>
    <w:rsid w:val="0011763A"/>
    <w:rsid w:val="0011767B"/>
    <w:rsid w:val="00117714"/>
    <w:rsid w:val="001177A2"/>
    <w:rsid w:val="001178FD"/>
    <w:rsid w:val="00117968"/>
    <w:rsid w:val="00117E53"/>
    <w:rsid w:val="00117E62"/>
    <w:rsid w:val="00117F44"/>
    <w:rsid w:val="0012002D"/>
    <w:rsid w:val="00120281"/>
    <w:rsid w:val="00120495"/>
    <w:rsid w:val="0012051F"/>
    <w:rsid w:val="00120BC9"/>
    <w:rsid w:val="00120C33"/>
    <w:rsid w:val="00120FC4"/>
    <w:rsid w:val="00121845"/>
    <w:rsid w:val="001218D4"/>
    <w:rsid w:val="00121C49"/>
    <w:rsid w:val="00121D8F"/>
    <w:rsid w:val="00121EF5"/>
    <w:rsid w:val="00121F3E"/>
    <w:rsid w:val="00121FE3"/>
    <w:rsid w:val="0012214A"/>
    <w:rsid w:val="00122269"/>
    <w:rsid w:val="001226DA"/>
    <w:rsid w:val="00122C6A"/>
    <w:rsid w:val="00122EF5"/>
    <w:rsid w:val="00122F7E"/>
    <w:rsid w:val="00123010"/>
    <w:rsid w:val="001232B9"/>
    <w:rsid w:val="001234FA"/>
    <w:rsid w:val="0012354C"/>
    <w:rsid w:val="00123862"/>
    <w:rsid w:val="0012397C"/>
    <w:rsid w:val="00123AA4"/>
    <w:rsid w:val="00123FC7"/>
    <w:rsid w:val="00124010"/>
    <w:rsid w:val="001242A1"/>
    <w:rsid w:val="0012453C"/>
    <w:rsid w:val="00124557"/>
    <w:rsid w:val="00124650"/>
    <w:rsid w:val="00124893"/>
    <w:rsid w:val="00124C0E"/>
    <w:rsid w:val="00124E51"/>
    <w:rsid w:val="00125107"/>
    <w:rsid w:val="00125276"/>
    <w:rsid w:val="00125479"/>
    <w:rsid w:val="00125497"/>
    <w:rsid w:val="00125502"/>
    <w:rsid w:val="00125CF3"/>
    <w:rsid w:val="00125D21"/>
    <w:rsid w:val="00125E8E"/>
    <w:rsid w:val="00126167"/>
    <w:rsid w:val="001261E0"/>
    <w:rsid w:val="0012646A"/>
    <w:rsid w:val="001265A6"/>
    <w:rsid w:val="00126717"/>
    <w:rsid w:val="0012683E"/>
    <w:rsid w:val="001268D6"/>
    <w:rsid w:val="00126B1F"/>
    <w:rsid w:val="00126BCB"/>
    <w:rsid w:val="00126DED"/>
    <w:rsid w:val="00126E8F"/>
    <w:rsid w:val="00126E94"/>
    <w:rsid w:val="0012737E"/>
    <w:rsid w:val="00127544"/>
    <w:rsid w:val="001275D1"/>
    <w:rsid w:val="00127664"/>
    <w:rsid w:val="00127BF6"/>
    <w:rsid w:val="00127C49"/>
    <w:rsid w:val="00127EC6"/>
    <w:rsid w:val="001303C5"/>
    <w:rsid w:val="001304CF"/>
    <w:rsid w:val="00130545"/>
    <w:rsid w:val="00130876"/>
    <w:rsid w:val="00130D85"/>
    <w:rsid w:val="0013116D"/>
    <w:rsid w:val="001311F2"/>
    <w:rsid w:val="001314E3"/>
    <w:rsid w:val="0013160F"/>
    <w:rsid w:val="00131A3E"/>
    <w:rsid w:val="00131C38"/>
    <w:rsid w:val="00131C68"/>
    <w:rsid w:val="00131CE6"/>
    <w:rsid w:val="00132A2F"/>
    <w:rsid w:val="00132CC3"/>
    <w:rsid w:val="00132F67"/>
    <w:rsid w:val="00132FFA"/>
    <w:rsid w:val="0013307E"/>
    <w:rsid w:val="0013320F"/>
    <w:rsid w:val="00133362"/>
    <w:rsid w:val="0013341E"/>
    <w:rsid w:val="00133763"/>
    <w:rsid w:val="001337B0"/>
    <w:rsid w:val="00133986"/>
    <w:rsid w:val="001339D6"/>
    <w:rsid w:val="00133C9F"/>
    <w:rsid w:val="00133E3B"/>
    <w:rsid w:val="00134198"/>
    <w:rsid w:val="0013454A"/>
    <w:rsid w:val="0013461D"/>
    <w:rsid w:val="0013479A"/>
    <w:rsid w:val="00134872"/>
    <w:rsid w:val="00134D68"/>
    <w:rsid w:val="00134F1E"/>
    <w:rsid w:val="001350C3"/>
    <w:rsid w:val="001350D0"/>
    <w:rsid w:val="0013526A"/>
    <w:rsid w:val="0013540B"/>
    <w:rsid w:val="001357B2"/>
    <w:rsid w:val="001358C6"/>
    <w:rsid w:val="00135B4F"/>
    <w:rsid w:val="00135CCD"/>
    <w:rsid w:val="00135D3D"/>
    <w:rsid w:val="00135D45"/>
    <w:rsid w:val="00135F51"/>
    <w:rsid w:val="0013622C"/>
    <w:rsid w:val="001362C1"/>
    <w:rsid w:val="001362EA"/>
    <w:rsid w:val="0013630F"/>
    <w:rsid w:val="00136454"/>
    <w:rsid w:val="001365A5"/>
    <w:rsid w:val="0013662F"/>
    <w:rsid w:val="001368E6"/>
    <w:rsid w:val="00136C33"/>
    <w:rsid w:val="00136C9E"/>
    <w:rsid w:val="00136FA1"/>
    <w:rsid w:val="00136FCE"/>
    <w:rsid w:val="00137380"/>
    <w:rsid w:val="001376C1"/>
    <w:rsid w:val="001376F0"/>
    <w:rsid w:val="0013774E"/>
    <w:rsid w:val="0013796C"/>
    <w:rsid w:val="00137BBD"/>
    <w:rsid w:val="00137BC3"/>
    <w:rsid w:val="00137E40"/>
    <w:rsid w:val="0014020A"/>
    <w:rsid w:val="00140288"/>
    <w:rsid w:val="001403DD"/>
    <w:rsid w:val="001404FF"/>
    <w:rsid w:val="001409EE"/>
    <w:rsid w:val="00140A19"/>
    <w:rsid w:val="00140AB7"/>
    <w:rsid w:val="00140B46"/>
    <w:rsid w:val="00140C2D"/>
    <w:rsid w:val="00140D5C"/>
    <w:rsid w:val="00140F8F"/>
    <w:rsid w:val="0014100B"/>
    <w:rsid w:val="00141116"/>
    <w:rsid w:val="0014120D"/>
    <w:rsid w:val="00141588"/>
    <w:rsid w:val="001415D0"/>
    <w:rsid w:val="0014171B"/>
    <w:rsid w:val="00141825"/>
    <w:rsid w:val="00141B6B"/>
    <w:rsid w:val="00141CBD"/>
    <w:rsid w:val="00141DA5"/>
    <w:rsid w:val="00141F78"/>
    <w:rsid w:val="00141FFB"/>
    <w:rsid w:val="001420FB"/>
    <w:rsid w:val="00142101"/>
    <w:rsid w:val="001421A4"/>
    <w:rsid w:val="00142286"/>
    <w:rsid w:val="0014245A"/>
    <w:rsid w:val="001425A8"/>
    <w:rsid w:val="0014298E"/>
    <w:rsid w:val="00142A0F"/>
    <w:rsid w:val="00142A95"/>
    <w:rsid w:val="00142AA0"/>
    <w:rsid w:val="00142D67"/>
    <w:rsid w:val="00142E76"/>
    <w:rsid w:val="001430CA"/>
    <w:rsid w:val="001430E2"/>
    <w:rsid w:val="00143324"/>
    <w:rsid w:val="001435FE"/>
    <w:rsid w:val="00143665"/>
    <w:rsid w:val="00143768"/>
    <w:rsid w:val="00143A55"/>
    <w:rsid w:val="00143D5A"/>
    <w:rsid w:val="001440BE"/>
    <w:rsid w:val="001440EE"/>
    <w:rsid w:val="001442B7"/>
    <w:rsid w:val="00144360"/>
    <w:rsid w:val="0014451E"/>
    <w:rsid w:val="00144563"/>
    <w:rsid w:val="00144874"/>
    <w:rsid w:val="00145103"/>
    <w:rsid w:val="0014513C"/>
    <w:rsid w:val="00145258"/>
    <w:rsid w:val="001452DD"/>
    <w:rsid w:val="001453AF"/>
    <w:rsid w:val="0014549E"/>
    <w:rsid w:val="001454B3"/>
    <w:rsid w:val="0014566D"/>
    <w:rsid w:val="0014580E"/>
    <w:rsid w:val="001458E0"/>
    <w:rsid w:val="00145936"/>
    <w:rsid w:val="001459AF"/>
    <w:rsid w:val="00145AE6"/>
    <w:rsid w:val="00146076"/>
    <w:rsid w:val="00146082"/>
    <w:rsid w:val="00146334"/>
    <w:rsid w:val="001463E1"/>
    <w:rsid w:val="001463F4"/>
    <w:rsid w:val="001465E0"/>
    <w:rsid w:val="001465ED"/>
    <w:rsid w:val="001466DA"/>
    <w:rsid w:val="00146852"/>
    <w:rsid w:val="0014686A"/>
    <w:rsid w:val="0014690D"/>
    <w:rsid w:val="00146952"/>
    <w:rsid w:val="00146AF7"/>
    <w:rsid w:val="00146B3C"/>
    <w:rsid w:val="00146BA8"/>
    <w:rsid w:val="00146DBC"/>
    <w:rsid w:val="001472D0"/>
    <w:rsid w:val="001474A9"/>
    <w:rsid w:val="00147820"/>
    <w:rsid w:val="001479C4"/>
    <w:rsid w:val="001479E3"/>
    <w:rsid w:val="00147BA8"/>
    <w:rsid w:val="00147E84"/>
    <w:rsid w:val="00147F9F"/>
    <w:rsid w:val="001501CC"/>
    <w:rsid w:val="001502AA"/>
    <w:rsid w:val="001502EF"/>
    <w:rsid w:val="00150333"/>
    <w:rsid w:val="00150335"/>
    <w:rsid w:val="00150769"/>
    <w:rsid w:val="00150A59"/>
    <w:rsid w:val="00150CD5"/>
    <w:rsid w:val="00150CDC"/>
    <w:rsid w:val="00150FBC"/>
    <w:rsid w:val="00151113"/>
    <w:rsid w:val="001512C0"/>
    <w:rsid w:val="001517BA"/>
    <w:rsid w:val="001517CF"/>
    <w:rsid w:val="001518F9"/>
    <w:rsid w:val="001519B1"/>
    <w:rsid w:val="00151A24"/>
    <w:rsid w:val="00151AA5"/>
    <w:rsid w:val="00151AB5"/>
    <w:rsid w:val="00151C17"/>
    <w:rsid w:val="00151C70"/>
    <w:rsid w:val="00151CA6"/>
    <w:rsid w:val="00151D90"/>
    <w:rsid w:val="00151E28"/>
    <w:rsid w:val="00151F9D"/>
    <w:rsid w:val="00152048"/>
    <w:rsid w:val="001523D2"/>
    <w:rsid w:val="001523D3"/>
    <w:rsid w:val="001523F2"/>
    <w:rsid w:val="00152621"/>
    <w:rsid w:val="001526DD"/>
    <w:rsid w:val="001526FB"/>
    <w:rsid w:val="00152980"/>
    <w:rsid w:val="00152AA9"/>
    <w:rsid w:val="00152B57"/>
    <w:rsid w:val="00153056"/>
    <w:rsid w:val="001534D3"/>
    <w:rsid w:val="0015355F"/>
    <w:rsid w:val="00153717"/>
    <w:rsid w:val="001537F3"/>
    <w:rsid w:val="00153C77"/>
    <w:rsid w:val="00153E18"/>
    <w:rsid w:val="00153E58"/>
    <w:rsid w:val="001545D6"/>
    <w:rsid w:val="00154732"/>
    <w:rsid w:val="00154779"/>
    <w:rsid w:val="001547A8"/>
    <w:rsid w:val="001549EC"/>
    <w:rsid w:val="00154C8A"/>
    <w:rsid w:val="00154CBD"/>
    <w:rsid w:val="00154E50"/>
    <w:rsid w:val="00154F99"/>
    <w:rsid w:val="001550F5"/>
    <w:rsid w:val="00155195"/>
    <w:rsid w:val="001554D7"/>
    <w:rsid w:val="00155576"/>
    <w:rsid w:val="001557F3"/>
    <w:rsid w:val="0015582A"/>
    <w:rsid w:val="00155896"/>
    <w:rsid w:val="00155B40"/>
    <w:rsid w:val="00155F01"/>
    <w:rsid w:val="00156000"/>
    <w:rsid w:val="001561DB"/>
    <w:rsid w:val="00156285"/>
    <w:rsid w:val="00156525"/>
    <w:rsid w:val="0015669A"/>
    <w:rsid w:val="00156700"/>
    <w:rsid w:val="00156925"/>
    <w:rsid w:val="00156AE9"/>
    <w:rsid w:val="00156AFD"/>
    <w:rsid w:val="00156CA6"/>
    <w:rsid w:val="00156CBC"/>
    <w:rsid w:val="00156E09"/>
    <w:rsid w:val="00156E47"/>
    <w:rsid w:val="00156E89"/>
    <w:rsid w:val="00156F05"/>
    <w:rsid w:val="00156F74"/>
    <w:rsid w:val="00157039"/>
    <w:rsid w:val="0015713B"/>
    <w:rsid w:val="00157162"/>
    <w:rsid w:val="0015727B"/>
    <w:rsid w:val="001572BE"/>
    <w:rsid w:val="00157462"/>
    <w:rsid w:val="00157696"/>
    <w:rsid w:val="00157B91"/>
    <w:rsid w:val="00157DFA"/>
    <w:rsid w:val="00160304"/>
    <w:rsid w:val="001603E6"/>
    <w:rsid w:val="0016074C"/>
    <w:rsid w:val="0016077B"/>
    <w:rsid w:val="00160823"/>
    <w:rsid w:val="00160878"/>
    <w:rsid w:val="001608FE"/>
    <w:rsid w:val="00160A79"/>
    <w:rsid w:val="00160C89"/>
    <w:rsid w:val="00160DA1"/>
    <w:rsid w:val="00160E93"/>
    <w:rsid w:val="0016121B"/>
    <w:rsid w:val="001612DC"/>
    <w:rsid w:val="001616FA"/>
    <w:rsid w:val="001617A4"/>
    <w:rsid w:val="001618A3"/>
    <w:rsid w:val="00161AD4"/>
    <w:rsid w:val="00161B43"/>
    <w:rsid w:val="00161B9D"/>
    <w:rsid w:val="00161DF8"/>
    <w:rsid w:val="00161EEC"/>
    <w:rsid w:val="00161F99"/>
    <w:rsid w:val="00161FBE"/>
    <w:rsid w:val="001620ED"/>
    <w:rsid w:val="0016227B"/>
    <w:rsid w:val="00162390"/>
    <w:rsid w:val="00162A56"/>
    <w:rsid w:val="00162C9B"/>
    <w:rsid w:val="00162F12"/>
    <w:rsid w:val="001631DC"/>
    <w:rsid w:val="00163270"/>
    <w:rsid w:val="0016332D"/>
    <w:rsid w:val="0016335E"/>
    <w:rsid w:val="00163428"/>
    <w:rsid w:val="001634B4"/>
    <w:rsid w:val="001639E0"/>
    <w:rsid w:val="00163B6B"/>
    <w:rsid w:val="00163C61"/>
    <w:rsid w:val="00163DDB"/>
    <w:rsid w:val="00164033"/>
    <w:rsid w:val="0016424B"/>
    <w:rsid w:val="001642F4"/>
    <w:rsid w:val="00164333"/>
    <w:rsid w:val="00164730"/>
    <w:rsid w:val="00164913"/>
    <w:rsid w:val="00164B35"/>
    <w:rsid w:val="00164C57"/>
    <w:rsid w:val="0016504E"/>
    <w:rsid w:val="0016522D"/>
    <w:rsid w:val="001652DC"/>
    <w:rsid w:val="00165349"/>
    <w:rsid w:val="00165387"/>
    <w:rsid w:val="001654E5"/>
    <w:rsid w:val="001656EC"/>
    <w:rsid w:val="0016577B"/>
    <w:rsid w:val="0016585D"/>
    <w:rsid w:val="001658C6"/>
    <w:rsid w:val="00165B36"/>
    <w:rsid w:val="00165C24"/>
    <w:rsid w:val="00165DC2"/>
    <w:rsid w:val="00165FE5"/>
    <w:rsid w:val="001660F1"/>
    <w:rsid w:val="001661BD"/>
    <w:rsid w:val="00166216"/>
    <w:rsid w:val="0016632C"/>
    <w:rsid w:val="00166575"/>
    <w:rsid w:val="0016669B"/>
    <w:rsid w:val="0016675E"/>
    <w:rsid w:val="0016676A"/>
    <w:rsid w:val="0016683D"/>
    <w:rsid w:val="0016695D"/>
    <w:rsid w:val="00166A15"/>
    <w:rsid w:val="00166DA4"/>
    <w:rsid w:val="00166E6F"/>
    <w:rsid w:val="001678F7"/>
    <w:rsid w:val="001679EE"/>
    <w:rsid w:val="00167B2E"/>
    <w:rsid w:val="00167B3A"/>
    <w:rsid w:val="00167B9E"/>
    <w:rsid w:val="00167BC2"/>
    <w:rsid w:val="00167CBC"/>
    <w:rsid w:val="00167CF0"/>
    <w:rsid w:val="00167DF5"/>
    <w:rsid w:val="00167ED0"/>
    <w:rsid w:val="00167F66"/>
    <w:rsid w:val="001701B7"/>
    <w:rsid w:val="00170242"/>
    <w:rsid w:val="00170544"/>
    <w:rsid w:val="00170654"/>
    <w:rsid w:val="0017068C"/>
    <w:rsid w:val="001708B4"/>
    <w:rsid w:val="001708DF"/>
    <w:rsid w:val="00170983"/>
    <w:rsid w:val="00170B4E"/>
    <w:rsid w:val="00170BB8"/>
    <w:rsid w:val="00170E31"/>
    <w:rsid w:val="00170F15"/>
    <w:rsid w:val="00170F28"/>
    <w:rsid w:val="00170FC8"/>
    <w:rsid w:val="00171280"/>
    <w:rsid w:val="001712F5"/>
    <w:rsid w:val="001718AB"/>
    <w:rsid w:val="001718D1"/>
    <w:rsid w:val="0017196F"/>
    <w:rsid w:val="0017219C"/>
    <w:rsid w:val="00172323"/>
    <w:rsid w:val="001723F2"/>
    <w:rsid w:val="001724AE"/>
    <w:rsid w:val="001724E0"/>
    <w:rsid w:val="001725F7"/>
    <w:rsid w:val="00172689"/>
    <w:rsid w:val="00172693"/>
    <w:rsid w:val="0017283D"/>
    <w:rsid w:val="00172913"/>
    <w:rsid w:val="00172CB2"/>
    <w:rsid w:val="00172DCD"/>
    <w:rsid w:val="00172E07"/>
    <w:rsid w:val="001730D2"/>
    <w:rsid w:val="0017315D"/>
    <w:rsid w:val="0017318F"/>
    <w:rsid w:val="00173421"/>
    <w:rsid w:val="00173667"/>
    <w:rsid w:val="001738BD"/>
    <w:rsid w:val="001738FA"/>
    <w:rsid w:val="00173916"/>
    <w:rsid w:val="00173A69"/>
    <w:rsid w:val="00173EAD"/>
    <w:rsid w:val="00173EAF"/>
    <w:rsid w:val="00173EC3"/>
    <w:rsid w:val="00173F7D"/>
    <w:rsid w:val="001744CE"/>
    <w:rsid w:val="00174553"/>
    <w:rsid w:val="00174A77"/>
    <w:rsid w:val="00174C3A"/>
    <w:rsid w:val="00174D97"/>
    <w:rsid w:val="00174FC2"/>
    <w:rsid w:val="001752B8"/>
    <w:rsid w:val="00175408"/>
    <w:rsid w:val="0017543E"/>
    <w:rsid w:val="00175552"/>
    <w:rsid w:val="00175735"/>
    <w:rsid w:val="00175825"/>
    <w:rsid w:val="001758CF"/>
    <w:rsid w:val="001759C5"/>
    <w:rsid w:val="00175BCE"/>
    <w:rsid w:val="00175D28"/>
    <w:rsid w:val="00175F15"/>
    <w:rsid w:val="001762D3"/>
    <w:rsid w:val="001766C3"/>
    <w:rsid w:val="00176713"/>
    <w:rsid w:val="0017671B"/>
    <w:rsid w:val="0017684F"/>
    <w:rsid w:val="00176E38"/>
    <w:rsid w:val="00176E4A"/>
    <w:rsid w:val="00176FB1"/>
    <w:rsid w:val="0017707B"/>
    <w:rsid w:val="001770AC"/>
    <w:rsid w:val="00177625"/>
    <w:rsid w:val="0017765F"/>
    <w:rsid w:val="0017766D"/>
    <w:rsid w:val="00177675"/>
    <w:rsid w:val="001778BD"/>
    <w:rsid w:val="001779F5"/>
    <w:rsid w:val="00177D98"/>
    <w:rsid w:val="00177F19"/>
    <w:rsid w:val="0018023D"/>
    <w:rsid w:val="00180285"/>
    <w:rsid w:val="001802E4"/>
    <w:rsid w:val="001806C0"/>
    <w:rsid w:val="00180752"/>
    <w:rsid w:val="001807E5"/>
    <w:rsid w:val="00180B60"/>
    <w:rsid w:val="0018170A"/>
    <w:rsid w:val="00181993"/>
    <w:rsid w:val="001819BF"/>
    <w:rsid w:val="001819D9"/>
    <w:rsid w:val="00181A10"/>
    <w:rsid w:val="00181A4A"/>
    <w:rsid w:val="00181B96"/>
    <w:rsid w:val="001820E2"/>
    <w:rsid w:val="001823AD"/>
    <w:rsid w:val="001823FA"/>
    <w:rsid w:val="001826DC"/>
    <w:rsid w:val="001828E2"/>
    <w:rsid w:val="001829CB"/>
    <w:rsid w:val="00182A0C"/>
    <w:rsid w:val="00182A49"/>
    <w:rsid w:val="00182D1D"/>
    <w:rsid w:val="00182D48"/>
    <w:rsid w:val="00182DFE"/>
    <w:rsid w:val="00182E56"/>
    <w:rsid w:val="001830ED"/>
    <w:rsid w:val="0018352F"/>
    <w:rsid w:val="0018359F"/>
    <w:rsid w:val="00183655"/>
    <w:rsid w:val="001836A2"/>
    <w:rsid w:val="00183814"/>
    <w:rsid w:val="00183A41"/>
    <w:rsid w:val="00183DAB"/>
    <w:rsid w:val="00183DFA"/>
    <w:rsid w:val="001841CA"/>
    <w:rsid w:val="00184578"/>
    <w:rsid w:val="001845BA"/>
    <w:rsid w:val="0018466D"/>
    <w:rsid w:val="001846B3"/>
    <w:rsid w:val="00184724"/>
    <w:rsid w:val="00184930"/>
    <w:rsid w:val="00184C51"/>
    <w:rsid w:val="00184D56"/>
    <w:rsid w:val="00184E03"/>
    <w:rsid w:val="00184E91"/>
    <w:rsid w:val="001853BD"/>
    <w:rsid w:val="001853F2"/>
    <w:rsid w:val="001854C4"/>
    <w:rsid w:val="00185585"/>
    <w:rsid w:val="00185A49"/>
    <w:rsid w:val="00185A7F"/>
    <w:rsid w:val="00185A94"/>
    <w:rsid w:val="00185ABD"/>
    <w:rsid w:val="00185B7E"/>
    <w:rsid w:val="00185BBF"/>
    <w:rsid w:val="00185E02"/>
    <w:rsid w:val="00185ED1"/>
    <w:rsid w:val="00185F6A"/>
    <w:rsid w:val="001862A8"/>
    <w:rsid w:val="001863E5"/>
    <w:rsid w:val="00186570"/>
    <w:rsid w:val="00186587"/>
    <w:rsid w:val="0018678C"/>
    <w:rsid w:val="0018686F"/>
    <w:rsid w:val="00186B31"/>
    <w:rsid w:val="00186CA7"/>
    <w:rsid w:val="00186DDF"/>
    <w:rsid w:val="00186F44"/>
    <w:rsid w:val="00186F46"/>
    <w:rsid w:val="001871FE"/>
    <w:rsid w:val="001872DD"/>
    <w:rsid w:val="0018738C"/>
    <w:rsid w:val="00187841"/>
    <w:rsid w:val="00187957"/>
    <w:rsid w:val="00187A83"/>
    <w:rsid w:val="00187B7C"/>
    <w:rsid w:val="00187DA1"/>
    <w:rsid w:val="00187E23"/>
    <w:rsid w:val="00187E5E"/>
    <w:rsid w:val="00187EB2"/>
    <w:rsid w:val="001900BC"/>
    <w:rsid w:val="001901FC"/>
    <w:rsid w:val="0019033F"/>
    <w:rsid w:val="00190394"/>
    <w:rsid w:val="001906A3"/>
    <w:rsid w:val="001906E1"/>
    <w:rsid w:val="00190996"/>
    <w:rsid w:val="001909B6"/>
    <w:rsid w:val="00190B16"/>
    <w:rsid w:val="00190B24"/>
    <w:rsid w:val="00190B3A"/>
    <w:rsid w:val="00190BD7"/>
    <w:rsid w:val="00190CD8"/>
    <w:rsid w:val="00190D2F"/>
    <w:rsid w:val="00190D9B"/>
    <w:rsid w:val="00190F87"/>
    <w:rsid w:val="001910BA"/>
    <w:rsid w:val="00191264"/>
    <w:rsid w:val="00191384"/>
    <w:rsid w:val="00191563"/>
    <w:rsid w:val="001915E5"/>
    <w:rsid w:val="0019163A"/>
    <w:rsid w:val="0019175F"/>
    <w:rsid w:val="00191766"/>
    <w:rsid w:val="001919BB"/>
    <w:rsid w:val="00191C42"/>
    <w:rsid w:val="00191CC0"/>
    <w:rsid w:val="00191D45"/>
    <w:rsid w:val="00191F83"/>
    <w:rsid w:val="0019201E"/>
    <w:rsid w:val="001921AF"/>
    <w:rsid w:val="0019225E"/>
    <w:rsid w:val="001922A5"/>
    <w:rsid w:val="001922F4"/>
    <w:rsid w:val="00192355"/>
    <w:rsid w:val="001924A7"/>
    <w:rsid w:val="00192606"/>
    <w:rsid w:val="0019282F"/>
    <w:rsid w:val="0019296C"/>
    <w:rsid w:val="00192B64"/>
    <w:rsid w:val="00192D02"/>
    <w:rsid w:val="00192DAC"/>
    <w:rsid w:val="00192E92"/>
    <w:rsid w:val="00192F2A"/>
    <w:rsid w:val="00192FF4"/>
    <w:rsid w:val="00193011"/>
    <w:rsid w:val="001930E5"/>
    <w:rsid w:val="00193807"/>
    <w:rsid w:val="001938DC"/>
    <w:rsid w:val="00193CAC"/>
    <w:rsid w:val="00193E45"/>
    <w:rsid w:val="00193F23"/>
    <w:rsid w:val="00193FE9"/>
    <w:rsid w:val="0019408A"/>
    <w:rsid w:val="00194586"/>
    <w:rsid w:val="001946A2"/>
    <w:rsid w:val="001947AE"/>
    <w:rsid w:val="0019481B"/>
    <w:rsid w:val="00194924"/>
    <w:rsid w:val="0019492A"/>
    <w:rsid w:val="0019502C"/>
    <w:rsid w:val="00195308"/>
    <w:rsid w:val="001957D5"/>
    <w:rsid w:val="00195801"/>
    <w:rsid w:val="001958D5"/>
    <w:rsid w:val="001959C5"/>
    <w:rsid w:val="001959F4"/>
    <w:rsid w:val="00195D04"/>
    <w:rsid w:val="00195EF0"/>
    <w:rsid w:val="001960B6"/>
    <w:rsid w:val="001960C9"/>
    <w:rsid w:val="001960F4"/>
    <w:rsid w:val="0019635A"/>
    <w:rsid w:val="0019649A"/>
    <w:rsid w:val="001966AB"/>
    <w:rsid w:val="0019691D"/>
    <w:rsid w:val="00196C93"/>
    <w:rsid w:val="00196E59"/>
    <w:rsid w:val="00196F1A"/>
    <w:rsid w:val="00197358"/>
    <w:rsid w:val="0019737B"/>
    <w:rsid w:val="00197562"/>
    <w:rsid w:val="00197715"/>
    <w:rsid w:val="001978E6"/>
    <w:rsid w:val="001979B9"/>
    <w:rsid w:val="00197CB2"/>
    <w:rsid w:val="00197D83"/>
    <w:rsid w:val="00197F35"/>
    <w:rsid w:val="001A0096"/>
    <w:rsid w:val="001A00CB"/>
    <w:rsid w:val="001A012B"/>
    <w:rsid w:val="001A013E"/>
    <w:rsid w:val="001A0187"/>
    <w:rsid w:val="001A063F"/>
    <w:rsid w:val="001A07DC"/>
    <w:rsid w:val="001A09C5"/>
    <w:rsid w:val="001A0A6E"/>
    <w:rsid w:val="001A0B2D"/>
    <w:rsid w:val="001A0C18"/>
    <w:rsid w:val="001A0DA0"/>
    <w:rsid w:val="001A0E66"/>
    <w:rsid w:val="001A109D"/>
    <w:rsid w:val="001A10EC"/>
    <w:rsid w:val="001A14BA"/>
    <w:rsid w:val="001A16D3"/>
    <w:rsid w:val="001A1822"/>
    <w:rsid w:val="001A1D94"/>
    <w:rsid w:val="001A234A"/>
    <w:rsid w:val="001A24E0"/>
    <w:rsid w:val="001A260C"/>
    <w:rsid w:val="001A2668"/>
    <w:rsid w:val="001A2A1A"/>
    <w:rsid w:val="001A2BBF"/>
    <w:rsid w:val="001A33FC"/>
    <w:rsid w:val="001A346F"/>
    <w:rsid w:val="001A3645"/>
    <w:rsid w:val="001A38C4"/>
    <w:rsid w:val="001A39E3"/>
    <w:rsid w:val="001A3A9E"/>
    <w:rsid w:val="001A3D19"/>
    <w:rsid w:val="001A3EC9"/>
    <w:rsid w:val="001A3FA9"/>
    <w:rsid w:val="001A3FC0"/>
    <w:rsid w:val="001A4159"/>
    <w:rsid w:val="001A4261"/>
    <w:rsid w:val="001A42D8"/>
    <w:rsid w:val="001A4367"/>
    <w:rsid w:val="001A4722"/>
    <w:rsid w:val="001A4A67"/>
    <w:rsid w:val="001A4AA9"/>
    <w:rsid w:val="001A4C9C"/>
    <w:rsid w:val="001A4F80"/>
    <w:rsid w:val="001A51AC"/>
    <w:rsid w:val="001A52DF"/>
    <w:rsid w:val="001A544D"/>
    <w:rsid w:val="001A54BB"/>
    <w:rsid w:val="001A574C"/>
    <w:rsid w:val="001A596C"/>
    <w:rsid w:val="001A5A5D"/>
    <w:rsid w:val="001A609E"/>
    <w:rsid w:val="001A6278"/>
    <w:rsid w:val="001A63DD"/>
    <w:rsid w:val="001A697C"/>
    <w:rsid w:val="001A6ABA"/>
    <w:rsid w:val="001A6AEA"/>
    <w:rsid w:val="001A6BC3"/>
    <w:rsid w:val="001A6C0E"/>
    <w:rsid w:val="001A6C25"/>
    <w:rsid w:val="001A6C74"/>
    <w:rsid w:val="001A6C8A"/>
    <w:rsid w:val="001A6D4E"/>
    <w:rsid w:val="001A6D75"/>
    <w:rsid w:val="001A6FDE"/>
    <w:rsid w:val="001A76C3"/>
    <w:rsid w:val="001A78A8"/>
    <w:rsid w:val="001A790E"/>
    <w:rsid w:val="001A7C48"/>
    <w:rsid w:val="001A7C98"/>
    <w:rsid w:val="001A7CAB"/>
    <w:rsid w:val="001A7D40"/>
    <w:rsid w:val="001B023A"/>
    <w:rsid w:val="001B039F"/>
    <w:rsid w:val="001B077A"/>
    <w:rsid w:val="001B0806"/>
    <w:rsid w:val="001B098D"/>
    <w:rsid w:val="001B0F6F"/>
    <w:rsid w:val="001B0FCB"/>
    <w:rsid w:val="001B1197"/>
    <w:rsid w:val="001B1381"/>
    <w:rsid w:val="001B14E6"/>
    <w:rsid w:val="001B153A"/>
    <w:rsid w:val="001B1920"/>
    <w:rsid w:val="001B1B52"/>
    <w:rsid w:val="001B1BD9"/>
    <w:rsid w:val="001B1C8F"/>
    <w:rsid w:val="001B1D69"/>
    <w:rsid w:val="001B1E61"/>
    <w:rsid w:val="001B1F97"/>
    <w:rsid w:val="001B2267"/>
    <w:rsid w:val="001B25C5"/>
    <w:rsid w:val="001B27B2"/>
    <w:rsid w:val="001B298F"/>
    <w:rsid w:val="001B2B27"/>
    <w:rsid w:val="001B2C79"/>
    <w:rsid w:val="001B2CA5"/>
    <w:rsid w:val="001B2D18"/>
    <w:rsid w:val="001B3255"/>
    <w:rsid w:val="001B3261"/>
    <w:rsid w:val="001B353E"/>
    <w:rsid w:val="001B355E"/>
    <w:rsid w:val="001B356A"/>
    <w:rsid w:val="001B3667"/>
    <w:rsid w:val="001B371B"/>
    <w:rsid w:val="001B379C"/>
    <w:rsid w:val="001B3F35"/>
    <w:rsid w:val="001B400C"/>
    <w:rsid w:val="001B4133"/>
    <w:rsid w:val="001B4273"/>
    <w:rsid w:val="001B451F"/>
    <w:rsid w:val="001B4663"/>
    <w:rsid w:val="001B475C"/>
    <w:rsid w:val="001B4CDB"/>
    <w:rsid w:val="001B4DD7"/>
    <w:rsid w:val="001B4E87"/>
    <w:rsid w:val="001B4FC1"/>
    <w:rsid w:val="001B516A"/>
    <w:rsid w:val="001B5695"/>
    <w:rsid w:val="001B579B"/>
    <w:rsid w:val="001B59FA"/>
    <w:rsid w:val="001B5B37"/>
    <w:rsid w:val="001B5D3A"/>
    <w:rsid w:val="001B5DDD"/>
    <w:rsid w:val="001B5E50"/>
    <w:rsid w:val="001B5E5E"/>
    <w:rsid w:val="001B5FFC"/>
    <w:rsid w:val="001B6001"/>
    <w:rsid w:val="001B648D"/>
    <w:rsid w:val="001B65D4"/>
    <w:rsid w:val="001B67C4"/>
    <w:rsid w:val="001B695F"/>
    <w:rsid w:val="001B6A47"/>
    <w:rsid w:val="001B6CDB"/>
    <w:rsid w:val="001B6D11"/>
    <w:rsid w:val="001B6E0F"/>
    <w:rsid w:val="001B6E50"/>
    <w:rsid w:val="001B6ECB"/>
    <w:rsid w:val="001B7365"/>
    <w:rsid w:val="001B741F"/>
    <w:rsid w:val="001B7A10"/>
    <w:rsid w:val="001B7A65"/>
    <w:rsid w:val="001B7B2B"/>
    <w:rsid w:val="001B7BD7"/>
    <w:rsid w:val="001C0059"/>
    <w:rsid w:val="001C00B6"/>
    <w:rsid w:val="001C0177"/>
    <w:rsid w:val="001C023B"/>
    <w:rsid w:val="001C02DC"/>
    <w:rsid w:val="001C0375"/>
    <w:rsid w:val="001C06E9"/>
    <w:rsid w:val="001C07BA"/>
    <w:rsid w:val="001C0A62"/>
    <w:rsid w:val="001C0A7C"/>
    <w:rsid w:val="001C0EEB"/>
    <w:rsid w:val="001C1439"/>
    <w:rsid w:val="001C172E"/>
    <w:rsid w:val="001C17B0"/>
    <w:rsid w:val="001C1889"/>
    <w:rsid w:val="001C1935"/>
    <w:rsid w:val="001C1A88"/>
    <w:rsid w:val="001C1B98"/>
    <w:rsid w:val="001C1D08"/>
    <w:rsid w:val="001C1E3E"/>
    <w:rsid w:val="001C1F48"/>
    <w:rsid w:val="001C1F87"/>
    <w:rsid w:val="001C23ED"/>
    <w:rsid w:val="001C2647"/>
    <w:rsid w:val="001C267B"/>
    <w:rsid w:val="001C277E"/>
    <w:rsid w:val="001C2952"/>
    <w:rsid w:val="001C2A4B"/>
    <w:rsid w:val="001C2B8F"/>
    <w:rsid w:val="001C2BB1"/>
    <w:rsid w:val="001C2BC9"/>
    <w:rsid w:val="001C2D32"/>
    <w:rsid w:val="001C31A0"/>
    <w:rsid w:val="001C31BC"/>
    <w:rsid w:val="001C3345"/>
    <w:rsid w:val="001C3430"/>
    <w:rsid w:val="001C35C0"/>
    <w:rsid w:val="001C392C"/>
    <w:rsid w:val="001C3C67"/>
    <w:rsid w:val="001C408B"/>
    <w:rsid w:val="001C42C1"/>
    <w:rsid w:val="001C4617"/>
    <w:rsid w:val="001C46D4"/>
    <w:rsid w:val="001C4D44"/>
    <w:rsid w:val="001C4F8B"/>
    <w:rsid w:val="001C50F1"/>
    <w:rsid w:val="001C51B6"/>
    <w:rsid w:val="001C558B"/>
    <w:rsid w:val="001C5855"/>
    <w:rsid w:val="001C5875"/>
    <w:rsid w:val="001C5A5B"/>
    <w:rsid w:val="001C5EA4"/>
    <w:rsid w:val="001C6228"/>
    <w:rsid w:val="001C62AA"/>
    <w:rsid w:val="001C6376"/>
    <w:rsid w:val="001C6825"/>
    <w:rsid w:val="001C68B5"/>
    <w:rsid w:val="001C6A5B"/>
    <w:rsid w:val="001C6CDB"/>
    <w:rsid w:val="001C73C4"/>
    <w:rsid w:val="001C74F3"/>
    <w:rsid w:val="001C7676"/>
    <w:rsid w:val="001C76A9"/>
    <w:rsid w:val="001C773B"/>
    <w:rsid w:val="001C7780"/>
    <w:rsid w:val="001C7A1C"/>
    <w:rsid w:val="001C7AC0"/>
    <w:rsid w:val="001C7AE4"/>
    <w:rsid w:val="001C7BC0"/>
    <w:rsid w:val="001C7D0A"/>
    <w:rsid w:val="001C7F1F"/>
    <w:rsid w:val="001D0039"/>
    <w:rsid w:val="001D0121"/>
    <w:rsid w:val="001D0153"/>
    <w:rsid w:val="001D0159"/>
    <w:rsid w:val="001D02D2"/>
    <w:rsid w:val="001D047F"/>
    <w:rsid w:val="001D0534"/>
    <w:rsid w:val="001D06EB"/>
    <w:rsid w:val="001D071C"/>
    <w:rsid w:val="001D08D9"/>
    <w:rsid w:val="001D0BE6"/>
    <w:rsid w:val="001D0D94"/>
    <w:rsid w:val="001D0E4D"/>
    <w:rsid w:val="001D0F5C"/>
    <w:rsid w:val="001D1109"/>
    <w:rsid w:val="001D131E"/>
    <w:rsid w:val="001D146B"/>
    <w:rsid w:val="001D1660"/>
    <w:rsid w:val="001D171B"/>
    <w:rsid w:val="001D1781"/>
    <w:rsid w:val="001D18A9"/>
    <w:rsid w:val="001D198A"/>
    <w:rsid w:val="001D1A4D"/>
    <w:rsid w:val="001D1F69"/>
    <w:rsid w:val="001D2210"/>
    <w:rsid w:val="001D2226"/>
    <w:rsid w:val="001D2607"/>
    <w:rsid w:val="001D2614"/>
    <w:rsid w:val="001D26D0"/>
    <w:rsid w:val="001D2C2F"/>
    <w:rsid w:val="001D2E62"/>
    <w:rsid w:val="001D2FFD"/>
    <w:rsid w:val="001D303B"/>
    <w:rsid w:val="001D3046"/>
    <w:rsid w:val="001D35D7"/>
    <w:rsid w:val="001D372B"/>
    <w:rsid w:val="001D393C"/>
    <w:rsid w:val="001D3ABE"/>
    <w:rsid w:val="001D3C2C"/>
    <w:rsid w:val="001D3E83"/>
    <w:rsid w:val="001D3E86"/>
    <w:rsid w:val="001D4071"/>
    <w:rsid w:val="001D42AA"/>
    <w:rsid w:val="001D42DB"/>
    <w:rsid w:val="001D46C0"/>
    <w:rsid w:val="001D4A4A"/>
    <w:rsid w:val="001D4AD1"/>
    <w:rsid w:val="001D4CAB"/>
    <w:rsid w:val="001D4E5D"/>
    <w:rsid w:val="001D4F33"/>
    <w:rsid w:val="001D5018"/>
    <w:rsid w:val="001D5080"/>
    <w:rsid w:val="001D5082"/>
    <w:rsid w:val="001D50C1"/>
    <w:rsid w:val="001D5102"/>
    <w:rsid w:val="001D534E"/>
    <w:rsid w:val="001D55DE"/>
    <w:rsid w:val="001D57AE"/>
    <w:rsid w:val="001D5C83"/>
    <w:rsid w:val="001D5ED5"/>
    <w:rsid w:val="001D6055"/>
    <w:rsid w:val="001D60C4"/>
    <w:rsid w:val="001D6109"/>
    <w:rsid w:val="001D62D4"/>
    <w:rsid w:val="001D62F2"/>
    <w:rsid w:val="001D62F4"/>
    <w:rsid w:val="001D6643"/>
    <w:rsid w:val="001D674C"/>
    <w:rsid w:val="001D6A57"/>
    <w:rsid w:val="001D6BCF"/>
    <w:rsid w:val="001D738F"/>
    <w:rsid w:val="001D7475"/>
    <w:rsid w:val="001D74EF"/>
    <w:rsid w:val="001D76AB"/>
    <w:rsid w:val="001D77E1"/>
    <w:rsid w:val="001D7979"/>
    <w:rsid w:val="001D7D3A"/>
    <w:rsid w:val="001E004D"/>
    <w:rsid w:val="001E0287"/>
    <w:rsid w:val="001E02EE"/>
    <w:rsid w:val="001E0300"/>
    <w:rsid w:val="001E037E"/>
    <w:rsid w:val="001E069B"/>
    <w:rsid w:val="001E0B9E"/>
    <w:rsid w:val="001E0BC9"/>
    <w:rsid w:val="001E0D2F"/>
    <w:rsid w:val="001E0EA4"/>
    <w:rsid w:val="001E0F91"/>
    <w:rsid w:val="001E1039"/>
    <w:rsid w:val="001E112B"/>
    <w:rsid w:val="001E133C"/>
    <w:rsid w:val="001E138C"/>
    <w:rsid w:val="001E15AA"/>
    <w:rsid w:val="001E17B4"/>
    <w:rsid w:val="001E18A3"/>
    <w:rsid w:val="001E1AB2"/>
    <w:rsid w:val="001E1D64"/>
    <w:rsid w:val="001E1FF9"/>
    <w:rsid w:val="001E2145"/>
    <w:rsid w:val="001E2409"/>
    <w:rsid w:val="001E2460"/>
    <w:rsid w:val="001E24E8"/>
    <w:rsid w:val="001E281E"/>
    <w:rsid w:val="001E2844"/>
    <w:rsid w:val="001E28D3"/>
    <w:rsid w:val="001E297C"/>
    <w:rsid w:val="001E29CF"/>
    <w:rsid w:val="001E2B28"/>
    <w:rsid w:val="001E2B52"/>
    <w:rsid w:val="001E2C6A"/>
    <w:rsid w:val="001E2C92"/>
    <w:rsid w:val="001E303A"/>
    <w:rsid w:val="001E30D6"/>
    <w:rsid w:val="001E327D"/>
    <w:rsid w:val="001E342C"/>
    <w:rsid w:val="001E3430"/>
    <w:rsid w:val="001E3596"/>
    <w:rsid w:val="001E3773"/>
    <w:rsid w:val="001E39E8"/>
    <w:rsid w:val="001E3A8E"/>
    <w:rsid w:val="001E3D9C"/>
    <w:rsid w:val="001E4153"/>
    <w:rsid w:val="001E41C2"/>
    <w:rsid w:val="001E4429"/>
    <w:rsid w:val="001E46F1"/>
    <w:rsid w:val="001E4809"/>
    <w:rsid w:val="001E4940"/>
    <w:rsid w:val="001E4AC1"/>
    <w:rsid w:val="001E4BB7"/>
    <w:rsid w:val="001E4CF0"/>
    <w:rsid w:val="001E4E45"/>
    <w:rsid w:val="001E4FD3"/>
    <w:rsid w:val="001E507B"/>
    <w:rsid w:val="001E51BA"/>
    <w:rsid w:val="001E5273"/>
    <w:rsid w:val="001E536E"/>
    <w:rsid w:val="001E5548"/>
    <w:rsid w:val="001E5577"/>
    <w:rsid w:val="001E583E"/>
    <w:rsid w:val="001E5BD3"/>
    <w:rsid w:val="001E5DC0"/>
    <w:rsid w:val="001E5DE9"/>
    <w:rsid w:val="001E5EED"/>
    <w:rsid w:val="001E65B0"/>
    <w:rsid w:val="001E6651"/>
    <w:rsid w:val="001E67E8"/>
    <w:rsid w:val="001E6DFC"/>
    <w:rsid w:val="001E6E82"/>
    <w:rsid w:val="001E72E0"/>
    <w:rsid w:val="001E73D6"/>
    <w:rsid w:val="001E7543"/>
    <w:rsid w:val="001E7564"/>
    <w:rsid w:val="001E7580"/>
    <w:rsid w:val="001E7714"/>
    <w:rsid w:val="001E774F"/>
    <w:rsid w:val="001E79BE"/>
    <w:rsid w:val="001E7A19"/>
    <w:rsid w:val="001E7A42"/>
    <w:rsid w:val="001E7BFA"/>
    <w:rsid w:val="001E7D0B"/>
    <w:rsid w:val="001E7E45"/>
    <w:rsid w:val="001F0127"/>
    <w:rsid w:val="001F02F7"/>
    <w:rsid w:val="001F0311"/>
    <w:rsid w:val="001F06E4"/>
    <w:rsid w:val="001F0989"/>
    <w:rsid w:val="001F0B06"/>
    <w:rsid w:val="001F0B20"/>
    <w:rsid w:val="001F0BA4"/>
    <w:rsid w:val="001F0CA1"/>
    <w:rsid w:val="001F0D09"/>
    <w:rsid w:val="001F0F60"/>
    <w:rsid w:val="001F1018"/>
    <w:rsid w:val="001F107C"/>
    <w:rsid w:val="001F117D"/>
    <w:rsid w:val="001F11BB"/>
    <w:rsid w:val="001F123B"/>
    <w:rsid w:val="001F12D7"/>
    <w:rsid w:val="001F1331"/>
    <w:rsid w:val="001F14EF"/>
    <w:rsid w:val="001F153A"/>
    <w:rsid w:val="001F1581"/>
    <w:rsid w:val="001F1692"/>
    <w:rsid w:val="001F16CC"/>
    <w:rsid w:val="001F1700"/>
    <w:rsid w:val="001F170A"/>
    <w:rsid w:val="001F1847"/>
    <w:rsid w:val="001F18A9"/>
    <w:rsid w:val="001F1A30"/>
    <w:rsid w:val="001F1A9A"/>
    <w:rsid w:val="001F1E63"/>
    <w:rsid w:val="001F1E75"/>
    <w:rsid w:val="001F1FC1"/>
    <w:rsid w:val="001F223C"/>
    <w:rsid w:val="001F26A0"/>
    <w:rsid w:val="001F2B8B"/>
    <w:rsid w:val="001F2BCC"/>
    <w:rsid w:val="001F2DDA"/>
    <w:rsid w:val="001F311D"/>
    <w:rsid w:val="001F37CB"/>
    <w:rsid w:val="001F38B1"/>
    <w:rsid w:val="001F3918"/>
    <w:rsid w:val="001F40A6"/>
    <w:rsid w:val="001F40B0"/>
    <w:rsid w:val="001F416E"/>
    <w:rsid w:val="001F4173"/>
    <w:rsid w:val="001F42B8"/>
    <w:rsid w:val="001F4829"/>
    <w:rsid w:val="001F487E"/>
    <w:rsid w:val="001F4A56"/>
    <w:rsid w:val="001F4AF1"/>
    <w:rsid w:val="001F4C5C"/>
    <w:rsid w:val="001F4CD2"/>
    <w:rsid w:val="001F4DAA"/>
    <w:rsid w:val="001F4FFA"/>
    <w:rsid w:val="001F5268"/>
    <w:rsid w:val="001F53B6"/>
    <w:rsid w:val="001F54B8"/>
    <w:rsid w:val="001F5591"/>
    <w:rsid w:val="001F57C6"/>
    <w:rsid w:val="001F593A"/>
    <w:rsid w:val="001F59E7"/>
    <w:rsid w:val="001F5A45"/>
    <w:rsid w:val="001F5BC6"/>
    <w:rsid w:val="001F5C9B"/>
    <w:rsid w:val="001F5CED"/>
    <w:rsid w:val="001F5DCA"/>
    <w:rsid w:val="001F6503"/>
    <w:rsid w:val="001F6618"/>
    <w:rsid w:val="001F66EC"/>
    <w:rsid w:val="001F69BF"/>
    <w:rsid w:val="001F6D6C"/>
    <w:rsid w:val="001F6E99"/>
    <w:rsid w:val="001F6EC0"/>
    <w:rsid w:val="001F70F8"/>
    <w:rsid w:val="001F739D"/>
    <w:rsid w:val="001F7453"/>
    <w:rsid w:val="001F7503"/>
    <w:rsid w:val="001F7522"/>
    <w:rsid w:val="001F789A"/>
    <w:rsid w:val="001F792A"/>
    <w:rsid w:val="001F7AF3"/>
    <w:rsid w:val="001F7B4B"/>
    <w:rsid w:val="001F7B86"/>
    <w:rsid w:val="001F7D30"/>
    <w:rsid w:val="0020015B"/>
    <w:rsid w:val="00200561"/>
    <w:rsid w:val="00200604"/>
    <w:rsid w:val="00200940"/>
    <w:rsid w:val="00200CD9"/>
    <w:rsid w:val="00200E82"/>
    <w:rsid w:val="00200EC9"/>
    <w:rsid w:val="00200F64"/>
    <w:rsid w:val="00200FFB"/>
    <w:rsid w:val="00201189"/>
    <w:rsid w:val="002012E2"/>
    <w:rsid w:val="0020139B"/>
    <w:rsid w:val="002013FE"/>
    <w:rsid w:val="0020164B"/>
    <w:rsid w:val="002016AB"/>
    <w:rsid w:val="002016CB"/>
    <w:rsid w:val="00201721"/>
    <w:rsid w:val="00201AA5"/>
    <w:rsid w:val="00201E47"/>
    <w:rsid w:val="00201FF2"/>
    <w:rsid w:val="0020210F"/>
    <w:rsid w:val="0020237E"/>
    <w:rsid w:val="002023ED"/>
    <w:rsid w:val="00202450"/>
    <w:rsid w:val="0020249C"/>
    <w:rsid w:val="00202767"/>
    <w:rsid w:val="002027B1"/>
    <w:rsid w:val="00202825"/>
    <w:rsid w:val="00202938"/>
    <w:rsid w:val="002029F3"/>
    <w:rsid w:val="00202A46"/>
    <w:rsid w:val="00202F69"/>
    <w:rsid w:val="00203033"/>
    <w:rsid w:val="00203127"/>
    <w:rsid w:val="00203193"/>
    <w:rsid w:val="002031BB"/>
    <w:rsid w:val="0020345B"/>
    <w:rsid w:val="0020349C"/>
    <w:rsid w:val="00203674"/>
    <w:rsid w:val="002037C4"/>
    <w:rsid w:val="00203AA3"/>
    <w:rsid w:val="00203C23"/>
    <w:rsid w:val="00204072"/>
    <w:rsid w:val="002041D1"/>
    <w:rsid w:val="00204347"/>
    <w:rsid w:val="002043DB"/>
    <w:rsid w:val="00204490"/>
    <w:rsid w:val="00204689"/>
    <w:rsid w:val="002047F1"/>
    <w:rsid w:val="002048BE"/>
    <w:rsid w:val="00204A1E"/>
    <w:rsid w:val="00204ADA"/>
    <w:rsid w:val="00204E13"/>
    <w:rsid w:val="00204E2D"/>
    <w:rsid w:val="00205151"/>
    <w:rsid w:val="002053C2"/>
    <w:rsid w:val="002055AA"/>
    <w:rsid w:val="00205789"/>
    <w:rsid w:val="00205AED"/>
    <w:rsid w:val="00205D92"/>
    <w:rsid w:val="00205DB9"/>
    <w:rsid w:val="00205E66"/>
    <w:rsid w:val="00205F86"/>
    <w:rsid w:val="002061C5"/>
    <w:rsid w:val="002062F2"/>
    <w:rsid w:val="002063C0"/>
    <w:rsid w:val="0020651D"/>
    <w:rsid w:val="002066BC"/>
    <w:rsid w:val="002066D5"/>
    <w:rsid w:val="002069E5"/>
    <w:rsid w:val="00206AC2"/>
    <w:rsid w:val="00206AC6"/>
    <w:rsid w:val="00206E54"/>
    <w:rsid w:val="00206E73"/>
    <w:rsid w:val="00206F70"/>
    <w:rsid w:val="00206F94"/>
    <w:rsid w:val="00207010"/>
    <w:rsid w:val="00207075"/>
    <w:rsid w:val="00207142"/>
    <w:rsid w:val="002071C4"/>
    <w:rsid w:val="002074A4"/>
    <w:rsid w:val="0020751B"/>
    <w:rsid w:val="00207543"/>
    <w:rsid w:val="0020765E"/>
    <w:rsid w:val="002079DA"/>
    <w:rsid w:val="00207A9A"/>
    <w:rsid w:val="00207E22"/>
    <w:rsid w:val="00207F6C"/>
    <w:rsid w:val="00207FBF"/>
    <w:rsid w:val="00210174"/>
    <w:rsid w:val="00210205"/>
    <w:rsid w:val="0021023B"/>
    <w:rsid w:val="0021027D"/>
    <w:rsid w:val="0021048B"/>
    <w:rsid w:val="002104D2"/>
    <w:rsid w:val="0021057B"/>
    <w:rsid w:val="0021062D"/>
    <w:rsid w:val="0021071B"/>
    <w:rsid w:val="002107BD"/>
    <w:rsid w:val="002107C4"/>
    <w:rsid w:val="00210935"/>
    <w:rsid w:val="00210D1D"/>
    <w:rsid w:val="00211181"/>
    <w:rsid w:val="002111F0"/>
    <w:rsid w:val="002114F1"/>
    <w:rsid w:val="0021150E"/>
    <w:rsid w:val="00211550"/>
    <w:rsid w:val="002115D8"/>
    <w:rsid w:val="0021165B"/>
    <w:rsid w:val="0021177C"/>
    <w:rsid w:val="00211848"/>
    <w:rsid w:val="002119EF"/>
    <w:rsid w:val="00211AC2"/>
    <w:rsid w:val="00211BED"/>
    <w:rsid w:val="0021217E"/>
    <w:rsid w:val="00212248"/>
    <w:rsid w:val="002122A1"/>
    <w:rsid w:val="002124B5"/>
    <w:rsid w:val="00212697"/>
    <w:rsid w:val="002126A3"/>
    <w:rsid w:val="00212700"/>
    <w:rsid w:val="002127D6"/>
    <w:rsid w:val="0021281F"/>
    <w:rsid w:val="00212851"/>
    <w:rsid w:val="00212871"/>
    <w:rsid w:val="00212887"/>
    <w:rsid w:val="002129CD"/>
    <w:rsid w:val="00212A16"/>
    <w:rsid w:val="00212AB3"/>
    <w:rsid w:val="00212F00"/>
    <w:rsid w:val="00212FE2"/>
    <w:rsid w:val="00213128"/>
    <w:rsid w:val="00213164"/>
    <w:rsid w:val="0021337A"/>
    <w:rsid w:val="002134DE"/>
    <w:rsid w:val="0021368B"/>
    <w:rsid w:val="0021375D"/>
    <w:rsid w:val="00213776"/>
    <w:rsid w:val="0021383D"/>
    <w:rsid w:val="0021387C"/>
    <w:rsid w:val="00213C0F"/>
    <w:rsid w:val="00213CDF"/>
    <w:rsid w:val="00213F94"/>
    <w:rsid w:val="00214012"/>
    <w:rsid w:val="00214529"/>
    <w:rsid w:val="002148F3"/>
    <w:rsid w:val="00214B6C"/>
    <w:rsid w:val="00214CAD"/>
    <w:rsid w:val="00214F86"/>
    <w:rsid w:val="00215416"/>
    <w:rsid w:val="0021586B"/>
    <w:rsid w:val="002159E2"/>
    <w:rsid w:val="00215A07"/>
    <w:rsid w:val="00215BEC"/>
    <w:rsid w:val="00215C1F"/>
    <w:rsid w:val="00215D82"/>
    <w:rsid w:val="00215FA1"/>
    <w:rsid w:val="0021633C"/>
    <w:rsid w:val="00216468"/>
    <w:rsid w:val="00216596"/>
    <w:rsid w:val="0021665D"/>
    <w:rsid w:val="002166A4"/>
    <w:rsid w:val="00216751"/>
    <w:rsid w:val="002168F4"/>
    <w:rsid w:val="00216D3B"/>
    <w:rsid w:val="00216D8A"/>
    <w:rsid w:val="00216F10"/>
    <w:rsid w:val="00216FE3"/>
    <w:rsid w:val="0021709D"/>
    <w:rsid w:val="002170E4"/>
    <w:rsid w:val="00217252"/>
    <w:rsid w:val="002173B9"/>
    <w:rsid w:val="00217608"/>
    <w:rsid w:val="002176CE"/>
    <w:rsid w:val="002176FC"/>
    <w:rsid w:val="002177C1"/>
    <w:rsid w:val="00217893"/>
    <w:rsid w:val="002178DF"/>
    <w:rsid w:val="00217A3A"/>
    <w:rsid w:val="00217A9E"/>
    <w:rsid w:val="00217AC0"/>
    <w:rsid w:val="00217C32"/>
    <w:rsid w:val="00217F24"/>
    <w:rsid w:val="00217F91"/>
    <w:rsid w:val="00220057"/>
    <w:rsid w:val="002201B7"/>
    <w:rsid w:val="00220477"/>
    <w:rsid w:val="0022060B"/>
    <w:rsid w:val="0022065D"/>
    <w:rsid w:val="00220765"/>
    <w:rsid w:val="002207A1"/>
    <w:rsid w:val="00220855"/>
    <w:rsid w:val="0022087D"/>
    <w:rsid w:val="00220A48"/>
    <w:rsid w:val="00220D78"/>
    <w:rsid w:val="00220DC4"/>
    <w:rsid w:val="00220DE0"/>
    <w:rsid w:val="00220F3B"/>
    <w:rsid w:val="00220F86"/>
    <w:rsid w:val="00221117"/>
    <w:rsid w:val="00221446"/>
    <w:rsid w:val="00221563"/>
    <w:rsid w:val="002215FC"/>
    <w:rsid w:val="0022188A"/>
    <w:rsid w:val="00221E35"/>
    <w:rsid w:val="0022258C"/>
    <w:rsid w:val="00222794"/>
    <w:rsid w:val="0022286C"/>
    <w:rsid w:val="00222C12"/>
    <w:rsid w:val="00222C95"/>
    <w:rsid w:val="00223916"/>
    <w:rsid w:val="00223CC2"/>
    <w:rsid w:val="002241F6"/>
    <w:rsid w:val="002242BE"/>
    <w:rsid w:val="00224305"/>
    <w:rsid w:val="002244C1"/>
    <w:rsid w:val="002245DE"/>
    <w:rsid w:val="002247D9"/>
    <w:rsid w:val="00224A93"/>
    <w:rsid w:val="00224AAA"/>
    <w:rsid w:val="00224C1E"/>
    <w:rsid w:val="00224C9A"/>
    <w:rsid w:val="00224E29"/>
    <w:rsid w:val="00225017"/>
    <w:rsid w:val="002250FD"/>
    <w:rsid w:val="00225348"/>
    <w:rsid w:val="00225375"/>
    <w:rsid w:val="002256C8"/>
    <w:rsid w:val="00225813"/>
    <w:rsid w:val="002259C3"/>
    <w:rsid w:val="002259DA"/>
    <w:rsid w:val="00225A71"/>
    <w:rsid w:val="00225C32"/>
    <w:rsid w:val="00225CD6"/>
    <w:rsid w:val="00225DF4"/>
    <w:rsid w:val="00225F4F"/>
    <w:rsid w:val="00225F84"/>
    <w:rsid w:val="00225FE3"/>
    <w:rsid w:val="00226169"/>
    <w:rsid w:val="00226267"/>
    <w:rsid w:val="0022633A"/>
    <w:rsid w:val="00226437"/>
    <w:rsid w:val="002264F7"/>
    <w:rsid w:val="0022656D"/>
    <w:rsid w:val="0022667C"/>
    <w:rsid w:val="002266D1"/>
    <w:rsid w:val="002266D6"/>
    <w:rsid w:val="002269D5"/>
    <w:rsid w:val="00226E64"/>
    <w:rsid w:val="00226F59"/>
    <w:rsid w:val="00226FD7"/>
    <w:rsid w:val="00227633"/>
    <w:rsid w:val="002277F5"/>
    <w:rsid w:val="00227ED3"/>
    <w:rsid w:val="00227F6A"/>
    <w:rsid w:val="00227FEA"/>
    <w:rsid w:val="00230049"/>
    <w:rsid w:val="002300D2"/>
    <w:rsid w:val="002301D6"/>
    <w:rsid w:val="00230549"/>
    <w:rsid w:val="002305F9"/>
    <w:rsid w:val="0023078F"/>
    <w:rsid w:val="00230CF9"/>
    <w:rsid w:val="00230E3D"/>
    <w:rsid w:val="00230F11"/>
    <w:rsid w:val="00231068"/>
    <w:rsid w:val="00231143"/>
    <w:rsid w:val="00231545"/>
    <w:rsid w:val="00231612"/>
    <w:rsid w:val="002316B3"/>
    <w:rsid w:val="00231777"/>
    <w:rsid w:val="00231B81"/>
    <w:rsid w:val="00231BB7"/>
    <w:rsid w:val="00231EC0"/>
    <w:rsid w:val="00232335"/>
    <w:rsid w:val="002323DC"/>
    <w:rsid w:val="00232878"/>
    <w:rsid w:val="0023299E"/>
    <w:rsid w:val="002329A1"/>
    <w:rsid w:val="00232C94"/>
    <w:rsid w:val="00233331"/>
    <w:rsid w:val="00233437"/>
    <w:rsid w:val="002336AF"/>
    <w:rsid w:val="0023390A"/>
    <w:rsid w:val="00233B17"/>
    <w:rsid w:val="00233F2A"/>
    <w:rsid w:val="00234009"/>
    <w:rsid w:val="00234508"/>
    <w:rsid w:val="00234653"/>
    <w:rsid w:val="00234681"/>
    <w:rsid w:val="002347BC"/>
    <w:rsid w:val="002347C7"/>
    <w:rsid w:val="0023482C"/>
    <w:rsid w:val="00234FD7"/>
    <w:rsid w:val="00235030"/>
    <w:rsid w:val="002358D6"/>
    <w:rsid w:val="00235925"/>
    <w:rsid w:val="00235AF1"/>
    <w:rsid w:val="00235BBF"/>
    <w:rsid w:val="00235C86"/>
    <w:rsid w:val="00235D7E"/>
    <w:rsid w:val="00235EC5"/>
    <w:rsid w:val="00235FAF"/>
    <w:rsid w:val="002360EF"/>
    <w:rsid w:val="002361CD"/>
    <w:rsid w:val="00236435"/>
    <w:rsid w:val="002366C5"/>
    <w:rsid w:val="00236825"/>
    <w:rsid w:val="002368B3"/>
    <w:rsid w:val="00236902"/>
    <w:rsid w:val="00236B98"/>
    <w:rsid w:val="00236CB8"/>
    <w:rsid w:val="00236F96"/>
    <w:rsid w:val="00237047"/>
    <w:rsid w:val="002371B3"/>
    <w:rsid w:val="0023727E"/>
    <w:rsid w:val="00237569"/>
    <w:rsid w:val="002375F4"/>
    <w:rsid w:val="0023760D"/>
    <w:rsid w:val="00237615"/>
    <w:rsid w:val="00237829"/>
    <w:rsid w:val="00237843"/>
    <w:rsid w:val="00237985"/>
    <w:rsid w:val="00237AFA"/>
    <w:rsid w:val="00237BD9"/>
    <w:rsid w:val="00237BDA"/>
    <w:rsid w:val="0024016B"/>
    <w:rsid w:val="002401D2"/>
    <w:rsid w:val="0024040C"/>
    <w:rsid w:val="00240640"/>
    <w:rsid w:val="00240987"/>
    <w:rsid w:val="00240A28"/>
    <w:rsid w:val="00240B26"/>
    <w:rsid w:val="00240B78"/>
    <w:rsid w:val="00240DC1"/>
    <w:rsid w:val="0024109E"/>
    <w:rsid w:val="002410A0"/>
    <w:rsid w:val="00241132"/>
    <w:rsid w:val="0024124C"/>
    <w:rsid w:val="002412AC"/>
    <w:rsid w:val="002412E2"/>
    <w:rsid w:val="002413ED"/>
    <w:rsid w:val="002417E8"/>
    <w:rsid w:val="00241AB4"/>
    <w:rsid w:val="00241BCF"/>
    <w:rsid w:val="00241C98"/>
    <w:rsid w:val="00241D94"/>
    <w:rsid w:val="002420F4"/>
    <w:rsid w:val="00242662"/>
    <w:rsid w:val="00242986"/>
    <w:rsid w:val="002429A7"/>
    <w:rsid w:val="00242B95"/>
    <w:rsid w:val="00242BEA"/>
    <w:rsid w:val="00242F44"/>
    <w:rsid w:val="00243194"/>
    <w:rsid w:val="0024351A"/>
    <w:rsid w:val="0024352F"/>
    <w:rsid w:val="00243912"/>
    <w:rsid w:val="00243AD0"/>
    <w:rsid w:val="00243B9B"/>
    <w:rsid w:val="00243D8E"/>
    <w:rsid w:val="00243EE3"/>
    <w:rsid w:val="00244024"/>
    <w:rsid w:val="00244150"/>
    <w:rsid w:val="0024424F"/>
    <w:rsid w:val="00244493"/>
    <w:rsid w:val="00244565"/>
    <w:rsid w:val="002445C9"/>
    <w:rsid w:val="0024463D"/>
    <w:rsid w:val="00244811"/>
    <w:rsid w:val="00244BEA"/>
    <w:rsid w:val="00244CE6"/>
    <w:rsid w:val="00244D1E"/>
    <w:rsid w:val="00244D3C"/>
    <w:rsid w:val="00244D94"/>
    <w:rsid w:val="00244DF1"/>
    <w:rsid w:val="00244ECE"/>
    <w:rsid w:val="00244F5B"/>
    <w:rsid w:val="00245178"/>
    <w:rsid w:val="00245231"/>
    <w:rsid w:val="00245542"/>
    <w:rsid w:val="00245651"/>
    <w:rsid w:val="002459AC"/>
    <w:rsid w:val="00245A5C"/>
    <w:rsid w:val="00245A7F"/>
    <w:rsid w:val="00245B64"/>
    <w:rsid w:val="00245B75"/>
    <w:rsid w:val="00245BBE"/>
    <w:rsid w:val="00245D4B"/>
    <w:rsid w:val="0024613A"/>
    <w:rsid w:val="0024616B"/>
    <w:rsid w:val="002464A4"/>
    <w:rsid w:val="00246548"/>
    <w:rsid w:val="0024662A"/>
    <w:rsid w:val="00246697"/>
    <w:rsid w:val="0024670B"/>
    <w:rsid w:val="00246759"/>
    <w:rsid w:val="002467B4"/>
    <w:rsid w:val="00246DE3"/>
    <w:rsid w:val="00246FD8"/>
    <w:rsid w:val="00247315"/>
    <w:rsid w:val="00247582"/>
    <w:rsid w:val="0024760C"/>
    <w:rsid w:val="00247633"/>
    <w:rsid w:val="00247669"/>
    <w:rsid w:val="00247674"/>
    <w:rsid w:val="0024776C"/>
    <w:rsid w:val="00247788"/>
    <w:rsid w:val="0024785C"/>
    <w:rsid w:val="002479F8"/>
    <w:rsid w:val="00247DBB"/>
    <w:rsid w:val="00247E59"/>
    <w:rsid w:val="00250167"/>
    <w:rsid w:val="00250223"/>
    <w:rsid w:val="0025035A"/>
    <w:rsid w:val="002505D1"/>
    <w:rsid w:val="002506DF"/>
    <w:rsid w:val="0025076E"/>
    <w:rsid w:val="00250872"/>
    <w:rsid w:val="0025094F"/>
    <w:rsid w:val="00250BB6"/>
    <w:rsid w:val="00250C09"/>
    <w:rsid w:val="00250F47"/>
    <w:rsid w:val="002511BE"/>
    <w:rsid w:val="0025127C"/>
    <w:rsid w:val="002517F4"/>
    <w:rsid w:val="002518C7"/>
    <w:rsid w:val="00251BDC"/>
    <w:rsid w:val="0025234E"/>
    <w:rsid w:val="00252594"/>
    <w:rsid w:val="002525C8"/>
    <w:rsid w:val="002526A6"/>
    <w:rsid w:val="00252B49"/>
    <w:rsid w:val="00252E4E"/>
    <w:rsid w:val="00253190"/>
    <w:rsid w:val="002531E3"/>
    <w:rsid w:val="00253315"/>
    <w:rsid w:val="0025369F"/>
    <w:rsid w:val="0025386F"/>
    <w:rsid w:val="00253AAC"/>
    <w:rsid w:val="00253B34"/>
    <w:rsid w:val="00253D4A"/>
    <w:rsid w:val="00253EAF"/>
    <w:rsid w:val="00254048"/>
    <w:rsid w:val="00254214"/>
    <w:rsid w:val="0025424C"/>
    <w:rsid w:val="002542A0"/>
    <w:rsid w:val="002545AB"/>
    <w:rsid w:val="002545AC"/>
    <w:rsid w:val="002545AF"/>
    <w:rsid w:val="002545CB"/>
    <w:rsid w:val="002545FF"/>
    <w:rsid w:val="002548C1"/>
    <w:rsid w:val="002548E4"/>
    <w:rsid w:val="00254B05"/>
    <w:rsid w:val="00254E50"/>
    <w:rsid w:val="00254F37"/>
    <w:rsid w:val="00255173"/>
    <w:rsid w:val="002551D8"/>
    <w:rsid w:val="002554C7"/>
    <w:rsid w:val="002554E6"/>
    <w:rsid w:val="00255716"/>
    <w:rsid w:val="002557CC"/>
    <w:rsid w:val="00255923"/>
    <w:rsid w:val="00255A75"/>
    <w:rsid w:val="00255D20"/>
    <w:rsid w:val="002560FF"/>
    <w:rsid w:val="00256256"/>
    <w:rsid w:val="00256385"/>
    <w:rsid w:val="00256406"/>
    <w:rsid w:val="00256501"/>
    <w:rsid w:val="00256669"/>
    <w:rsid w:val="00256734"/>
    <w:rsid w:val="00256890"/>
    <w:rsid w:val="0025692F"/>
    <w:rsid w:val="00256C59"/>
    <w:rsid w:val="00257232"/>
    <w:rsid w:val="00257242"/>
    <w:rsid w:val="0025768D"/>
    <w:rsid w:val="002577D8"/>
    <w:rsid w:val="00257881"/>
    <w:rsid w:val="002600D9"/>
    <w:rsid w:val="002601A2"/>
    <w:rsid w:val="002601CB"/>
    <w:rsid w:val="00260235"/>
    <w:rsid w:val="00260366"/>
    <w:rsid w:val="00260382"/>
    <w:rsid w:val="00260444"/>
    <w:rsid w:val="0026045D"/>
    <w:rsid w:val="00260520"/>
    <w:rsid w:val="00260582"/>
    <w:rsid w:val="002606E9"/>
    <w:rsid w:val="00260931"/>
    <w:rsid w:val="00260982"/>
    <w:rsid w:val="00260B13"/>
    <w:rsid w:val="00260B69"/>
    <w:rsid w:val="00260BFA"/>
    <w:rsid w:val="00260CB8"/>
    <w:rsid w:val="00260E95"/>
    <w:rsid w:val="00261452"/>
    <w:rsid w:val="00261593"/>
    <w:rsid w:val="00261EB0"/>
    <w:rsid w:val="00261ECE"/>
    <w:rsid w:val="00261F95"/>
    <w:rsid w:val="00261FBB"/>
    <w:rsid w:val="002620F9"/>
    <w:rsid w:val="00262204"/>
    <w:rsid w:val="00262633"/>
    <w:rsid w:val="00262A0B"/>
    <w:rsid w:val="00262A88"/>
    <w:rsid w:val="002630AE"/>
    <w:rsid w:val="00263221"/>
    <w:rsid w:val="0026349C"/>
    <w:rsid w:val="002635D6"/>
    <w:rsid w:val="00263654"/>
    <w:rsid w:val="00263753"/>
    <w:rsid w:val="00263881"/>
    <w:rsid w:val="00263AD3"/>
    <w:rsid w:val="00263B87"/>
    <w:rsid w:val="00263E79"/>
    <w:rsid w:val="00263F02"/>
    <w:rsid w:val="00263FD2"/>
    <w:rsid w:val="0026442E"/>
    <w:rsid w:val="00264783"/>
    <w:rsid w:val="00264855"/>
    <w:rsid w:val="0026496B"/>
    <w:rsid w:val="0026497C"/>
    <w:rsid w:val="00264AA7"/>
    <w:rsid w:val="00264CD0"/>
    <w:rsid w:val="00264F09"/>
    <w:rsid w:val="00265106"/>
    <w:rsid w:val="002653B5"/>
    <w:rsid w:val="0026571F"/>
    <w:rsid w:val="002657E3"/>
    <w:rsid w:val="00265831"/>
    <w:rsid w:val="00265837"/>
    <w:rsid w:val="00265A6A"/>
    <w:rsid w:val="002660DC"/>
    <w:rsid w:val="00266262"/>
    <w:rsid w:val="00266299"/>
    <w:rsid w:val="00266509"/>
    <w:rsid w:val="00266A32"/>
    <w:rsid w:val="00266C79"/>
    <w:rsid w:val="00266CA2"/>
    <w:rsid w:val="00266DD3"/>
    <w:rsid w:val="00266F66"/>
    <w:rsid w:val="00267058"/>
    <w:rsid w:val="002671CD"/>
    <w:rsid w:val="00267443"/>
    <w:rsid w:val="00267669"/>
    <w:rsid w:val="00267858"/>
    <w:rsid w:val="00267B9F"/>
    <w:rsid w:val="00267BA2"/>
    <w:rsid w:val="00267C42"/>
    <w:rsid w:val="00267E4D"/>
    <w:rsid w:val="00267E65"/>
    <w:rsid w:val="00267E83"/>
    <w:rsid w:val="00267F4F"/>
    <w:rsid w:val="00270249"/>
    <w:rsid w:val="002702B1"/>
    <w:rsid w:val="0027040E"/>
    <w:rsid w:val="0027043E"/>
    <w:rsid w:val="002706D7"/>
    <w:rsid w:val="0027082F"/>
    <w:rsid w:val="00270AE2"/>
    <w:rsid w:val="00270C4D"/>
    <w:rsid w:val="00270C5D"/>
    <w:rsid w:val="00270CEE"/>
    <w:rsid w:val="00270DB7"/>
    <w:rsid w:val="0027101C"/>
    <w:rsid w:val="00271167"/>
    <w:rsid w:val="00271358"/>
    <w:rsid w:val="002713E0"/>
    <w:rsid w:val="002714D7"/>
    <w:rsid w:val="0027167C"/>
    <w:rsid w:val="00271B22"/>
    <w:rsid w:val="00271B4A"/>
    <w:rsid w:val="00271DE2"/>
    <w:rsid w:val="00272464"/>
    <w:rsid w:val="002724D6"/>
    <w:rsid w:val="00272665"/>
    <w:rsid w:val="002728BB"/>
    <w:rsid w:val="00273393"/>
    <w:rsid w:val="00273457"/>
    <w:rsid w:val="00273644"/>
    <w:rsid w:val="00273A3A"/>
    <w:rsid w:val="00273C75"/>
    <w:rsid w:val="00273D19"/>
    <w:rsid w:val="00273D91"/>
    <w:rsid w:val="00273F97"/>
    <w:rsid w:val="002742C9"/>
    <w:rsid w:val="00274487"/>
    <w:rsid w:val="002745AD"/>
    <w:rsid w:val="0027474B"/>
    <w:rsid w:val="0027496A"/>
    <w:rsid w:val="00274D15"/>
    <w:rsid w:val="00274DC7"/>
    <w:rsid w:val="002751C6"/>
    <w:rsid w:val="00275230"/>
    <w:rsid w:val="00275667"/>
    <w:rsid w:val="002756DC"/>
    <w:rsid w:val="002758F5"/>
    <w:rsid w:val="0027594F"/>
    <w:rsid w:val="00275B20"/>
    <w:rsid w:val="00275B51"/>
    <w:rsid w:val="00275C67"/>
    <w:rsid w:val="00275C9E"/>
    <w:rsid w:val="00275D3D"/>
    <w:rsid w:val="00275DE5"/>
    <w:rsid w:val="00275F60"/>
    <w:rsid w:val="00275F7E"/>
    <w:rsid w:val="00276138"/>
    <w:rsid w:val="002762D6"/>
    <w:rsid w:val="002763B9"/>
    <w:rsid w:val="0027641C"/>
    <w:rsid w:val="0027642B"/>
    <w:rsid w:val="00276459"/>
    <w:rsid w:val="002765E6"/>
    <w:rsid w:val="0027673D"/>
    <w:rsid w:val="00276856"/>
    <w:rsid w:val="00276B35"/>
    <w:rsid w:val="00276B8B"/>
    <w:rsid w:val="00276FD5"/>
    <w:rsid w:val="002771C7"/>
    <w:rsid w:val="00277413"/>
    <w:rsid w:val="002777BC"/>
    <w:rsid w:val="002778F8"/>
    <w:rsid w:val="0027796E"/>
    <w:rsid w:val="00277B3E"/>
    <w:rsid w:val="00277B76"/>
    <w:rsid w:val="00277C0E"/>
    <w:rsid w:val="00277C80"/>
    <w:rsid w:val="00277D6A"/>
    <w:rsid w:val="00277DBF"/>
    <w:rsid w:val="00277DD7"/>
    <w:rsid w:val="00280011"/>
    <w:rsid w:val="0028004C"/>
    <w:rsid w:val="00280071"/>
    <w:rsid w:val="002800D3"/>
    <w:rsid w:val="0028029B"/>
    <w:rsid w:val="00280448"/>
    <w:rsid w:val="00280556"/>
    <w:rsid w:val="00280802"/>
    <w:rsid w:val="002809FB"/>
    <w:rsid w:val="00280A59"/>
    <w:rsid w:val="00280B92"/>
    <w:rsid w:val="00280F31"/>
    <w:rsid w:val="00280F33"/>
    <w:rsid w:val="00281142"/>
    <w:rsid w:val="0028159D"/>
    <w:rsid w:val="0028167F"/>
    <w:rsid w:val="002816BE"/>
    <w:rsid w:val="002817D5"/>
    <w:rsid w:val="002817DC"/>
    <w:rsid w:val="00281E35"/>
    <w:rsid w:val="00281EFB"/>
    <w:rsid w:val="00281F8C"/>
    <w:rsid w:val="00281FB0"/>
    <w:rsid w:val="002821D2"/>
    <w:rsid w:val="00282214"/>
    <w:rsid w:val="00282286"/>
    <w:rsid w:val="00282375"/>
    <w:rsid w:val="00282400"/>
    <w:rsid w:val="00282579"/>
    <w:rsid w:val="0028272F"/>
    <w:rsid w:val="00282836"/>
    <w:rsid w:val="002828F4"/>
    <w:rsid w:val="00282AD5"/>
    <w:rsid w:val="00282BAD"/>
    <w:rsid w:val="00282D5B"/>
    <w:rsid w:val="00282E74"/>
    <w:rsid w:val="00282FE9"/>
    <w:rsid w:val="002830E3"/>
    <w:rsid w:val="0028314C"/>
    <w:rsid w:val="0028328F"/>
    <w:rsid w:val="002832CE"/>
    <w:rsid w:val="002836B2"/>
    <w:rsid w:val="002836D0"/>
    <w:rsid w:val="00283C64"/>
    <w:rsid w:val="00283C7D"/>
    <w:rsid w:val="00283C88"/>
    <w:rsid w:val="00283CA8"/>
    <w:rsid w:val="00283D6D"/>
    <w:rsid w:val="00284188"/>
    <w:rsid w:val="002841DB"/>
    <w:rsid w:val="00284353"/>
    <w:rsid w:val="0028476C"/>
    <w:rsid w:val="00284D01"/>
    <w:rsid w:val="0028529E"/>
    <w:rsid w:val="0028552E"/>
    <w:rsid w:val="00285546"/>
    <w:rsid w:val="00285551"/>
    <w:rsid w:val="002855EA"/>
    <w:rsid w:val="002857BC"/>
    <w:rsid w:val="00285EE6"/>
    <w:rsid w:val="00285FE3"/>
    <w:rsid w:val="00285FE7"/>
    <w:rsid w:val="002861C7"/>
    <w:rsid w:val="00286224"/>
    <w:rsid w:val="0028634C"/>
    <w:rsid w:val="002864C1"/>
    <w:rsid w:val="00286531"/>
    <w:rsid w:val="002866D0"/>
    <w:rsid w:val="002868AC"/>
    <w:rsid w:val="0028692E"/>
    <w:rsid w:val="00286A91"/>
    <w:rsid w:val="00286EEE"/>
    <w:rsid w:val="00286FF7"/>
    <w:rsid w:val="002871AC"/>
    <w:rsid w:val="002872B4"/>
    <w:rsid w:val="002873F9"/>
    <w:rsid w:val="00287445"/>
    <w:rsid w:val="0028754B"/>
    <w:rsid w:val="002875CB"/>
    <w:rsid w:val="0028762D"/>
    <w:rsid w:val="0028764E"/>
    <w:rsid w:val="002876A9"/>
    <w:rsid w:val="002876AC"/>
    <w:rsid w:val="00287DDB"/>
    <w:rsid w:val="00290060"/>
    <w:rsid w:val="00290171"/>
    <w:rsid w:val="002902B5"/>
    <w:rsid w:val="002902C6"/>
    <w:rsid w:val="00290538"/>
    <w:rsid w:val="00290796"/>
    <w:rsid w:val="0029081D"/>
    <w:rsid w:val="00290DAD"/>
    <w:rsid w:val="00290E3F"/>
    <w:rsid w:val="00290FF7"/>
    <w:rsid w:val="00291116"/>
    <w:rsid w:val="002914DF"/>
    <w:rsid w:val="00291541"/>
    <w:rsid w:val="00291704"/>
    <w:rsid w:val="002917DB"/>
    <w:rsid w:val="002918A0"/>
    <w:rsid w:val="002918F4"/>
    <w:rsid w:val="00291A8B"/>
    <w:rsid w:val="00291C16"/>
    <w:rsid w:val="00291C4B"/>
    <w:rsid w:val="00291C9A"/>
    <w:rsid w:val="00291EA3"/>
    <w:rsid w:val="00291FCA"/>
    <w:rsid w:val="002921F9"/>
    <w:rsid w:val="0029227F"/>
    <w:rsid w:val="0029242E"/>
    <w:rsid w:val="00292570"/>
    <w:rsid w:val="00292680"/>
    <w:rsid w:val="00292BFA"/>
    <w:rsid w:val="00292C86"/>
    <w:rsid w:val="00292D69"/>
    <w:rsid w:val="00292DA3"/>
    <w:rsid w:val="00292E8B"/>
    <w:rsid w:val="00292EFE"/>
    <w:rsid w:val="002932E2"/>
    <w:rsid w:val="002935DB"/>
    <w:rsid w:val="0029364D"/>
    <w:rsid w:val="00293703"/>
    <w:rsid w:val="00293831"/>
    <w:rsid w:val="0029384B"/>
    <w:rsid w:val="0029399F"/>
    <w:rsid w:val="00293B04"/>
    <w:rsid w:val="00293C30"/>
    <w:rsid w:val="00293E61"/>
    <w:rsid w:val="00293F05"/>
    <w:rsid w:val="00293FC7"/>
    <w:rsid w:val="0029401F"/>
    <w:rsid w:val="0029436B"/>
    <w:rsid w:val="0029437D"/>
    <w:rsid w:val="002943F6"/>
    <w:rsid w:val="002944DB"/>
    <w:rsid w:val="00294997"/>
    <w:rsid w:val="00294A22"/>
    <w:rsid w:val="00294A68"/>
    <w:rsid w:val="00294D75"/>
    <w:rsid w:val="002951B5"/>
    <w:rsid w:val="0029538A"/>
    <w:rsid w:val="0029583E"/>
    <w:rsid w:val="00295AB4"/>
    <w:rsid w:val="00295C2F"/>
    <w:rsid w:val="00295DB3"/>
    <w:rsid w:val="00295F66"/>
    <w:rsid w:val="00296143"/>
    <w:rsid w:val="00296299"/>
    <w:rsid w:val="002964DA"/>
    <w:rsid w:val="0029650B"/>
    <w:rsid w:val="0029650C"/>
    <w:rsid w:val="002968EE"/>
    <w:rsid w:val="00296A58"/>
    <w:rsid w:val="00296F0C"/>
    <w:rsid w:val="00296F71"/>
    <w:rsid w:val="00297043"/>
    <w:rsid w:val="00297270"/>
    <w:rsid w:val="002972DE"/>
    <w:rsid w:val="002974E8"/>
    <w:rsid w:val="00297525"/>
    <w:rsid w:val="002976A6"/>
    <w:rsid w:val="002976D9"/>
    <w:rsid w:val="00297796"/>
    <w:rsid w:val="00297A85"/>
    <w:rsid w:val="00297D57"/>
    <w:rsid w:val="00297DBE"/>
    <w:rsid w:val="00297FFC"/>
    <w:rsid w:val="002A01CA"/>
    <w:rsid w:val="002A05EF"/>
    <w:rsid w:val="002A09F2"/>
    <w:rsid w:val="002A0A21"/>
    <w:rsid w:val="002A0ABD"/>
    <w:rsid w:val="002A0F09"/>
    <w:rsid w:val="002A0FD5"/>
    <w:rsid w:val="002A10DE"/>
    <w:rsid w:val="002A1274"/>
    <w:rsid w:val="002A16A9"/>
    <w:rsid w:val="002A187E"/>
    <w:rsid w:val="002A1920"/>
    <w:rsid w:val="002A1A19"/>
    <w:rsid w:val="002A1B41"/>
    <w:rsid w:val="002A1D13"/>
    <w:rsid w:val="002A1E7C"/>
    <w:rsid w:val="002A1EAE"/>
    <w:rsid w:val="002A1FB0"/>
    <w:rsid w:val="002A20DD"/>
    <w:rsid w:val="002A2353"/>
    <w:rsid w:val="002A236B"/>
    <w:rsid w:val="002A24C2"/>
    <w:rsid w:val="002A24F5"/>
    <w:rsid w:val="002A2862"/>
    <w:rsid w:val="002A2F66"/>
    <w:rsid w:val="002A3249"/>
    <w:rsid w:val="002A33BF"/>
    <w:rsid w:val="002A36FA"/>
    <w:rsid w:val="002A3894"/>
    <w:rsid w:val="002A38C0"/>
    <w:rsid w:val="002A395D"/>
    <w:rsid w:val="002A3A8F"/>
    <w:rsid w:val="002A3B29"/>
    <w:rsid w:val="002A3B94"/>
    <w:rsid w:val="002A3E46"/>
    <w:rsid w:val="002A4047"/>
    <w:rsid w:val="002A435F"/>
    <w:rsid w:val="002A4489"/>
    <w:rsid w:val="002A4654"/>
    <w:rsid w:val="002A4794"/>
    <w:rsid w:val="002A49E9"/>
    <w:rsid w:val="002A4B73"/>
    <w:rsid w:val="002A50DC"/>
    <w:rsid w:val="002A5247"/>
    <w:rsid w:val="002A5460"/>
    <w:rsid w:val="002A55C1"/>
    <w:rsid w:val="002A5620"/>
    <w:rsid w:val="002A563F"/>
    <w:rsid w:val="002A56A9"/>
    <w:rsid w:val="002A57A2"/>
    <w:rsid w:val="002A57D2"/>
    <w:rsid w:val="002A5F35"/>
    <w:rsid w:val="002A60C5"/>
    <w:rsid w:val="002A613F"/>
    <w:rsid w:val="002A6254"/>
    <w:rsid w:val="002A6340"/>
    <w:rsid w:val="002A64F7"/>
    <w:rsid w:val="002A6674"/>
    <w:rsid w:val="002A66C0"/>
    <w:rsid w:val="002A66CA"/>
    <w:rsid w:val="002A6854"/>
    <w:rsid w:val="002A6B42"/>
    <w:rsid w:val="002A6C8D"/>
    <w:rsid w:val="002A6DE7"/>
    <w:rsid w:val="002A6F7B"/>
    <w:rsid w:val="002A7009"/>
    <w:rsid w:val="002A7737"/>
    <w:rsid w:val="002A792A"/>
    <w:rsid w:val="002A7B0D"/>
    <w:rsid w:val="002A7E42"/>
    <w:rsid w:val="002A7FAE"/>
    <w:rsid w:val="002B00EF"/>
    <w:rsid w:val="002B0145"/>
    <w:rsid w:val="002B062D"/>
    <w:rsid w:val="002B06D8"/>
    <w:rsid w:val="002B075E"/>
    <w:rsid w:val="002B0B50"/>
    <w:rsid w:val="002B0D8D"/>
    <w:rsid w:val="002B0E7C"/>
    <w:rsid w:val="002B0EE9"/>
    <w:rsid w:val="002B0F1C"/>
    <w:rsid w:val="002B10B1"/>
    <w:rsid w:val="002B1728"/>
    <w:rsid w:val="002B17AD"/>
    <w:rsid w:val="002B1B80"/>
    <w:rsid w:val="002B1C51"/>
    <w:rsid w:val="002B1CFA"/>
    <w:rsid w:val="002B204E"/>
    <w:rsid w:val="002B2104"/>
    <w:rsid w:val="002B21BF"/>
    <w:rsid w:val="002B2207"/>
    <w:rsid w:val="002B222C"/>
    <w:rsid w:val="002B24DF"/>
    <w:rsid w:val="002B2808"/>
    <w:rsid w:val="002B2B29"/>
    <w:rsid w:val="002B2DB4"/>
    <w:rsid w:val="002B2E36"/>
    <w:rsid w:val="002B2EB6"/>
    <w:rsid w:val="002B2F6C"/>
    <w:rsid w:val="002B330D"/>
    <w:rsid w:val="002B34DE"/>
    <w:rsid w:val="002B35A8"/>
    <w:rsid w:val="002B360A"/>
    <w:rsid w:val="002B367F"/>
    <w:rsid w:val="002B376B"/>
    <w:rsid w:val="002B3856"/>
    <w:rsid w:val="002B3C42"/>
    <w:rsid w:val="002B3DB4"/>
    <w:rsid w:val="002B3F72"/>
    <w:rsid w:val="002B4081"/>
    <w:rsid w:val="002B40CF"/>
    <w:rsid w:val="002B4243"/>
    <w:rsid w:val="002B4425"/>
    <w:rsid w:val="002B4482"/>
    <w:rsid w:val="002B4544"/>
    <w:rsid w:val="002B455D"/>
    <w:rsid w:val="002B489A"/>
    <w:rsid w:val="002B4933"/>
    <w:rsid w:val="002B4A3A"/>
    <w:rsid w:val="002B4BCB"/>
    <w:rsid w:val="002B4C4B"/>
    <w:rsid w:val="002B4C71"/>
    <w:rsid w:val="002B518B"/>
    <w:rsid w:val="002B526C"/>
    <w:rsid w:val="002B54AD"/>
    <w:rsid w:val="002B58A0"/>
    <w:rsid w:val="002B597E"/>
    <w:rsid w:val="002B5A01"/>
    <w:rsid w:val="002B5B7B"/>
    <w:rsid w:val="002B5C21"/>
    <w:rsid w:val="002B5D6F"/>
    <w:rsid w:val="002B5FD9"/>
    <w:rsid w:val="002B6059"/>
    <w:rsid w:val="002B61EA"/>
    <w:rsid w:val="002B6468"/>
    <w:rsid w:val="002B64C1"/>
    <w:rsid w:val="002B64D3"/>
    <w:rsid w:val="002B6527"/>
    <w:rsid w:val="002B65F1"/>
    <w:rsid w:val="002B6618"/>
    <w:rsid w:val="002B6CCD"/>
    <w:rsid w:val="002B6E0E"/>
    <w:rsid w:val="002B7003"/>
    <w:rsid w:val="002B7011"/>
    <w:rsid w:val="002B712B"/>
    <w:rsid w:val="002B7141"/>
    <w:rsid w:val="002B7727"/>
    <w:rsid w:val="002B77C1"/>
    <w:rsid w:val="002B7846"/>
    <w:rsid w:val="002B798A"/>
    <w:rsid w:val="002B7C7E"/>
    <w:rsid w:val="002B7D1F"/>
    <w:rsid w:val="002B7D8E"/>
    <w:rsid w:val="002B7EE1"/>
    <w:rsid w:val="002B7F3F"/>
    <w:rsid w:val="002C0245"/>
    <w:rsid w:val="002C077E"/>
    <w:rsid w:val="002C08A4"/>
    <w:rsid w:val="002C094C"/>
    <w:rsid w:val="002C0D87"/>
    <w:rsid w:val="002C0DE1"/>
    <w:rsid w:val="002C0FA5"/>
    <w:rsid w:val="002C1155"/>
    <w:rsid w:val="002C11F9"/>
    <w:rsid w:val="002C1336"/>
    <w:rsid w:val="002C1337"/>
    <w:rsid w:val="002C1483"/>
    <w:rsid w:val="002C167F"/>
    <w:rsid w:val="002C1776"/>
    <w:rsid w:val="002C17EA"/>
    <w:rsid w:val="002C1800"/>
    <w:rsid w:val="002C18E0"/>
    <w:rsid w:val="002C1E58"/>
    <w:rsid w:val="002C200A"/>
    <w:rsid w:val="002C2141"/>
    <w:rsid w:val="002C214E"/>
    <w:rsid w:val="002C218C"/>
    <w:rsid w:val="002C21FA"/>
    <w:rsid w:val="002C22EF"/>
    <w:rsid w:val="002C22F2"/>
    <w:rsid w:val="002C27F5"/>
    <w:rsid w:val="002C293A"/>
    <w:rsid w:val="002C2DB0"/>
    <w:rsid w:val="002C2DD1"/>
    <w:rsid w:val="002C2DD2"/>
    <w:rsid w:val="002C2E58"/>
    <w:rsid w:val="002C331B"/>
    <w:rsid w:val="002C345D"/>
    <w:rsid w:val="002C3564"/>
    <w:rsid w:val="002C3803"/>
    <w:rsid w:val="002C387B"/>
    <w:rsid w:val="002C391D"/>
    <w:rsid w:val="002C3B33"/>
    <w:rsid w:val="002C3BD7"/>
    <w:rsid w:val="002C412D"/>
    <w:rsid w:val="002C42D4"/>
    <w:rsid w:val="002C44C0"/>
    <w:rsid w:val="002C44F5"/>
    <w:rsid w:val="002C46D4"/>
    <w:rsid w:val="002C49F1"/>
    <w:rsid w:val="002C4AD1"/>
    <w:rsid w:val="002C4BB1"/>
    <w:rsid w:val="002C4C61"/>
    <w:rsid w:val="002C4CEA"/>
    <w:rsid w:val="002C4DF6"/>
    <w:rsid w:val="002C4F50"/>
    <w:rsid w:val="002C5024"/>
    <w:rsid w:val="002C50E6"/>
    <w:rsid w:val="002C5284"/>
    <w:rsid w:val="002C541F"/>
    <w:rsid w:val="002C5545"/>
    <w:rsid w:val="002C5566"/>
    <w:rsid w:val="002C55E7"/>
    <w:rsid w:val="002C59BA"/>
    <w:rsid w:val="002C5A41"/>
    <w:rsid w:val="002C6052"/>
    <w:rsid w:val="002C621E"/>
    <w:rsid w:val="002C63A4"/>
    <w:rsid w:val="002C6458"/>
    <w:rsid w:val="002C65F1"/>
    <w:rsid w:val="002C66E1"/>
    <w:rsid w:val="002C677E"/>
    <w:rsid w:val="002C6884"/>
    <w:rsid w:val="002C68F4"/>
    <w:rsid w:val="002C6961"/>
    <w:rsid w:val="002C6CF1"/>
    <w:rsid w:val="002C6E43"/>
    <w:rsid w:val="002C6F31"/>
    <w:rsid w:val="002C738B"/>
    <w:rsid w:val="002C757C"/>
    <w:rsid w:val="002C75CE"/>
    <w:rsid w:val="002C75F8"/>
    <w:rsid w:val="002C760C"/>
    <w:rsid w:val="002C7617"/>
    <w:rsid w:val="002C7660"/>
    <w:rsid w:val="002C7975"/>
    <w:rsid w:val="002C7C1F"/>
    <w:rsid w:val="002C7C54"/>
    <w:rsid w:val="002D0183"/>
    <w:rsid w:val="002D043C"/>
    <w:rsid w:val="002D049B"/>
    <w:rsid w:val="002D0530"/>
    <w:rsid w:val="002D0582"/>
    <w:rsid w:val="002D07D4"/>
    <w:rsid w:val="002D0823"/>
    <w:rsid w:val="002D0885"/>
    <w:rsid w:val="002D08EF"/>
    <w:rsid w:val="002D09E1"/>
    <w:rsid w:val="002D0DE1"/>
    <w:rsid w:val="002D0F56"/>
    <w:rsid w:val="002D1294"/>
    <w:rsid w:val="002D131C"/>
    <w:rsid w:val="002D133F"/>
    <w:rsid w:val="002D145E"/>
    <w:rsid w:val="002D14E4"/>
    <w:rsid w:val="002D189A"/>
    <w:rsid w:val="002D1A5D"/>
    <w:rsid w:val="002D1BD1"/>
    <w:rsid w:val="002D1C90"/>
    <w:rsid w:val="002D1E03"/>
    <w:rsid w:val="002D1E73"/>
    <w:rsid w:val="002D20EB"/>
    <w:rsid w:val="002D24FD"/>
    <w:rsid w:val="002D29E0"/>
    <w:rsid w:val="002D2CF1"/>
    <w:rsid w:val="002D2D30"/>
    <w:rsid w:val="002D2E5B"/>
    <w:rsid w:val="002D3053"/>
    <w:rsid w:val="002D3126"/>
    <w:rsid w:val="002D3301"/>
    <w:rsid w:val="002D3347"/>
    <w:rsid w:val="002D3690"/>
    <w:rsid w:val="002D3771"/>
    <w:rsid w:val="002D3944"/>
    <w:rsid w:val="002D3961"/>
    <w:rsid w:val="002D39DA"/>
    <w:rsid w:val="002D3AE6"/>
    <w:rsid w:val="002D3B70"/>
    <w:rsid w:val="002D3CC3"/>
    <w:rsid w:val="002D3D31"/>
    <w:rsid w:val="002D3D43"/>
    <w:rsid w:val="002D3E14"/>
    <w:rsid w:val="002D3EF8"/>
    <w:rsid w:val="002D3F4D"/>
    <w:rsid w:val="002D3F4F"/>
    <w:rsid w:val="002D4582"/>
    <w:rsid w:val="002D45B2"/>
    <w:rsid w:val="002D464D"/>
    <w:rsid w:val="002D46C4"/>
    <w:rsid w:val="002D477E"/>
    <w:rsid w:val="002D4905"/>
    <w:rsid w:val="002D495A"/>
    <w:rsid w:val="002D4B2B"/>
    <w:rsid w:val="002D4D58"/>
    <w:rsid w:val="002D4DEB"/>
    <w:rsid w:val="002D4E45"/>
    <w:rsid w:val="002D4E5F"/>
    <w:rsid w:val="002D4E8A"/>
    <w:rsid w:val="002D5029"/>
    <w:rsid w:val="002D51F3"/>
    <w:rsid w:val="002D522A"/>
    <w:rsid w:val="002D529E"/>
    <w:rsid w:val="002D5315"/>
    <w:rsid w:val="002D5447"/>
    <w:rsid w:val="002D5660"/>
    <w:rsid w:val="002D5ADB"/>
    <w:rsid w:val="002D5AE9"/>
    <w:rsid w:val="002D5E0C"/>
    <w:rsid w:val="002D5F52"/>
    <w:rsid w:val="002D5FF7"/>
    <w:rsid w:val="002D607A"/>
    <w:rsid w:val="002D6157"/>
    <w:rsid w:val="002D61CF"/>
    <w:rsid w:val="002D62BD"/>
    <w:rsid w:val="002D652A"/>
    <w:rsid w:val="002D6571"/>
    <w:rsid w:val="002D6613"/>
    <w:rsid w:val="002D6666"/>
    <w:rsid w:val="002D6909"/>
    <w:rsid w:val="002D694E"/>
    <w:rsid w:val="002D69D1"/>
    <w:rsid w:val="002D70E0"/>
    <w:rsid w:val="002D7127"/>
    <w:rsid w:val="002D71C4"/>
    <w:rsid w:val="002D7218"/>
    <w:rsid w:val="002D7685"/>
    <w:rsid w:val="002D76EF"/>
    <w:rsid w:val="002D777C"/>
    <w:rsid w:val="002D77B0"/>
    <w:rsid w:val="002D7889"/>
    <w:rsid w:val="002D78BA"/>
    <w:rsid w:val="002D7B2B"/>
    <w:rsid w:val="002D7C32"/>
    <w:rsid w:val="002D7C59"/>
    <w:rsid w:val="002D7CD5"/>
    <w:rsid w:val="002D7E54"/>
    <w:rsid w:val="002D7E92"/>
    <w:rsid w:val="002E0154"/>
    <w:rsid w:val="002E01AF"/>
    <w:rsid w:val="002E01FD"/>
    <w:rsid w:val="002E0374"/>
    <w:rsid w:val="002E048D"/>
    <w:rsid w:val="002E0CEB"/>
    <w:rsid w:val="002E0D30"/>
    <w:rsid w:val="002E0E49"/>
    <w:rsid w:val="002E0F9B"/>
    <w:rsid w:val="002E1034"/>
    <w:rsid w:val="002E1035"/>
    <w:rsid w:val="002E1345"/>
    <w:rsid w:val="002E134A"/>
    <w:rsid w:val="002E13CA"/>
    <w:rsid w:val="002E147F"/>
    <w:rsid w:val="002E14F8"/>
    <w:rsid w:val="002E1552"/>
    <w:rsid w:val="002E155B"/>
    <w:rsid w:val="002E1659"/>
    <w:rsid w:val="002E184F"/>
    <w:rsid w:val="002E1A5B"/>
    <w:rsid w:val="002E1B92"/>
    <w:rsid w:val="002E1BB4"/>
    <w:rsid w:val="002E1BFF"/>
    <w:rsid w:val="002E20FC"/>
    <w:rsid w:val="002E2193"/>
    <w:rsid w:val="002E2273"/>
    <w:rsid w:val="002E245B"/>
    <w:rsid w:val="002E2469"/>
    <w:rsid w:val="002E247B"/>
    <w:rsid w:val="002E25E4"/>
    <w:rsid w:val="002E2710"/>
    <w:rsid w:val="002E2939"/>
    <w:rsid w:val="002E29A8"/>
    <w:rsid w:val="002E2A39"/>
    <w:rsid w:val="002E2BD1"/>
    <w:rsid w:val="002E2C6B"/>
    <w:rsid w:val="002E3021"/>
    <w:rsid w:val="002E3025"/>
    <w:rsid w:val="002E3269"/>
    <w:rsid w:val="002E3326"/>
    <w:rsid w:val="002E33F7"/>
    <w:rsid w:val="002E3555"/>
    <w:rsid w:val="002E38BD"/>
    <w:rsid w:val="002E39D5"/>
    <w:rsid w:val="002E39EA"/>
    <w:rsid w:val="002E3A71"/>
    <w:rsid w:val="002E3A81"/>
    <w:rsid w:val="002E3EB8"/>
    <w:rsid w:val="002E3FF2"/>
    <w:rsid w:val="002E49CC"/>
    <w:rsid w:val="002E4CD1"/>
    <w:rsid w:val="002E4E2B"/>
    <w:rsid w:val="002E4FBD"/>
    <w:rsid w:val="002E5084"/>
    <w:rsid w:val="002E50A1"/>
    <w:rsid w:val="002E51F6"/>
    <w:rsid w:val="002E5289"/>
    <w:rsid w:val="002E567F"/>
    <w:rsid w:val="002E57B4"/>
    <w:rsid w:val="002E5AFB"/>
    <w:rsid w:val="002E5BE9"/>
    <w:rsid w:val="002E5C53"/>
    <w:rsid w:val="002E5FF5"/>
    <w:rsid w:val="002E60F8"/>
    <w:rsid w:val="002E6276"/>
    <w:rsid w:val="002E67EB"/>
    <w:rsid w:val="002E6978"/>
    <w:rsid w:val="002E6B44"/>
    <w:rsid w:val="002E7199"/>
    <w:rsid w:val="002E72E8"/>
    <w:rsid w:val="002E79D9"/>
    <w:rsid w:val="002E7A86"/>
    <w:rsid w:val="002E7B38"/>
    <w:rsid w:val="002E7B47"/>
    <w:rsid w:val="002E7B89"/>
    <w:rsid w:val="002E7C03"/>
    <w:rsid w:val="002E7E15"/>
    <w:rsid w:val="002E7FED"/>
    <w:rsid w:val="002F00AC"/>
    <w:rsid w:val="002F031D"/>
    <w:rsid w:val="002F0340"/>
    <w:rsid w:val="002F03C9"/>
    <w:rsid w:val="002F0598"/>
    <w:rsid w:val="002F05B4"/>
    <w:rsid w:val="002F06B6"/>
    <w:rsid w:val="002F0BAD"/>
    <w:rsid w:val="002F0F4B"/>
    <w:rsid w:val="002F13C0"/>
    <w:rsid w:val="002F142C"/>
    <w:rsid w:val="002F142E"/>
    <w:rsid w:val="002F1562"/>
    <w:rsid w:val="002F1641"/>
    <w:rsid w:val="002F173C"/>
    <w:rsid w:val="002F183E"/>
    <w:rsid w:val="002F1B87"/>
    <w:rsid w:val="002F1C04"/>
    <w:rsid w:val="002F1D12"/>
    <w:rsid w:val="002F203E"/>
    <w:rsid w:val="002F21D0"/>
    <w:rsid w:val="002F2249"/>
    <w:rsid w:val="002F2355"/>
    <w:rsid w:val="002F241D"/>
    <w:rsid w:val="002F2484"/>
    <w:rsid w:val="002F2B3C"/>
    <w:rsid w:val="002F2B61"/>
    <w:rsid w:val="002F2B74"/>
    <w:rsid w:val="002F2B86"/>
    <w:rsid w:val="002F2E73"/>
    <w:rsid w:val="002F3273"/>
    <w:rsid w:val="002F3537"/>
    <w:rsid w:val="002F37E8"/>
    <w:rsid w:val="002F3A35"/>
    <w:rsid w:val="002F3C1E"/>
    <w:rsid w:val="002F3C92"/>
    <w:rsid w:val="002F3D60"/>
    <w:rsid w:val="002F3F07"/>
    <w:rsid w:val="002F3FDC"/>
    <w:rsid w:val="002F4011"/>
    <w:rsid w:val="002F4119"/>
    <w:rsid w:val="002F4250"/>
    <w:rsid w:val="002F4507"/>
    <w:rsid w:val="002F4607"/>
    <w:rsid w:val="002F49A2"/>
    <w:rsid w:val="002F49B6"/>
    <w:rsid w:val="002F4ACD"/>
    <w:rsid w:val="002F4BA7"/>
    <w:rsid w:val="002F4D2E"/>
    <w:rsid w:val="002F4D3D"/>
    <w:rsid w:val="002F50AC"/>
    <w:rsid w:val="002F50C6"/>
    <w:rsid w:val="002F50C8"/>
    <w:rsid w:val="002F5271"/>
    <w:rsid w:val="002F5992"/>
    <w:rsid w:val="002F59F4"/>
    <w:rsid w:val="002F5A21"/>
    <w:rsid w:val="002F5BBA"/>
    <w:rsid w:val="002F5F63"/>
    <w:rsid w:val="002F5F7D"/>
    <w:rsid w:val="002F601A"/>
    <w:rsid w:val="002F6094"/>
    <w:rsid w:val="002F6159"/>
    <w:rsid w:val="002F6376"/>
    <w:rsid w:val="002F64CD"/>
    <w:rsid w:val="002F6513"/>
    <w:rsid w:val="002F6B1D"/>
    <w:rsid w:val="002F7032"/>
    <w:rsid w:val="002F723F"/>
    <w:rsid w:val="002F7392"/>
    <w:rsid w:val="002F774B"/>
    <w:rsid w:val="002F798B"/>
    <w:rsid w:val="002F79BD"/>
    <w:rsid w:val="002F7CCA"/>
    <w:rsid w:val="002F7CE9"/>
    <w:rsid w:val="002F7DDD"/>
    <w:rsid w:val="002F7EBC"/>
    <w:rsid w:val="00300038"/>
    <w:rsid w:val="003007A9"/>
    <w:rsid w:val="003009F0"/>
    <w:rsid w:val="00300C27"/>
    <w:rsid w:val="00300DAD"/>
    <w:rsid w:val="00300E3A"/>
    <w:rsid w:val="00300F4E"/>
    <w:rsid w:val="0030114A"/>
    <w:rsid w:val="00301BA1"/>
    <w:rsid w:val="00301C19"/>
    <w:rsid w:val="00301D0A"/>
    <w:rsid w:val="00301F29"/>
    <w:rsid w:val="00301F52"/>
    <w:rsid w:val="00301F6E"/>
    <w:rsid w:val="0030216A"/>
    <w:rsid w:val="00302662"/>
    <w:rsid w:val="00302832"/>
    <w:rsid w:val="00302A03"/>
    <w:rsid w:val="00302A60"/>
    <w:rsid w:val="00302AD8"/>
    <w:rsid w:val="00302BB8"/>
    <w:rsid w:val="00302C4D"/>
    <w:rsid w:val="00302D52"/>
    <w:rsid w:val="00302D72"/>
    <w:rsid w:val="00302D9D"/>
    <w:rsid w:val="00302DF4"/>
    <w:rsid w:val="00302F1D"/>
    <w:rsid w:val="0030352D"/>
    <w:rsid w:val="0030377B"/>
    <w:rsid w:val="003039BF"/>
    <w:rsid w:val="00303C0E"/>
    <w:rsid w:val="00303DD8"/>
    <w:rsid w:val="00304074"/>
    <w:rsid w:val="003041B3"/>
    <w:rsid w:val="003042A6"/>
    <w:rsid w:val="003043D6"/>
    <w:rsid w:val="00304636"/>
    <w:rsid w:val="00304675"/>
    <w:rsid w:val="00304AA2"/>
    <w:rsid w:val="00304FA1"/>
    <w:rsid w:val="003050E7"/>
    <w:rsid w:val="003053E0"/>
    <w:rsid w:val="0030582C"/>
    <w:rsid w:val="003058B3"/>
    <w:rsid w:val="0030594A"/>
    <w:rsid w:val="00305974"/>
    <w:rsid w:val="00305A41"/>
    <w:rsid w:val="00305AED"/>
    <w:rsid w:val="00305B5D"/>
    <w:rsid w:val="00305C10"/>
    <w:rsid w:val="00305C48"/>
    <w:rsid w:val="00305C8F"/>
    <w:rsid w:val="00306257"/>
    <w:rsid w:val="0030633E"/>
    <w:rsid w:val="003063D0"/>
    <w:rsid w:val="003065BA"/>
    <w:rsid w:val="00306658"/>
    <w:rsid w:val="00306679"/>
    <w:rsid w:val="00306896"/>
    <w:rsid w:val="0030689F"/>
    <w:rsid w:val="003069B9"/>
    <w:rsid w:val="003069EE"/>
    <w:rsid w:val="00306A9B"/>
    <w:rsid w:val="00306C69"/>
    <w:rsid w:val="00306CE3"/>
    <w:rsid w:val="00306E84"/>
    <w:rsid w:val="00307102"/>
    <w:rsid w:val="003074BC"/>
    <w:rsid w:val="0030770A"/>
    <w:rsid w:val="003077FF"/>
    <w:rsid w:val="00307902"/>
    <w:rsid w:val="00307975"/>
    <w:rsid w:val="00310190"/>
    <w:rsid w:val="00310214"/>
    <w:rsid w:val="00310345"/>
    <w:rsid w:val="0031064D"/>
    <w:rsid w:val="003108D8"/>
    <w:rsid w:val="00310A5B"/>
    <w:rsid w:val="00310AD8"/>
    <w:rsid w:val="00310D24"/>
    <w:rsid w:val="00310D86"/>
    <w:rsid w:val="00310E74"/>
    <w:rsid w:val="00310F4D"/>
    <w:rsid w:val="003111BF"/>
    <w:rsid w:val="0031128D"/>
    <w:rsid w:val="00311724"/>
    <w:rsid w:val="00311A0F"/>
    <w:rsid w:val="00311CAC"/>
    <w:rsid w:val="00311D39"/>
    <w:rsid w:val="00311ED0"/>
    <w:rsid w:val="0031258B"/>
    <w:rsid w:val="00312751"/>
    <w:rsid w:val="00312B72"/>
    <w:rsid w:val="00312BAA"/>
    <w:rsid w:val="00312E3C"/>
    <w:rsid w:val="0031322F"/>
    <w:rsid w:val="003132DF"/>
    <w:rsid w:val="003133BF"/>
    <w:rsid w:val="00313A9E"/>
    <w:rsid w:val="00313AC4"/>
    <w:rsid w:val="00313B8A"/>
    <w:rsid w:val="003141C6"/>
    <w:rsid w:val="0031449A"/>
    <w:rsid w:val="0031454E"/>
    <w:rsid w:val="003147E1"/>
    <w:rsid w:val="00314CB2"/>
    <w:rsid w:val="00314D92"/>
    <w:rsid w:val="00315090"/>
    <w:rsid w:val="003150C4"/>
    <w:rsid w:val="00315262"/>
    <w:rsid w:val="003152FC"/>
    <w:rsid w:val="00315340"/>
    <w:rsid w:val="003153D1"/>
    <w:rsid w:val="0031568F"/>
    <w:rsid w:val="00315789"/>
    <w:rsid w:val="0031592F"/>
    <w:rsid w:val="00315ED2"/>
    <w:rsid w:val="00315F0A"/>
    <w:rsid w:val="00316349"/>
    <w:rsid w:val="00316588"/>
    <w:rsid w:val="003166E0"/>
    <w:rsid w:val="003166E7"/>
    <w:rsid w:val="00316908"/>
    <w:rsid w:val="00316950"/>
    <w:rsid w:val="00316EEB"/>
    <w:rsid w:val="00317024"/>
    <w:rsid w:val="003172FE"/>
    <w:rsid w:val="0031730D"/>
    <w:rsid w:val="003174C3"/>
    <w:rsid w:val="00317525"/>
    <w:rsid w:val="0031767D"/>
    <w:rsid w:val="003177BF"/>
    <w:rsid w:val="003178E4"/>
    <w:rsid w:val="00317A1F"/>
    <w:rsid w:val="00317BD9"/>
    <w:rsid w:val="00317DD9"/>
    <w:rsid w:val="00317F6A"/>
    <w:rsid w:val="00320054"/>
    <w:rsid w:val="00320531"/>
    <w:rsid w:val="00320939"/>
    <w:rsid w:val="003209F2"/>
    <w:rsid w:val="00320BF4"/>
    <w:rsid w:val="00320F83"/>
    <w:rsid w:val="00320FE9"/>
    <w:rsid w:val="00321377"/>
    <w:rsid w:val="00321647"/>
    <w:rsid w:val="00321664"/>
    <w:rsid w:val="003217E5"/>
    <w:rsid w:val="0032209D"/>
    <w:rsid w:val="003220A2"/>
    <w:rsid w:val="003220AA"/>
    <w:rsid w:val="003222B5"/>
    <w:rsid w:val="00322322"/>
    <w:rsid w:val="003223FA"/>
    <w:rsid w:val="003228C0"/>
    <w:rsid w:val="00322B66"/>
    <w:rsid w:val="00322D05"/>
    <w:rsid w:val="00322D98"/>
    <w:rsid w:val="00322DF1"/>
    <w:rsid w:val="003231E6"/>
    <w:rsid w:val="0032332C"/>
    <w:rsid w:val="003233C6"/>
    <w:rsid w:val="0032350F"/>
    <w:rsid w:val="00323531"/>
    <w:rsid w:val="003235E8"/>
    <w:rsid w:val="0032380A"/>
    <w:rsid w:val="003239BE"/>
    <w:rsid w:val="00323A35"/>
    <w:rsid w:val="00323B98"/>
    <w:rsid w:val="00323D97"/>
    <w:rsid w:val="00323DA5"/>
    <w:rsid w:val="00323F7B"/>
    <w:rsid w:val="00323FAC"/>
    <w:rsid w:val="00324089"/>
    <w:rsid w:val="003240CA"/>
    <w:rsid w:val="00324379"/>
    <w:rsid w:val="003243F7"/>
    <w:rsid w:val="00324487"/>
    <w:rsid w:val="0032455F"/>
    <w:rsid w:val="00324727"/>
    <w:rsid w:val="003247BB"/>
    <w:rsid w:val="003249E5"/>
    <w:rsid w:val="00324A92"/>
    <w:rsid w:val="00324AE4"/>
    <w:rsid w:val="00324B36"/>
    <w:rsid w:val="00324B9C"/>
    <w:rsid w:val="00324D55"/>
    <w:rsid w:val="00324E5B"/>
    <w:rsid w:val="0032515A"/>
    <w:rsid w:val="003251E8"/>
    <w:rsid w:val="00325307"/>
    <w:rsid w:val="00325440"/>
    <w:rsid w:val="00325598"/>
    <w:rsid w:val="003255A5"/>
    <w:rsid w:val="0032567D"/>
    <w:rsid w:val="00325703"/>
    <w:rsid w:val="00325F45"/>
    <w:rsid w:val="00325FDC"/>
    <w:rsid w:val="00326025"/>
    <w:rsid w:val="00326316"/>
    <w:rsid w:val="00326462"/>
    <w:rsid w:val="003264C4"/>
    <w:rsid w:val="0032691D"/>
    <w:rsid w:val="003269CD"/>
    <w:rsid w:val="00326CAD"/>
    <w:rsid w:val="00326E0E"/>
    <w:rsid w:val="00326E4F"/>
    <w:rsid w:val="00326F6A"/>
    <w:rsid w:val="0032705D"/>
    <w:rsid w:val="00327582"/>
    <w:rsid w:val="00327724"/>
    <w:rsid w:val="00327756"/>
    <w:rsid w:val="003277A0"/>
    <w:rsid w:val="003277E3"/>
    <w:rsid w:val="003279B0"/>
    <w:rsid w:val="00327A4B"/>
    <w:rsid w:val="00327BA2"/>
    <w:rsid w:val="00327CDA"/>
    <w:rsid w:val="00330075"/>
    <w:rsid w:val="0033063C"/>
    <w:rsid w:val="0033076E"/>
    <w:rsid w:val="0033081E"/>
    <w:rsid w:val="00330A30"/>
    <w:rsid w:val="00330B8E"/>
    <w:rsid w:val="00330BF2"/>
    <w:rsid w:val="00330C96"/>
    <w:rsid w:val="00330F0A"/>
    <w:rsid w:val="00331459"/>
    <w:rsid w:val="00331466"/>
    <w:rsid w:val="003314C1"/>
    <w:rsid w:val="003316FC"/>
    <w:rsid w:val="00331763"/>
    <w:rsid w:val="003317E6"/>
    <w:rsid w:val="0033183A"/>
    <w:rsid w:val="003318DB"/>
    <w:rsid w:val="00331909"/>
    <w:rsid w:val="00331BC0"/>
    <w:rsid w:val="00331D8C"/>
    <w:rsid w:val="00331DE5"/>
    <w:rsid w:val="00331EB7"/>
    <w:rsid w:val="00331FE8"/>
    <w:rsid w:val="003322C9"/>
    <w:rsid w:val="00332315"/>
    <w:rsid w:val="003323B8"/>
    <w:rsid w:val="003323EF"/>
    <w:rsid w:val="003325FA"/>
    <w:rsid w:val="003328F2"/>
    <w:rsid w:val="00332B44"/>
    <w:rsid w:val="00332C55"/>
    <w:rsid w:val="003334EB"/>
    <w:rsid w:val="0033369D"/>
    <w:rsid w:val="003336DB"/>
    <w:rsid w:val="003337D0"/>
    <w:rsid w:val="003337E6"/>
    <w:rsid w:val="0033387C"/>
    <w:rsid w:val="003338AD"/>
    <w:rsid w:val="003339F6"/>
    <w:rsid w:val="00333AF7"/>
    <w:rsid w:val="00333C60"/>
    <w:rsid w:val="00333CA4"/>
    <w:rsid w:val="00333DCD"/>
    <w:rsid w:val="00334166"/>
    <w:rsid w:val="003344D2"/>
    <w:rsid w:val="0033478B"/>
    <w:rsid w:val="0033484F"/>
    <w:rsid w:val="003349C6"/>
    <w:rsid w:val="00334BFA"/>
    <w:rsid w:val="00334E5F"/>
    <w:rsid w:val="00334F93"/>
    <w:rsid w:val="00335232"/>
    <w:rsid w:val="00335474"/>
    <w:rsid w:val="003355F7"/>
    <w:rsid w:val="00335714"/>
    <w:rsid w:val="003357E2"/>
    <w:rsid w:val="003358CD"/>
    <w:rsid w:val="00335B63"/>
    <w:rsid w:val="00335DE9"/>
    <w:rsid w:val="00335EE7"/>
    <w:rsid w:val="00336007"/>
    <w:rsid w:val="003361B4"/>
    <w:rsid w:val="003361C1"/>
    <w:rsid w:val="003362C3"/>
    <w:rsid w:val="0033675D"/>
    <w:rsid w:val="00336A0C"/>
    <w:rsid w:val="00336C46"/>
    <w:rsid w:val="00336E82"/>
    <w:rsid w:val="0033722F"/>
    <w:rsid w:val="003374A3"/>
    <w:rsid w:val="003374B1"/>
    <w:rsid w:val="0033764C"/>
    <w:rsid w:val="00337869"/>
    <w:rsid w:val="00337E67"/>
    <w:rsid w:val="00340155"/>
    <w:rsid w:val="00340163"/>
    <w:rsid w:val="0034063E"/>
    <w:rsid w:val="00340794"/>
    <w:rsid w:val="00340866"/>
    <w:rsid w:val="003408FD"/>
    <w:rsid w:val="0034095D"/>
    <w:rsid w:val="00340B54"/>
    <w:rsid w:val="00340C0D"/>
    <w:rsid w:val="00340C1F"/>
    <w:rsid w:val="00340CE4"/>
    <w:rsid w:val="00341182"/>
    <w:rsid w:val="00341651"/>
    <w:rsid w:val="00341915"/>
    <w:rsid w:val="003419F2"/>
    <w:rsid w:val="00341A64"/>
    <w:rsid w:val="00341AC9"/>
    <w:rsid w:val="00341EC8"/>
    <w:rsid w:val="0034207A"/>
    <w:rsid w:val="0034220B"/>
    <w:rsid w:val="0034245B"/>
    <w:rsid w:val="003427B0"/>
    <w:rsid w:val="003429E8"/>
    <w:rsid w:val="00342A17"/>
    <w:rsid w:val="00342C51"/>
    <w:rsid w:val="00342D01"/>
    <w:rsid w:val="003431C6"/>
    <w:rsid w:val="003432E8"/>
    <w:rsid w:val="00343507"/>
    <w:rsid w:val="0034371C"/>
    <w:rsid w:val="00343A8E"/>
    <w:rsid w:val="00343BE2"/>
    <w:rsid w:val="00343C33"/>
    <w:rsid w:val="00343CAE"/>
    <w:rsid w:val="00343DD3"/>
    <w:rsid w:val="00343DF4"/>
    <w:rsid w:val="00343ED2"/>
    <w:rsid w:val="00343F24"/>
    <w:rsid w:val="00343F71"/>
    <w:rsid w:val="00344014"/>
    <w:rsid w:val="0034415D"/>
    <w:rsid w:val="003442BB"/>
    <w:rsid w:val="0034435D"/>
    <w:rsid w:val="003448FD"/>
    <w:rsid w:val="0034495C"/>
    <w:rsid w:val="00344A86"/>
    <w:rsid w:val="00344BC4"/>
    <w:rsid w:val="00344D81"/>
    <w:rsid w:val="003452B9"/>
    <w:rsid w:val="003452DF"/>
    <w:rsid w:val="003452FE"/>
    <w:rsid w:val="003453C8"/>
    <w:rsid w:val="003454D8"/>
    <w:rsid w:val="003455F1"/>
    <w:rsid w:val="0034565B"/>
    <w:rsid w:val="00345732"/>
    <w:rsid w:val="00345AEB"/>
    <w:rsid w:val="00345E5C"/>
    <w:rsid w:val="00345EA0"/>
    <w:rsid w:val="00346216"/>
    <w:rsid w:val="003463C5"/>
    <w:rsid w:val="003466B7"/>
    <w:rsid w:val="0034693F"/>
    <w:rsid w:val="003469D2"/>
    <w:rsid w:val="00346B70"/>
    <w:rsid w:val="00346BCA"/>
    <w:rsid w:val="00346BDF"/>
    <w:rsid w:val="00346C97"/>
    <w:rsid w:val="00346FF9"/>
    <w:rsid w:val="0034728F"/>
    <w:rsid w:val="00347350"/>
    <w:rsid w:val="0034738A"/>
    <w:rsid w:val="00347419"/>
    <w:rsid w:val="003474EF"/>
    <w:rsid w:val="003474F9"/>
    <w:rsid w:val="003477C1"/>
    <w:rsid w:val="0034782B"/>
    <w:rsid w:val="0034786B"/>
    <w:rsid w:val="003479AB"/>
    <w:rsid w:val="00347A20"/>
    <w:rsid w:val="00347AD9"/>
    <w:rsid w:val="00347B23"/>
    <w:rsid w:val="00347BB3"/>
    <w:rsid w:val="00347D70"/>
    <w:rsid w:val="00347E31"/>
    <w:rsid w:val="00347F1F"/>
    <w:rsid w:val="003502FA"/>
    <w:rsid w:val="00350460"/>
    <w:rsid w:val="003505BB"/>
    <w:rsid w:val="003505DF"/>
    <w:rsid w:val="003506CF"/>
    <w:rsid w:val="00350817"/>
    <w:rsid w:val="00350B1E"/>
    <w:rsid w:val="00350B42"/>
    <w:rsid w:val="00350C2C"/>
    <w:rsid w:val="00350F8F"/>
    <w:rsid w:val="00351063"/>
    <w:rsid w:val="0035114E"/>
    <w:rsid w:val="00351296"/>
    <w:rsid w:val="0035130A"/>
    <w:rsid w:val="003514FE"/>
    <w:rsid w:val="0035166A"/>
    <w:rsid w:val="00351FB7"/>
    <w:rsid w:val="003524F9"/>
    <w:rsid w:val="003525DA"/>
    <w:rsid w:val="0035261B"/>
    <w:rsid w:val="003526E3"/>
    <w:rsid w:val="003527B9"/>
    <w:rsid w:val="003528FE"/>
    <w:rsid w:val="00352963"/>
    <w:rsid w:val="00352A23"/>
    <w:rsid w:val="00352AD4"/>
    <w:rsid w:val="00352AFD"/>
    <w:rsid w:val="00352FC9"/>
    <w:rsid w:val="003531BD"/>
    <w:rsid w:val="003534C5"/>
    <w:rsid w:val="0035359B"/>
    <w:rsid w:val="0035363B"/>
    <w:rsid w:val="0035364C"/>
    <w:rsid w:val="003536BA"/>
    <w:rsid w:val="00353718"/>
    <w:rsid w:val="00353B4B"/>
    <w:rsid w:val="00353DA4"/>
    <w:rsid w:val="00354154"/>
    <w:rsid w:val="00354266"/>
    <w:rsid w:val="0035429F"/>
    <w:rsid w:val="003542CB"/>
    <w:rsid w:val="0035455F"/>
    <w:rsid w:val="0035468F"/>
    <w:rsid w:val="00354D1F"/>
    <w:rsid w:val="00355050"/>
    <w:rsid w:val="00355093"/>
    <w:rsid w:val="00355160"/>
    <w:rsid w:val="00355274"/>
    <w:rsid w:val="003554D4"/>
    <w:rsid w:val="0035559E"/>
    <w:rsid w:val="00355614"/>
    <w:rsid w:val="003556D4"/>
    <w:rsid w:val="00355B8E"/>
    <w:rsid w:val="00355E3C"/>
    <w:rsid w:val="00356156"/>
    <w:rsid w:val="0035632C"/>
    <w:rsid w:val="003564E3"/>
    <w:rsid w:val="0035674E"/>
    <w:rsid w:val="003567B2"/>
    <w:rsid w:val="0035694C"/>
    <w:rsid w:val="00356950"/>
    <w:rsid w:val="003569D9"/>
    <w:rsid w:val="00356AD8"/>
    <w:rsid w:val="00356B46"/>
    <w:rsid w:val="00356C52"/>
    <w:rsid w:val="00356FD9"/>
    <w:rsid w:val="00356FE8"/>
    <w:rsid w:val="003570F0"/>
    <w:rsid w:val="00357237"/>
    <w:rsid w:val="003573E9"/>
    <w:rsid w:val="00357449"/>
    <w:rsid w:val="003576B8"/>
    <w:rsid w:val="003577C6"/>
    <w:rsid w:val="00357804"/>
    <w:rsid w:val="00357807"/>
    <w:rsid w:val="0035799F"/>
    <w:rsid w:val="00357A03"/>
    <w:rsid w:val="00357D34"/>
    <w:rsid w:val="00360010"/>
    <w:rsid w:val="003602D9"/>
    <w:rsid w:val="003602FC"/>
    <w:rsid w:val="00360408"/>
    <w:rsid w:val="0036058E"/>
    <w:rsid w:val="0036064B"/>
    <w:rsid w:val="00360763"/>
    <w:rsid w:val="00360B08"/>
    <w:rsid w:val="00360BDF"/>
    <w:rsid w:val="00360D37"/>
    <w:rsid w:val="0036133D"/>
    <w:rsid w:val="00361376"/>
    <w:rsid w:val="0036142A"/>
    <w:rsid w:val="0036142C"/>
    <w:rsid w:val="00361437"/>
    <w:rsid w:val="003616D6"/>
    <w:rsid w:val="003617C7"/>
    <w:rsid w:val="00361B2D"/>
    <w:rsid w:val="00361C1E"/>
    <w:rsid w:val="00361E7E"/>
    <w:rsid w:val="00361FDF"/>
    <w:rsid w:val="003621D8"/>
    <w:rsid w:val="00362233"/>
    <w:rsid w:val="00362277"/>
    <w:rsid w:val="003622BD"/>
    <w:rsid w:val="003622D1"/>
    <w:rsid w:val="00362379"/>
    <w:rsid w:val="0036255E"/>
    <w:rsid w:val="003627B1"/>
    <w:rsid w:val="00362869"/>
    <w:rsid w:val="00362A37"/>
    <w:rsid w:val="00362A8B"/>
    <w:rsid w:val="00362A95"/>
    <w:rsid w:val="00362ACA"/>
    <w:rsid w:val="00362D08"/>
    <w:rsid w:val="00362DB7"/>
    <w:rsid w:val="00362E8F"/>
    <w:rsid w:val="00362ECD"/>
    <w:rsid w:val="00362EE1"/>
    <w:rsid w:val="0036304A"/>
    <w:rsid w:val="00363528"/>
    <w:rsid w:val="00363682"/>
    <w:rsid w:val="00363960"/>
    <w:rsid w:val="00363A68"/>
    <w:rsid w:val="00363C0C"/>
    <w:rsid w:val="00363C18"/>
    <w:rsid w:val="00363C89"/>
    <w:rsid w:val="00363CB2"/>
    <w:rsid w:val="00363CDF"/>
    <w:rsid w:val="003640CC"/>
    <w:rsid w:val="0036434C"/>
    <w:rsid w:val="003646AD"/>
    <w:rsid w:val="0036488F"/>
    <w:rsid w:val="00364AB3"/>
    <w:rsid w:val="00364AC1"/>
    <w:rsid w:val="00364AC7"/>
    <w:rsid w:val="00364ACB"/>
    <w:rsid w:val="00364DB6"/>
    <w:rsid w:val="00364F5B"/>
    <w:rsid w:val="00365130"/>
    <w:rsid w:val="0036518C"/>
    <w:rsid w:val="00365296"/>
    <w:rsid w:val="0036529B"/>
    <w:rsid w:val="003652CF"/>
    <w:rsid w:val="003653CB"/>
    <w:rsid w:val="00365438"/>
    <w:rsid w:val="00365780"/>
    <w:rsid w:val="003657A2"/>
    <w:rsid w:val="00365A32"/>
    <w:rsid w:val="00365C2A"/>
    <w:rsid w:val="00365C6D"/>
    <w:rsid w:val="00365E5D"/>
    <w:rsid w:val="00365F1D"/>
    <w:rsid w:val="00366410"/>
    <w:rsid w:val="0036661E"/>
    <w:rsid w:val="0036683F"/>
    <w:rsid w:val="003668D8"/>
    <w:rsid w:val="00366A75"/>
    <w:rsid w:val="00366BA7"/>
    <w:rsid w:val="00366BFA"/>
    <w:rsid w:val="00366C05"/>
    <w:rsid w:val="00366D7B"/>
    <w:rsid w:val="00366E74"/>
    <w:rsid w:val="003670D8"/>
    <w:rsid w:val="0036721C"/>
    <w:rsid w:val="003672CD"/>
    <w:rsid w:val="003677DE"/>
    <w:rsid w:val="0036780B"/>
    <w:rsid w:val="00367A65"/>
    <w:rsid w:val="00367CC3"/>
    <w:rsid w:val="00367EA9"/>
    <w:rsid w:val="00367F86"/>
    <w:rsid w:val="003701BB"/>
    <w:rsid w:val="0037024B"/>
    <w:rsid w:val="003703CD"/>
    <w:rsid w:val="0037054B"/>
    <w:rsid w:val="003706C2"/>
    <w:rsid w:val="003707F8"/>
    <w:rsid w:val="003708F1"/>
    <w:rsid w:val="00370AE1"/>
    <w:rsid w:val="00370B07"/>
    <w:rsid w:val="00370B7A"/>
    <w:rsid w:val="00370DB9"/>
    <w:rsid w:val="00370E16"/>
    <w:rsid w:val="00370E60"/>
    <w:rsid w:val="00370F39"/>
    <w:rsid w:val="003712AA"/>
    <w:rsid w:val="00371314"/>
    <w:rsid w:val="00371352"/>
    <w:rsid w:val="0037157D"/>
    <w:rsid w:val="0037160E"/>
    <w:rsid w:val="003716D3"/>
    <w:rsid w:val="00371785"/>
    <w:rsid w:val="00371993"/>
    <w:rsid w:val="00371B2F"/>
    <w:rsid w:val="00371EAD"/>
    <w:rsid w:val="003721D9"/>
    <w:rsid w:val="003727DE"/>
    <w:rsid w:val="0037292A"/>
    <w:rsid w:val="003729C3"/>
    <w:rsid w:val="00372E7F"/>
    <w:rsid w:val="0037312D"/>
    <w:rsid w:val="0037321A"/>
    <w:rsid w:val="0037323E"/>
    <w:rsid w:val="00373448"/>
    <w:rsid w:val="0037355F"/>
    <w:rsid w:val="0037360F"/>
    <w:rsid w:val="0037372F"/>
    <w:rsid w:val="0037374B"/>
    <w:rsid w:val="00373954"/>
    <w:rsid w:val="00373A59"/>
    <w:rsid w:val="00373ADF"/>
    <w:rsid w:val="00373D09"/>
    <w:rsid w:val="00373DF4"/>
    <w:rsid w:val="00374013"/>
    <w:rsid w:val="003740DC"/>
    <w:rsid w:val="003741F3"/>
    <w:rsid w:val="0037435F"/>
    <w:rsid w:val="003745A7"/>
    <w:rsid w:val="003745CB"/>
    <w:rsid w:val="00374621"/>
    <w:rsid w:val="003748DB"/>
    <w:rsid w:val="003749FD"/>
    <w:rsid w:val="00374A68"/>
    <w:rsid w:val="00374A76"/>
    <w:rsid w:val="00374EE3"/>
    <w:rsid w:val="00375110"/>
    <w:rsid w:val="0037524D"/>
    <w:rsid w:val="003754EC"/>
    <w:rsid w:val="003759B6"/>
    <w:rsid w:val="00375AE7"/>
    <w:rsid w:val="00375DC4"/>
    <w:rsid w:val="00375DF8"/>
    <w:rsid w:val="00375E59"/>
    <w:rsid w:val="0037600B"/>
    <w:rsid w:val="00376620"/>
    <w:rsid w:val="003768B4"/>
    <w:rsid w:val="003768FF"/>
    <w:rsid w:val="003769A6"/>
    <w:rsid w:val="003769E6"/>
    <w:rsid w:val="00376B94"/>
    <w:rsid w:val="00376C6B"/>
    <w:rsid w:val="00376D18"/>
    <w:rsid w:val="0037701F"/>
    <w:rsid w:val="003770BD"/>
    <w:rsid w:val="00377286"/>
    <w:rsid w:val="003772DF"/>
    <w:rsid w:val="0037744A"/>
    <w:rsid w:val="0037751F"/>
    <w:rsid w:val="00377694"/>
    <w:rsid w:val="003776E3"/>
    <w:rsid w:val="003777B2"/>
    <w:rsid w:val="003777E2"/>
    <w:rsid w:val="00377911"/>
    <w:rsid w:val="0037795B"/>
    <w:rsid w:val="00377A4B"/>
    <w:rsid w:val="00377A5F"/>
    <w:rsid w:val="00377AC8"/>
    <w:rsid w:val="00377FC8"/>
    <w:rsid w:val="003800F4"/>
    <w:rsid w:val="00380206"/>
    <w:rsid w:val="00380310"/>
    <w:rsid w:val="0038045A"/>
    <w:rsid w:val="00380755"/>
    <w:rsid w:val="003807D2"/>
    <w:rsid w:val="00380C7A"/>
    <w:rsid w:val="00380DBB"/>
    <w:rsid w:val="00380EC7"/>
    <w:rsid w:val="00380F3D"/>
    <w:rsid w:val="00381029"/>
    <w:rsid w:val="003810DA"/>
    <w:rsid w:val="00381161"/>
    <w:rsid w:val="003812B4"/>
    <w:rsid w:val="00381359"/>
    <w:rsid w:val="0038135B"/>
    <w:rsid w:val="003813D4"/>
    <w:rsid w:val="003814C8"/>
    <w:rsid w:val="00381752"/>
    <w:rsid w:val="003819CA"/>
    <w:rsid w:val="00381D15"/>
    <w:rsid w:val="00381D55"/>
    <w:rsid w:val="00381E40"/>
    <w:rsid w:val="00381E81"/>
    <w:rsid w:val="003820DA"/>
    <w:rsid w:val="00382627"/>
    <w:rsid w:val="00382735"/>
    <w:rsid w:val="003827C9"/>
    <w:rsid w:val="00382842"/>
    <w:rsid w:val="003828E5"/>
    <w:rsid w:val="003829E6"/>
    <w:rsid w:val="00382B84"/>
    <w:rsid w:val="00382DCF"/>
    <w:rsid w:val="003832A2"/>
    <w:rsid w:val="00383AC6"/>
    <w:rsid w:val="00383D20"/>
    <w:rsid w:val="00383DE5"/>
    <w:rsid w:val="0038411E"/>
    <w:rsid w:val="003842C0"/>
    <w:rsid w:val="003844C7"/>
    <w:rsid w:val="00384B71"/>
    <w:rsid w:val="00384C31"/>
    <w:rsid w:val="00384D68"/>
    <w:rsid w:val="00384DCB"/>
    <w:rsid w:val="00384EFF"/>
    <w:rsid w:val="003853F2"/>
    <w:rsid w:val="003853F7"/>
    <w:rsid w:val="00385B82"/>
    <w:rsid w:val="00385BBE"/>
    <w:rsid w:val="00385C70"/>
    <w:rsid w:val="00385D18"/>
    <w:rsid w:val="00385D34"/>
    <w:rsid w:val="00386065"/>
    <w:rsid w:val="00386090"/>
    <w:rsid w:val="00386341"/>
    <w:rsid w:val="00386380"/>
    <w:rsid w:val="003863D9"/>
    <w:rsid w:val="003863FA"/>
    <w:rsid w:val="003867BB"/>
    <w:rsid w:val="003869F2"/>
    <w:rsid w:val="00386BA4"/>
    <w:rsid w:val="00386BED"/>
    <w:rsid w:val="00386C13"/>
    <w:rsid w:val="00386C8C"/>
    <w:rsid w:val="00386E3E"/>
    <w:rsid w:val="00386EE4"/>
    <w:rsid w:val="00386FD3"/>
    <w:rsid w:val="0038702C"/>
    <w:rsid w:val="00387113"/>
    <w:rsid w:val="00387153"/>
    <w:rsid w:val="003871CC"/>
    <w:rsid w:val="003872D1"/>
    <w:rsid w:val="0038753A"/>
    <w:rsid w:val="0038757B"/>
    <w:rsid w:val="003878F4"/>
    <w:rsid w:val="00387969"/>
    <w:rsid w:val="00387D29"/>
    <w:rsid w:val="00387E5B"/>
    <w:rsid w:val="003903AC"/>
    <w:rsid w:val="00390498"/>
    <w:rsid w:val="00390715"/>
    <w:rsid w:val="0039075A"/>
    <w:rsid w:val="00390853"/>
    <w:rsid w:val="00390AEF"/>
    <w:rsid w:val="00390BD7"/>
    <w:rsid w:val="00390E4B"/>
    <w:rsid w:val="00390EB3"/>
    <w:rsid w:val="00390FC3"/>
    <w:rsid w:val="00390FCF"/>
    <w:rsid w:val="00391275"/>
    <w:rsid w:val="003912BB"/>
    <w:rsid w:val="003912EA"/>
    <w:rsid w:val="00391359"/>
    <w:rsid w:val="00391439"/>
    <w:rsid w:val="0039150D"/>
    <w:rsid w:val="0039178A"/>
    <w:rsid w:val="0039178C"/>
    <w:rsid w:val="00391A91"/>
    <w:rsid w:val="00391B1F"/>
    <w:rsid w:val="00391C90"/>
    <w:rsid w:val="00391F3F"/>
    <w:rsid w:val="00392270"/>
    <w:rsid w:val="003922EB"/>
    <w:rsid w:val="00392498"/>
    <w:rsid w:val="0039263A"/>
    <w:rsid w:val="003927E3"/>
    <w:rsid w:val="00392C4B"/>
    <w:rsid w:val="00392DA6"/>
    <w:rsid w:val="00392DD7"/>
    <w:rsid w:val="00392DEA"/>
    <w:rsid w:val="00392F3E"/>
    <w:rsid w:val="00393193"/>
    <w:rsid w:val="0039319C"/>
    <w:rsid w:val="0039320C"/>
    <w:rsid w:val="0039322A"/>
    <w:rsid w:val="0039325F"/>
    <w:rsid w:val="003933F6"/>
    <w:rsid w:val="0039345E"/>
    <w:rsid w:val="003936A9"/>
    <w:rsid w:val="00393940"/>
    <w:rsid w:val="0039397D"/>
    <w:rsid w:val="00393AB6"/>
    <w:rsid w:val="00393B4F"/>
    <w:rsid w:val="00393BCF"/>
    <w:rsid w:val="00393FD6"/>
    <w:rsid w:val="003949FF"/>
    <w:rsid w:val="00394C56"/>
    <w:rsid w:val="00394C92"/>
    <w:rsid w:val="00394E51"/>
    <w:rsid w:val="00394F04"/>
    <w:rsid w:val="0039503F"/>
    <w:rsid w:val="003951FD"/>
    <w:rsid w:val="003955D1"/>
    <w:rsid w:val="00395675"/>
    <w:rsid w:val="00395A70"/>
    <w:rsid w:val="00395A99"/>
    <w:rsid w:val="00395C39"/>
    <w:rsid w:val="00395F7D"/>
    <w:rsid w:val="0039622C"/>
    <w:rsid w:val="0039627D"/>
    <w:rsid w:val="00396360"/>
    <w:rsid w:val="00396390"/>
    <w:rsid w:val="00396D93"/>
    <w:rsid w:val="00396F03"/>
    <w:rsid w:val="00396F3F"/>
    <w:rsid w:val="00396FF7"/>
    <w:rsid w:val="003972FC"/>
    <w:rsid w:val="00397362"/>
    <w:rsid w:val="00397375"/>
    <w:rsid w:val="00397469"/>
    <w:rsid w:val="00397571"/>
    <w:rsid w:val="0039763D"/>
    <w:rsid w:val="003977EF"/>
    <w:rsid w:val="0039794C"/>
    <w:rsid w:val="00397C15"/>
    <w:rsid w:val="00397CAF"/>
    <w:rsid w:val="00397D3E"/>
    <w:rsid w:val="00397EA8"/>
    <w:rsid w:val="003A0078"/>
    <w:rsid w:val="003A00E0"/>
    <w:rsid w:val="003A07CD"/>
    <w:rsid w:val="003A08B5"/>
    <w:rsid w:val="003A094D"/>
    <w:rsid w:val="003A0ACA"/>
    <w:rsid w:val="003A0C38"/>
    <w:rsid w:val="003A0D23"/>
    <w:rsid w:val="003A1205"/>
    <w:rsid w:val="003A1456"/>
    <w:rsid w:val="003A1565"/>
    <w:rsid w:val="003A16F7"/>
    <w:rsid w:val="003A1A1A"/>
    <w:rsid w:val="003A1A7B"/>
    <w:rsid w:val="003A1B2E"/>
    <w:rsid w:val="003A1C84"/>
    <w:rsid w:val="003A1D0F"/>
    <w:rsid w:val="003A1E65"/>
    <w:rsid w:val="003A23E8"/>
    <w:rsid w:val="003A2430"/>
    <w:rsid w:val="003A2449"/>
    <w:rsid w:val="003A264A"/>
    <w:rsid w:val="003A2972"/>
    <w:rsid w:val="003A2BE2"/>
    <w:rsid w:val="003A2C8D"/>
    <w:rsid w:val="003A3006"/>
    <w:rsid w:val="003A3080"/>
    <w:rsid w:val="003A30AC"/>
    <w:rsid w:val="003A313B"/>
    <w:rsid w:val="003A32ED"/>
    <w:rsid w:val="003A357F"/>
    <w:rsid w:val="003A374D"/>
    <w:rsid w:val="003A37C1"/>
    <w:rsid w:val="003A3A7A"/>
    <w:rsid w:val="003A3C13"/>
    <w:rsid w:val="003A3DAA"/>
    <w:rsid w:val="003A3DC2"/>
    <w:rsid w:val="003A406A"/>
    <w:rsid w:val="003A42B5"/>
    <w:rsid w:val="003A4501"/>
    <w:rsid w:val="003A462D"/>
    <w:rsid w:val="003A47F5"/>
    <w:rsid w:val="003A4817"/>
    <w:rsid w:val="003A4851"/>
    <w:rsid w:val="003A48D0"/>
    <w:rsid w:val="003A48D5"/>
    <w:rsid w:val="003A4B4E"/>
    <w:rsid w:val="003A4C42"/>
    <w:rsid w:val="003A5109"/>
    <w:rsid w:val="003A51B1"/>
    <w:rsid w:val="003A51E3"/>
    <w:rsid w:val="003A54F7"/>
    <w:rsid w:val="003A558C"/>
    <w:rsid w:val="003A5642"/>
    <w:rsid w:val="003A5780"/>
    <w:rsid w:val="003A594E"/>
    <w:rsid w:val="003A5A9C"/>
    <w:rsid w:val="003A5AE0"/>
    <w:rsid w:val="003A5BF8"/>
    <w:rsid w:val="003A5C06"/>
    <w:rsid w:val="003A5C4A"/>
    <w:rsid w:val="003A5CEF"/>
    <w:rsid w:val="003A5D1A"/>
    <w:rsid w:val="003A5F49"/>
    <w:rsid w:val="003A5F6D"/>
    <w:rsid w:val="003A61C9"/>
    <w:rsid w:val="003A64E0"/>
    <w:rsid w:val="003A66BF"/>
    <w:rsid w:val="003A6AA4"/>
    <w:rsid w:val="003A6CDE"/>
    <w:rsid w:val="003A6E2A"/>
    <w:rsid w:val="003A6ED8"/>
    <w:rsid w:val="003A7130"/>
    <w:rsid w:val="003A72DB"/>
    <w:rsid w:val="003A735F"/>
    <w:rsid w:val="003A7369"/>
    <w:rsid w:val="003A749C"/>
    <w:rsid w:val="003A74A6"/>
    <w:rsid w:val="003A781B"/>
    <w:rsid w:val="003A7893"/>
    <w:rsid w:val="003A792C"/>
    <w:rsid w:val="003A79BF"/>
    <w:rsid w:val="003A7A0C"/>
    <w:rsid w:val="003A7BAF"/>
    <w:rsid w:val="003A7F01"/>
    <w:rsid w:val="003A7F69"/>
    <w:rsid w:val="003B0216"/>
    <w:rsid w:val="003B07A8"/>
    <w:rsid w:val="003B0877"/>
    <w:rsid w:val="003B0946"/>
    <w:rsid w:val="003B0A23"/>
    <w:rsid w:val="003B0A27"/>
    <w:rsid w:val="003B0A84"/>
    <w:rsid w:val="003B0B0B"/>
    <w:rsid w:val="003B0C28"/>
    <w:rsid w:val="003B0D72"/>
    <w:rsid w:val="003B0F7D"/>
    <w:rsid w:val="003B11AA"/>
    <w:rsid w:val="003B11EE"/>
    <w:rsid w:val="003B13F8"/>
    <w:rsid w:val="003B15B4"/>
    <w:rsid w:val="003B1805"/>
    <w:rsid w:val="003B1A4E"/>
    <w:rsid w:val="003B1CEF"/>
    <w:rsid w:val="003B1E15"/>
    <w:rsid w:val="003B221D"/>
    <w:rsid w:val="003B2291"/>
    <w:rsid w:val="003B250B"/>
    <w:rsid w:val="003B273F"/>
    <w:rsid w:val="003B27C1"/>
    <w:rsid w:val="003B28BE"/>
    <w:rsid w:val="003B28DE"/>
    <w:rsid w:val="003B2906"/>
    <w:rsid w:val="003B2A92"/>
    <w:rsid w:val="003B2E5E"/>
    <w:rsid w:val="003B2F05"/>
    <w:rsid w:val="003B2FB5"/>
    <w:rsid w:val="003B305E"/>
    <w:rsid w:val="003B32B3"/>
    <w:rsid w:val="003B3506"/>
    <w:rsid w:val="003B3670"/>
    <w:rsid w:val="003B3690"/>
    <w:rsid w:val="003B3F02"/>
    <w:rsid w:val="003B4070"/>
    <w:rsid w:val="003B4215"/>
    <w:rsid w:val="003B439E"/>
    <w:rsid w:val="003B440E"/>
    <w:rsid w:val="003B4487"/>
    <w:rsid w:val="003B44AC"/>
    <w:rsid w:val="003B457E"/>
    <w:rsid w:val="003B4BD4"/>
    <w:rsid w:val="003B4BDB"/>
    <w:rsid w:val="003B4C03"/>
    <w:rsid w:val="003B4D3D"/>
    <w:rsid w:val="003B4F19"/>
    <w:rsid w:val="003B4F50"/>
    <w:rsid w:val="003B503C"/>
    <w:rsid w:val="003B51C5"/>
    <w:rsid w:val="003B5583"/>
    <w:rsid w:val="003B5820"/>
    <w:rsid w:val="003B597D"/>
    <w:rsid w:val="003B5C34"/>
    <w:rsid w:val="003B5CCF"/>
    <w:rsid w:val="003B6070"/>
    <w:rsid w:val="003B60FD"/>
    <w:rsid w:val="003B62D8"/>
    <w:rsid w:val="003B630E"/>
    <w:rsid w:val="003B63B4"/>
    <w:rsid w:val="003B63C4"/>
    <w:rsid w:val="003B6508"/>
    <w:rsid w:val="003B6693"/>
    <w:rsid w:val="003B6727"/>
    <w:rsid w:val="003B683E"/>
    <w:rsid w:val="003B686F"/>
    <w:rsid w:val="003B68D7"/>
    <w:rsid w:val="003B6950"/>
    <w:rsid w:val="003B6A92"/>
    <w:rsid w:val="003B6BBC"/>
    <w:rsid w:val="003B7515"/>
    <w:rsid w:val="003B761D"/>
    <w:rsid w:val="003B7632"/>
    <w:rsid w:val="003B76F5"/>
    <w:rsid w:val="003B77DB"/>
    <w:rsid w:val="003B7880"/>
    <w:rsid w:val="003B7897"/>
    <w:rsid w:val="003B7A76"/>
    <w:rsid w:val="003B7DA8"/>
    <w:rsid w:val="003B7FD2"/>
    <w:rsid w:val="003C0127"/>
    <w:rsid w:val="003C0160"/>
    <w:rsid w:val="003C01D5"/>
    <w:rsid w:val="003C0261"/>
    <w:rsid w:val="003C0426"/>
    <w:rsid w:val="003C050C"/>
    <w:rsid w:val="003C06FC"/>
    <w:rsid w:val="003C0759"/>
    <w:rsid w:val="003C094F"/>
    <w:rsid w:val="003C0DAB"/>
    <w:rsid w:val="003C0EDF"/>
    <w:rsid w:val="003C14EC"/>
    <w:rsid w:val="003C157A"/>
    <w:rsid w:val="003C18DF"/>
    <w:rsid w:val="003C1A55"/>
    <w:rsid w:val="003C1AB4"/>
    <w:rsid w:val="003C1B15"/>
    <w:rsid w:val="003C1BBA"/>
    <w:rsid w:val="003C1D2B"/>
    <w:rsid w:val="003C1F48"/>
    <w:rsid w:val="003C1F75"/>
    <w:rsid w:val="003C1FC0"/>
    <w:rsid w:val="003C2068"/>
    <w:rsid w:val="003C2110"/>
    <w:rsid w:val="003C21AD"/>
    <w:rsid w:val="003C225D"/>
    <w:rsid w:val="003C22A5"/>
    <w:rsid w:val="003C2334"/>
    <w:rsid w:val="003C2542"/>
    <w:rsid w:val="003C25A3"/>
    <w:rsid w:val="003C25D7"/>
    <w:rsid w:val="003C263C"/>
    <w:rsid w:val="003C2935"/>
    <w:rsid w:val="003C2A37"/>
    <w:rsid w:val="003C2A71"/>
    <w:rsid w:val="003C2CF9"/>
    <w:rsid w:val="003C2E6B"/>
    <w:rsid w:val="003C2F01"/>
    <w:rsid w:val="003C3161"/>
    <w:rsid w:val="003C3366"/>
    <w:rsid w:val="003C3448"/>
    <w:rsid w:val="003C34EE"/>
    <w:rsid w:val="003C3506"/>
    <w:rsid w:val="003C3635"/>
    <w:rsid w:val="003C37FA"/>
    <w:rsid w:val="003C381A"/>
    <w:rsid w:val="003C3A97"/>
    <w:rsid w:val="003C3CE0"/>
    <w:rsid w:val="003C3D18"/>
    <w:rsid w:val="003C3D83"/>
    <w:rsid w:val="003C3FDE"/>
    <w:rsid w:val="003C432F"/>
    <w:rsid w:val="003C4344"/>
    <w:rsid w:val="003C451E"/>
    <w:rsid w:val="003C46A1"/>
    <w:rsid w:val="003C46A5"/>
    <w:rsid w:val="003C4C88"/>
    <w:rsid w:val="003C4E4A"/>
    <w:rsid w:val="003C5004"/>
    <w:rsid w:val="003C503D"/>
    <w:rsid w:val="003C50E7"/>
    <w:rsid w:val="003C51D4"/>
    <w:rsid w:val="003C51EF"/>
    <w:rsid w:val="003C531A"/>
    <w:rsid w:val="003C534B"/>
    <w:rsid w:val="003C5447"/>
    <w:rsid w:val="003C5615"/>
    <w:rsid w:val="003C57B1"/>
    <w:rsid w:val="003C5806"/>
    <w:rsid w:val="003C583F"/>
    <w:rsid w:val="003C5D0F"/>
    <w:rsid w:val="003C5DDB"/>
    <w:rsid w:val="003C6122"/>
    <w:rsid w:val="003C621C"/>
    <w:rsid w:val="003C622C"/>
    <w:rsid w:val="003C6439"/>
    <w:rsid w:val="003C65AC"/>
    <w:rsid w:val="003C65D4"/>
    <w:rsid w:val="003C65D6"/>
    <w:rsid w:val="003C6719"/>
    <w:rsid w:val="003C6B58"/>
    <w:rsid w:val="003C6D1B"/>
    <w:rsid w:val="003C6DB6"/>
    <w:rsid w:val="003C6E67"/>
    <w:rsid w:val="003C6FC6"/>
    <w:rsid w:val="003C6FD7"/>
    <w:rsid w:val="003C708A"/>
    <w:rsid w:val="003C730B"/>
    <w:rsid w:val="003C7473"/>
    <w:rsid w:val="003C751B"/>
    <w:rsid w:val="003C7957"/>
    <w:rsid w:val="003C7D7C"/>
    <w:rsid w:val="003D00A8"/>
    <w:rsid w:val="003D00D7"/>
    <w:rsid w:val="003D0125"/>
    <w:rsid w:val="003D019E"/>
    <w:rsid w:val="003D01B3"/>
    <w:rsid w:val="003D0294"/>
    <w:rsid w:val="003D02F8"/>
    <w:rsid w:val="003D0385"/>
    <w:rsid w:val="003D056F"/>
    <w:rsid w:val="003D06CD"/>
    <w:rsid w:val="003D0736"/>
    <w:rsid w:val="003D076C"/>
    <w:rsid w:val="003D0C58"/>
    <w:rsid w:val="003D0CD4"/>
    <w:rsid w:val="003D0E41"/>
    <w:rsid w:val="003D0E60"/>
    <w:rsid w:val="003D0F1F"/>
    <w:rsid w:val="003D10DB"/>
    <w:rsid w:val="003D10FC"/>
    <w:rsid w:val="003D12F1"/>
    <w:rsid w:val="003D137C"/>
    <w:rsid w:val="003D148F"/>
    <w:rsid w:val="003D14BA"/>
    <w:rsid w:val="003D18A7"/>
    <w:rsid w:val="003D1913"/>
    <w:rsid w:val="003D1BD9"/>
    <w:rsid w:val="003D1D3D"/>
    <w:rsid w:val="003D1E8A"/>
    <w:rsid w:val="003D201F"/>
    <w:rsid w:val="003D2034"/>
    <w:rsid w:val="003D23F6"/>
    <w:rsid w:val="003D25CE"/>
    <w:rsid w:val="003D261F"/>
    <w:rsid w:val="003D2774"/>
    <w:rsid w:val="003D28DB"/>
    <w:rsid w:val="003D291A"/>
    <w:rsid w:val="003D2985"/>
    <w:rsid w:val="003D2AD9"/>
    <w:rsid w:val="003D2B92"/>
    <w:rsid w:val="003D2C8B"/>
    <w:rsid w:val="003D2C92"/>
    <w:rsid w:val="003D2DCC"/>
    <w:rsid w:val="003D3028"/>
    <w:rsid w:val="003D3086"/>
    <w:rsid w:val="003D3096"/>
    <w:rsid w:val="003D3883"/>
    <w:rsid w:val="003D3885"/>
    <w:rsid w:val="003D38C3"/>
    <w:rsid w:val="003D3993"/>
    <w:rsid w:val="003D39C5"/>
    <w:rsid w:val="003D3A8B"/>
    <w:rsid w:val="003D3D9C"/>
    <w:rsid w:val="003D3DF8"/>
    <w:rsid w:val="003D3F8C"/>
    <w:rsid w:val="003D4164"/>
    <w:rsid w:val="003D4176"/>
    <w:rsid w:val="003D41DF"/>
    <w:rsid w:val="003D4291"/>
    <w:rsid w:val="003D42DB"/>
    <w:rsid w:val="003D45D6"/>
    <w:rsid w:val="003D49E4"/>
    <w:rsid w:val="003D518D"/>
    <w:rsid w:val="003D5203"/>
    <w:rsid w:val="003D55E7"/>
    <w:rsid w:val="003D5B4F"/>
    <w:rsid w:val="003D5EF9"/>
    <w:rsid w:val="003D6096"/>
    <w:rsid w:val="003D60D7"/>
    <w:rsid w:val="003D60E3"/>
    <w:rsid w:val="003D63D5"/>
    <w:rsid w:val="003D646A"/>
    <w:rsid w:val="003D64AF"/>
    <w:rsid w:val="003D667C"/>
    <w:rsid w:val="003D6750"/>
    <w:rsid w:val="003D677D"/>
    <w:rsid w:val="003D6A73"/>
    <w:rsid w:val="003D6AE7"/>
    <w:rsid w:val="003D6E0F"/>
    <w:rsid w:val="003D71A6"/>
    <w:rsid w:val="003D7212"/>
    <w:rsid w:val="003D742C"/>
    <w:rsid w:val="003D754A"/>
    <w:rsid w:val="003D7B2A"/>
    <w:rsid w:val="003D7D17"/>
    <w:rsid w:val="003D7F9F"/>
    <w:rsid w:val="003E0166"/>
    <w:rsid w:val="003E01C9"/>
    <w:rsid w:val="003E05A0"/>
    <w:rsid w:val="003E05E9"/>
    <w:rsid w:val="003E0824"/>
    <w:rsid w:val="003E0C7A"/>
    <w:rsid w:val="003E0C82"/>
    <w:rsid w:val="003E0D07"/>
    <w:rsid w:val="003E1044"/>
    <w:rsid w:val="003E1096"/>
    <w:rsid w:val="003E10FF"/>
    <w:rsid w:val="003E1188"/>
    <w:rsid w:val="003E12A2"/>
    <w:rsid w:val="003E1308"/>
    <w:rsid w:val="003E1352"/>
    <w:rsid w:val="003E153B"/>
    <w:rsid w:val="003E17F7"/>
    <w:rsid w:val="003E1D92"/>
    <w:rsid w:val="003E203F"/>
    <w:rsid w:val="003E212A"/>
    <w:rsid w:val="003E2196"/>
    <w:rsid w:val="003E21FA"/>
    <w:rsid w:val="003E22A5"/>
    <w:rsid w:val="003E2339"/>
    <w:rsid w:val="003E247B"/>
    <w:rsid w:val="003E2916"/>
    <w:rsid w:val="003E2B34"/>
    <w:rsid w:val="003E2C0D"/>
    <w:rsid w:val="003E2FF5"/>
    <w:rsid w:val="003E366C"/>
    <w:rsid w:val="003E3A4A"/>
    <w:rsid w:val="003E3A65"/>
    <w:rsid w:val="003E3DB0"/>
    <w:rsid w:val="003E3F14"/>
    <w:rsid w:val="003E3FC1"/>
    <w:rsid w:val="003E42B3"/>
    <w:rsid w:val="003E4448"/>
    <w:rsid w:val="003E4A5F"/>
    <w:rsid w:val="003E4C18"/>
    <w:rsid w:val="003E4D64"/>
    <w:rsid w:val="003E4DF1"/>
    <w:rsid w:val="003E4FE8"/>
    <w:rsid w:val="003E5016"/>
    <w:rsid w:val="003E502C"/>
    <w:rsid w:val="003E50E0"/>
    <w:rsid w:val="003E52A9"/>
    <w:rsid w:val="003E5318"/>
    <w:rsid w:val="003E544D"/>
    <w:rsid w:val="003E56AF"/>
    <w:rsid w:val="003E56B1"/>
    <w:rsid w:val="003E58E6"/>
    <w:rsid w:val="003E5A4E"/>
    <w:rsid w:val="003E5A89"/>
    <w:rsid w:val="003E5E0B"/>
    <w:rsid w:val="003E5FE1"/>
    <w:rsid w:val="003E6158"/>
    <w:rsid w:val="003E61E0"/>
    <w:rsid w:val="003E624B"/>
    <w:rsid w:val="003E636F"/>
    <w:rsid w:val="003E6948"/>
    <w:rsid w:val="003E6C66"/>
    <w:rsid w:val="003E6CD5"/>
    <w:rsid w:val="003E6CD7"/>
    <w:rsid w:val="003E71D5"/>
    <w:rsid w:val="003E7205"/>
    <w:rsid w:val="003E74B5"/>
    <w:rsid w:val="003E789D"/>
    <w:rsid w:val="003E7A8C"/>
    <w:rsid w:val="003E7AED"/>
    <w:rsid w:val="003F0080"/>
    <w:rsid w:val="003F0184"/>
    <w:rsid w:val="003F01DD"/>
    <w:rsid w:val="003F03B4"/>
    <w:rsid w:val="003F0711"/>
    <w:rsid w:val="003F0791"/>
    <w:rsid w:val="003F0E1B"/>
    <w:rsid w:val="003F0EB2"/>
    <w:rsid w:val="003F0F37"/>
    <w:rsid w:val="003F122F"/>
    <w:rsid w:val="003F126E"/>
    <w:rsid w:val="003F127C"/>
    <w:rsid w:val="003F1466"/>
    <w:rsid w:val="003F1546"/>
    <w:rsid w:val="003F155F"/>
    <w:rsid w:val="003F156E"/>
    <w:rsid w:val="003F174F"/>
    <w:rsid w:val="003F17D1"/>
    <w:rsid w:val="003F1919"/>
    <w:rsid w:val="003F1A28"/>
    <w:rsid w:val="003F1A7C"/>
    <w:rsid w:val="003F1CB0"/>
    <w:rsid w:val="003F1F9C"/>
    <w:rsid w:val="003F2144"/>
    <w:rsid w:val="003F2553"/>
    <w:rsid w:val="003F25C6"/>
    <w:rsid w:val="003F2814"/>
    <w:rsid w:val="003F2CB2"/>
    <w:rsid w:val="003F2D47"/>
    <w:rsid w:val="003F2D5C"/>
    <w:rsid w:val="003F2F5A"/>
    <w:rsid w:val="003F30A8"/>
    <w:rsid w:val="003F3132"/>
    <w:rsid w:val="003F33A4"/>
    <w:rsid w:val="003F35CD"/>
    <w:rsid w:val="003F3766"/>
    <w:rsid w:val="003F378B"/>
    <w:rsid w:val="003F37F0"/>
    <w:rsid w:val="003F38FF"/>
    <w:rsid w:val="003F39A3"/>
    <w:rsid w:val="003F3B33"/>
    <w:rsid w:val="003F3BFB"/>
    <w:rsid w:val="003F3CE3"/>
    <w:rsid w:val="003F3E9E"/>
    <w:rsid w:val="003F3EB9"/>
    <w:rsid w:val="003F4029"/>
    <w:rsid w:val="003F405A"/>
    <w:rsid w:val="003F405E"/>
    <w:rsid w:val="003F411A"/>
    <w:rsid w:val="003F41F0"/>
    <w:rsid w:val="003F448C"/>
    <w:rsid w:val="003F45D8"/>
    <w:rsid w:val="003F45DE"/>
    <w:rsid w:val="003F46A1"/>
    <w:rsid w:val="003F492F"/>
    <w:rsid w:val="003F4C1C"/>
    <w:rsid w:val="003F4C83"/>
    <w:rsid w:val="003F4CCB"/>
    <w:rsid w:val="003F4D5A"/>
    <w:rsid w:val="003F4E1C"/>
    <w:rsid w:val="003F4F8A"/>
    <w:rsid w:val="003F4FCB"/>
    <w:rsid w:val="003F5092"/>
    <w:rsid w:val="003F53DC"/>
    <w:rsid w:val="003F5419"/>
    <w:rsid w:val="003F54C9"/>
    <w:rsid w:val="003F5594"/>
    <w:rsid w:val="003F594E"/>
    <w:rsid w:val="003F5966"/>
    <w:rsid w:val="003F5A5E"/>
    <w:rsid w:val="003F5B80"/>
    <w:rsid w:val="003F5C1F"/>
    <w:rsid w:val="003F5D23"/>
    <w:rsid w:val="003F610E"/>
    <w:rsid w:val="003F63EA"/>
    <w:rsid w:val="003F657B"/>
    <w:rsid w:val="003F65B4"/>
    <w:rsid w:val="003F6710"/>
    <w:rsid w:val="003F67CB"/>
    <w:rsid w:val="003F6819"/>
    <w:rsid w:val="003F689E"/>
    <w:rsid w:val="003F6B11"/>
    <w:rsid w:val="003F6C7A"/>
    <w:rsid w:val="003F6C8C"/>
    <w:rsid w:val="003F6C91"/>
    <w:rsid w:val="003F6CF2"/>
    <w:rsid w:val="003F6E21"/>
    <w:rsid w:val="003F6F19"/>
    <w:rsid w:val="003F6F1F"/>
    <w:rsid w:val="003F6FFE"/>
    <w:rsid w:val="003F7046"/>
    <w:rsid w:val="003F7169"/>
    <w:rsid w:val="003F71E6"/>
    <w:rsid w:val="003F73E8"/>
    <w:rsid w:val="003F76A4"/>
    <w:rsid w:val="003F798E"/>
    <w:rsid w:val="003F79BA"/>
    <w:rsid w:val="003F7A7E"/>
    <w:rsid w:val="003F7F1A"/>
    <w:rsid w:val="003F7F70"/>
    <w:rsid w:val="00400195"/>
    <w:rsid w:val="0040019F"/>
    <w:rsid w:val="004002D1"/>
    <w:rsid w:val="004005CA"/>
    <w:rsid w:val="004006BF"/>
    <w:rsid w:val="004006C5"/>
    <w:rsid w:val="004006FD"/>
    <w:rsid w:val="004007C5"/>
    <w:rsid w:val="004009EF"/>
    <w:rsid w:val="00400B30"/>
    <w:rsid w:val="00400E86"/>
    <w:rsid w:val="00400FB2"/>
    <w:rsid w:val="0040123E"/>
    <w:rsid w:val="004013E3"/>
    <w:rsid w:val="004017AA"/>
    <w:rsid w:val="004018F6"/>
    <w:rsid w:val="00402136"/>
    <w:rsid w:val="00402183"/>
    <w:rsid w:val="00402230"/>
    <w:rsid w:val="0040236F"/>
    <w:rsid w:val="0040249F"/>
    <w:rsid w:val="004027BE"/>
    <w:rsid w:val="004027C1"/>
    <w:rsid w:val="00402834"/>
    <w:rsid w:val="00402AD1"/>
    <w:rsid w:val="00402E92"/>
    <w:rsid w:val="004031A8"/>
    <w:rsid w:val="00403381"/>
    <w:rsid w:val="00403B35"/>
    <w:rsid w:val="00403B45"/>
    <w:rsid w:val="00403C57"/>
    <w:rsid w:val="00403C91"/>
    <w:rsid w:val="00403D0E"/>
    <w:rsid w:val="00403ED3"/>
    <w:rsid w:val="00404240"/>
    <w:rsid w:val="004042E7"/>
    <w:rsid w:val="00404368"/>
    <w:rsid w:val="004044B7"/>
    <w:rsid w:val="00404515"/>
    <w:rsid w:val="0040452D"/>
    <w:rsid w:val="00404596"/>
    <w:rsid w:val="00404733"/>
    <w:rsid w:val="004047B6"/>
    <w:rsid w:val="00404B01"/>
    <w:rsid w:val="00404B94"/>
    <w:rsid w:val="0040507A"/>
    <w:rsid w:val="004050DD"/>
    <w:rsid w:val="00405150"/>
    <w:rsid w:val="00405280"/>
    <w:rsid w:val="004054D1"/>
    <w:rsid w:val="004054DA"/>
    <w:rsid w:val="004054E7"/>
    <w:rsid w:val="00405720"/>
    <w:rsid w:val="00405951"/>
    <w:rsid w:val="00405A5E"/>
    <w:rsid w:val="0040600F"/>
    <w:rsid w:val="004060C8"/>
    <w:rsid w:val="00406103"/>
    <w:rsid w:val="004061B1"/>
    <w:rsid w:val="004066BA"/>
    <w:rsid w:val="0040694D"/>
    <w:rsid w:val="00406AE4"/>
    <w:rsid w:val="00406AED"/>
    <w:rsid w:val="00406B30"/>
    <w:rsid w:val="00406C7F"/>
    <w:rsid w:val="00406FEC"/>
    <w:rsid w:val="004072B5"/>
    <w:rsid w:val="00407521"/>
    <w:rsid w:val="0040758A"/>
    <w:rsid w:val="00407605"/>
    <w:rsid w:val="00407606"/>
    <w:rsid w:val="0040769F"/>
    <w:rsid w:val="0040777F"/>
    <w:rsid w:val="00407877"/>
    <w:rsid w:val="0040790E"/>
    <w:rsid w:val="00407A2B"/>
    <w:rsid w:val="00407B88"/>
    <w:rsid w:val="00407CEE"/>
    <w:rsid w:val="00407E55"/>
    <w:rsid w:val="00410082"/>
    <w:rsid w:val="004100A4"/>
    <w:rsid w:val="004105E6"/>
    <w:rsid w:val="0041099D"/>
    <w:rsid w:val="00410A8C"/>
    <w:rsid w:val="00410B45"/>
    <w:rsid w:val="00410C8A"/>
    <w:rsid w:val="0041119A"/>
    <w:rsid w:val="004111F4"/>
    <w:rsid w:val="004112A5"/>
    <w:rsid w:val="00411381"/>
    <w:rsid w:val="00411385"/>
    <w:rsid w:val="004113B1"/>
    <w:rsid w:val="00411492"/>
    <w:rsid w:val="004116CE"/>
    <w:rsid w:val="0041174C"/>
    <w:rsid w:val="00411772"/>
    <w:rsid w:val="004117BA"/>
    <w:rsid w:val="00411B74"/>
    <w:rsid w:val="00411CCA"/>
    <w:rsid w:val="00411DDF"/>
    <w:rsid w:val="00411DF1"/>
    <w:rsid w:val="00411F84"/>
    <w:rsid w:val="00412093"/>
    <w:rsid w:val="004120CF"/>
    <w:rsid w:val="00412131"/>
    <w:rsid w:val="0041236B"/>
    <w:rsid w:val="004124E0"/>
    <w:rsid w:val="00412B49"/>
    <w:rsid w:val="00412BE8"/>
    <w:rsid w:val="00412C00"/>
    <w:rsid w:val="00412DA7"/>
    <w:rsid w:val="00412E47"/>
    <w:rsid w:val="00413090"/>
    <w:rsid w:val="0041312D"/>
    <w:rsid w:val="004131FF"/>
    <w:rsid w:val="00413644"/>
    <w:rsid w:val="004136E6"/>
    <w:rsid w:val="004137B8"/>
    <w:rsid w:val="004137D3"/>
    <w:rsid w:val="004137F6"/>
    <w:rsid w:val="004138AD"/>
    <w:rsid w:val="00413984"/>
    <w:rsid w:val="00413EDF"/>
    <w:rsid w:val="004142E1"/>
    <w:rsid w:val="00414685"/>
    <w:rsid w:val="004146DE"/>
    <w:rsid w:val="004147F7"/>
    <w:rsid w:val="00414852"/>
    <w:rsid w:val="00414B10"/>
    <w:rsid w:val="00414B28"/>
    <w:rsid w:val="00414C0A"/>
    <w:rsid w:val="00414C6E"/>
    <w:rsid w:val="00414CD0"/>
    <w:rsid w:val="00414F12"/>
    <w:rsid w:val="0041507A"/>
    <w:rsid w:val="004150B1"/>
    <w:rsid w:val="0041518B"/>
    <w:rsid w:val="004151B2"/>
    <w:rsid w:val="0041527B"/>
    <w:rsid w:val="004152D2"/>
    <w:rsid w:val="004156FD"/>
    <w:rsid w:val="004157A7"/>
    <w:rsid w:val="00415A71"/>
    <w:rsid w:val="00415ED8"/>
    <w:rsid w:val="00415EDD"/>
    <w:rsid w:val="00416198"/>
    <w:rsid w:val="004161BB"/>
    <w:rsid w:val="00416286"/>
    <w:rsid w:val="004164C8"/>
    <w:rsid w:val="00416505"/>
    <w:rsid w:val="00416681"/>
    <w:rsid w:val="00416984"/>
    <w:rsid w:val="00416DA1"/>
    <w:rsid w:val="00416DE0"/>
    <w:rsid w:val="0041700E"/>
    <w:rsid w:val="0041718B"/>
    <w:rsid w:val="004171A7"/>
    <w:rsid w:val="00417287"/>
    <w:rsid w:val="00417550"/>
    <w:rsid w:val="004175B4"/>
    <w:rsid w:val="0041760D"/>
    <w:rsid w:val="00417676"/>
    <w:rsid w:val="004177F3"/>
    <w:rsid w:val="00417C13"/>
    <w:rsid w:val="00417F36"/>
    <w:rsid w:val="0042003D"/>
    <w:rsid w:val="00420052"/>
    <w:rsid w:val="00420397"/>
    <w:rsid w:val="0042052F"/>
    <w:rsid w:val="00420550"/>
    <w:rsid w:val="00420857"/>
    <w:rsid w:val="00420956"/>
    <w:rsid w:val="00420B3D"/>
    <w:rsid w:val="00420C81"/>
    <w:rsid w:val="00420ED1"/>
    <w:rsid w:val="00420EE2"/>
    <w:rsid w:val="00421043"/>
    <w:rsid w:val="00421239"/>
    <w:rsid w:val="0042135A"/>
    <w:rsid w:val="00421382"/>
    <w:rsid w:val="00421601"/>
    <w:rsid w:val="00421CC3"/>
    <w:rsid w:val="00421CE5"/>
    <w:rsid w:val="00421DAB"/>
    <w:rsid w:val="00421E33"/>
    <w:rsid w:val="00421F00"/>
    <w:rsid w:val="00421F10"/>
    <w:rsid w:val="00422145"/>
    <w:rsid w:val="00422252"/>
    <w:rsid w:val="004222EC"/>
    <w:rsid w:val="004223EE"/>
    <w:rsid w:val="0042246D"/>
    <w:rsid w:val="0042247C"/>
    <w:rsid w:val="004225EB"/>
    <w:rsid w:val="004226F4"/>
    <w:rsid w:val="00422953"/>
    <w:rsid w:val="00422990"/>
    <w:rsid w:val="00422B0A"/>
    <w:rsid w:val="00422BBF"/>
    <w:rsid w:val="00422CF8"/>
    <w:rsid w:val="00422E91"/>
    <w:rsid w:val="00422F1A"/>
    <w:rsid w:val="0042353E"/>
    <w:rsid w:val="00423636"/>
    <w:rsid w:val="00423736"/>
    <w:rsid w:val="00423991"/>
    <w:rsid w:val="00423F5E"/>
    <w:rsid w:val="00423FEF"/>
    <w:rsid w:val="00424641"/>
    <w:rsid w:val="004246DD"/>
    <w:rsid w:val="00424755"/>
    <w:rsid w:val="00424791"/>
    <w:rsid w:val="004247B1"/>
    <w:rsid w:val="004247FA"/>
    <w:rsid w:val="00424952"/>
    <w:rsid w:val="00424A63"/>
    <w:rsid w:val="00424B25"/>
    <w:rsid w:val="00424D3A"/>
    <w:rsid w:val="00424E9A"/>
    <w:rsid w:val="00424EB8"/>
    <w:rsid w:val="00424EDF"/>
    <w:rsid w:val="00424EE8"/>
    <w:rsid w:val="00424F76"/>
    <w:rsid w:val="00424F94"/>
    <w:rsid w:val="0042533D"/>
    <w:rsid w:val="004253BD"/>
    <w:rsid w:val="004254CB"/>
    <w:rsid w:val="004254DF"/>
    <w:rsid w:val="00425558"/>
    <w:rsid w:val="00425853"/>
    <w:rsid w:val="0042588F"/>
    <w:rsid w:val="004258B8"/>
    <w:rsid w:val="00425ABD"/>
    <w:rsid w:val="00425DEE"/>
    <w:rsid w:val="00425FB2"/>
    <w:rsid w:val="00426256"/>
    <w:rsid w:val="004262AD"/>
    <w:rsid w:val="0042631D"/>
    <w:rsid w:val="00426328"/>
    <w:rsid w:val="00426359"/>
    <w:rsid w:val="00426784"/>
    <w:rsid w:val="004268CA"/>
    <w:rsid w:val="00426A80"/>
    <w:rsid w:val="00426C60"/>
    <w:rsid w:val="00426EA9"/>
    <w:rsid w:val="004276BF"/>
    <w:rsid w:val="004277F2"/>
    <w:rsid w:val="004278E4"/>
    <w:rsid w:val="004278EF"/>
    <w:rsid w:val="004279C0"/>
    <w:rsid w:val="00427A21"/>
    <w:rsid w:val="00427ACB"/>
    <w:rsid w:val="00427C74"/>
    <w:rsid w:val="00427FB4"/>
    <w:rsid w:val="00430195"/>
    <w:rsid w:val="00430305"/>
    <w:rsid w:val="00430396"/>
    <w:rsid w:val="00430685"/>
    <w:rsid w:val="00430793"/>
    <w:rsid w:val="00430852"/>
    <w:rsid w:val="0043097E"/>
    <w:rsid w:val="00430989"/>
    <w:rsid w:val="00430AF8"/>
    <w:rsid w:val="00430C12"/>
    <w:rsid w:val="00430C59"/>
    <w:rsid w:val="0043168E"/>
    <w:rsid w:val="00431A33"/>
    <w:rsid w:val="00431A78"/>
    <w:rsid w:val="00431BC9"/>
    <w:rsid w:val="00431BF5"/>
    <w:rsid w:val="00431C54"/>
    <w:rsid w:val="00431EA2"/>
    <w:rsid w:val="00431FEA"/>
    <w:rsid w:val="004322A7"/>
    <w:rsid w:val="00432588"/>
    <w:rsid w:val="004325DF"/>
    <w:rsid w:val="0043264A"/>
    <w:rsid w:val="00432C53"/>
    <w:rsid w:val="00432CC9"/>
    <w:rsid w:val="00432D18"/>
    <w:rsid w:val="00432DB6"/>
    <w:rsid w:val="00432F60"/>
    <w:rsid w:val="00432F70"/>
    <w:rsid w:val="00432F79"/>
    <w:rsid w:val="004331BF"/>
    <w:rsid w:val="0043331A"/>
    <w:rsid w:val="004333CE"/>
    <w:rsid w:val="0043342C"/>
    <w:rsid w:val="004335B3"/>
    <w:rsid w:val="004339AB"/>
    <w:rsid w:val="00433A18"/>
    <w:rsid w:val="00433D6B"/>
    <w:rsid w:val="0043419B"/>
    <w:rsid w:val="004341DC"/>
    <w:rsid w:val="0043421E"/>
    <w:rsid w:val="004342E4"/>
    <w:rsid w:val="00434321"/>
    <w:rsid w:val="0043450B"/>
    <w:rsid w:val="00434723"/>
    <w:rsid w:val="00434811"/>
    <w:rsid w:val="00434944"/>
    <w:rsid w:val="004349B3"/>
    <w:rsid w:val="004349F1"/>
    <w:rsid w:val="00434D6C"/>
    <w:rsid w:val="00434D83"/>
    <w:rsid w:val="00434ECF"/>
    <w:rsid w:val="00435166"/>
    <w:rsid w:val="0043564C"/>
    <w:rsid w:val="00435AC4"/>
    <w:rsid w:val="00435C62"/>
    <w:rsid w:val="00435C78"/>
    <w:rsid w:val="00435F8A"/>
    <w:rsid w:val="00435FA9"/>
    <w:rsid w:val="004361A1"/>
    <w:rsid w:val="0043643E"/>
    <w:rsid w:val="0043659B"/>
    <w:rsid w:val="004365AE"/>
    <w:rsid w:val="00436A3D"/>
    <w:rsid w:val="00436AEA"/>
    <w:rsid w:val="00436CB2"/>
    <w:rsid w:val="00436E64"/>
    <w:rsid w:val="004372A4"/>
    <w:rsid w:val="004373D8"/>
    <w:rsid w:val="00437406"/>
    <w:rsid w:val="0043764E"/>
    <w:rsid w:val="0043780F"/>
    <w:rsid w:val="00437D41"/>
    <w:rsid w:val="00437E16"/>
    <w:rsid w:val="00440076"/>
    <w:rsid w:val="004406B7"/>
    <w:rsid w:val="00440742"/>
    <w:rsid w:val="0044082D"/>
    <w:rsid w:val="00440A72"/>
    <w:rsid w:val="00440C72"/>
    <w:rsid w:val="00440FB2"/>
    <w:rsid w:val="00441051"/>
    <w:rsid w:val="00441100"/>
    <w:rsid w:val="004412C2"/>
    <w:rsid w:val="004413B1"/>
    <w:rsid w:val="00441B4C"/>
    <w:rsid w:val="00441CAD"/>
    <w:rsid w:val="0044202D"/>
    <w:rsid w:val="00442064"/>
    <w:rsid w:val="0044224F"/>
    <w:rsid w:val="0044246E"/>
    <w:rsid w:val="004426CE"/>
    <w:rsid w:val="00442818"/>
    <w:rsid w:val="004428A3"/>
    <w:rsid w:val="004429D1"/>
    <w:rsid w:val="004429F9"/>
    <w:rsid w:val="00442B92"/>
    <w:rsid w:val="00442CC9"/>
    <w:rsid w:val="00442DBC"/>
    <w:rsid w:val="004433AF"/>
    <w:rsid w:val="00443987"/>
    <w:rsid w:val="00443B4E"/>
    <w:rsid w:val="00443B9D"/>
    <w:rsid w:val="00443DEA"/>
    <w:rsid w:val="00443F3C"/>
    <w:rsid w:val="00443F4D"/>
    <w:rsid w:val="00443F5E"/>
    <w:rsid w:val="0044415A"/>
    <w:rsid w:val="00444329"/>
    <w:rsid w:val="0044437D"/>
    <w:rsid w:val="004444DE"/>
    <w:rsid w:val="0044452A"/>
    <w:rsid w:val="0044452B"/>
    <w:rsid w:val="0044452D"/>
    <w:rsid w:val="004446EB"/>
    <w:rsid w:val="00444735"/>
    <w:rsid w:val="0044477D"/>
    <w:rsid w:val="00444B68"/>
    <w:rsid w:val="00444C2B"/>
    <w:rsid w:val="00444F38"/>
    <w:rsid w:val="00444F6F"/>
    <w:rsid w:val="00445077"/>
    <w:rsid w:val="004456A6"/>
    <w:rsid w:val="004456B8"/>
    <w:rsid w:val="00445722"/>
    <w:rsid w:val="00445A30"/>
    <w:rsid w:val="00445B31"/>
    <w:rsid w:val="00445CF3"/>
    <w:rsid w:val="00445FE7"/>
    <w:rsid w:val="004461D3"/>
    <w:rsid w:val="004462A6"/>
    <w:rsid w:val="0044636D"/>
    <w:rsid w:val="00446377"/>
    <w:rsid w:val="00446405"/>
    <w:rsid w:val="0044646D"/>
    <w:rsid w:val="00446892"/>
    <w:rsid w:val="00446F14"/>
    <w:rsid w:val="00446F35"/>
    <w:rsid w:val="00446FEE"/>
    <w:rsid w:val="00447244"/>
    <w:rsid w:val="004473DB"/>
    <w:rsid w:val="004477F3"/>
    <w:rsid w:val="004479AB"/>
    <w:rsid w:val="00447A3F"/>
    <w:rsid w:val="00447C6F"/>
    <w:rsid w:val="00447F47"/>
    <w:rsid w:val="0045007B"/>
    <w:rsid w:val="0045008A"/>
    <w:rsid w:val="004503C2"/>
    <w:rsid w:val="00450B10"/>
    <w:rsid w:val="00450B1B"/>
    <w:rsid w:val="00450B75"/>
    <w:rsid w:val="00451123"/>
    <w:rsid w:val="004513FA"/>
    <w:rsid w:val="004516AE"/>
    <w:rsid w:val="004516B7"/>
    <w:rsid w:val="004516EF"/>
    <w:rsid w:val="00451850"/>
    <w:rsid w:val="00451898"/>
    <w:rsid w:val="00451A71"/>
    <w:rsid w:val="00451ABE"/>
    <w:rsid w:val="00451AEA"/>
    <w:rsid w:val="00451CA6"/>
    <w:rsid w:val="00451D71"/>
    <w:rsid w:val="00451E7C"/>
    <w:rsid w:val="00451F7D"/>
    <w:rsid w:val="00452232"/>
    <w:rsid w:val="004523A4"/>
    <w:rsid w:val="0045257B"/>
    <w:rsid w:val="00452581"/>
    <w:rsid w:val="00452665"/>
    <w:rsid w:val="004529A0"/>
    <w:rsid w:val="00452C3A"/>
    <w:rsid w:val="00452E4A"/>
    <w:rsid w:val="00452E66"/>
    <w:rsid w:val="00452F06"/>
    <w:rsid w:val="00452FA3"/>
    <w:rsid w:val="00452FFD"/>
    <w:rsid w:val="0045314F"/>
    <w:rsid w:val="0045328C"/>
    <w:rsid w:val="004532A5"/>
    <w:rsid w:val="004532DA"/>
    <w:rsid w:val="004533BE"/>
    <w:rsid w:val="004533E2"/>
    <w:rsid w:val="00453439"/>
    <w:rsid w:val="00453852"/>
    <w:rsid w:val="00453B31"/>
    <w:rsid w:val="00453CD9"/>
    <w:rsid w:val="00453E35"/>
    <w:rsid w:val="00454164"/>
    <w:rsid w:val="004541EC"/>
    <w:rsid w:val="0045437B"/>
    <w:rsid w:val="004543E5"/>
    <w:rsid w:val="004546B4"/>
    <w:rsid w:val="004546E8"/>
    <w:rsid w:val="00454962"/>
    <w:rsid w:val="00454B6A"/>
    <w:rsid w:val="00454B97"/>
    <w:rsid w:val="00454BBA"/>
    <w:rsid w:val="004551A5"/>
    <w:rsid w:val="004554CE"/>
    <w:rsid w:val="00455691"/>
    <w:rsid w:val="0045574D"/>
    <w:rsid w:val="004557C7"/>
    <w:rsid w:val="00455B2B"/>
    <w:rsid w:val="00455C65"/>
    <w:rsid w:val="00455D13"/>
    <w:rsid w:val="00456027"/>
    <w:rsid w:val="00456144"/>
    <w:rsid w:val="00456318"/>
    <w:rsid w:val="004565B0"/>
    <w:rsid w:val="0045679D"/>
    <w:rsid w:val="0045691A"/>
    <w:rsid w:val="00456ACD"/>
    <w:rsid w:val="00456CA4"/>
    <w:rsid w:val="00456D35"/>
    <w:rsid w:val="00456DDE"/>
    <w:rsid w:val="00456E9A"/>
    <w:rsid w:val="00456F45"/>
    <w:rsid w:val="004572EB"/>
    <w:rsid w:val="004572F9"/>
    <w:rsid w:val="00457452"/>
    <w:rsid w:val="004576B6"/>
    <w:rsid w:val="0045796C"/>
    <w:rsid w:val="00457C85"/>
    <w:rsid w:val="00457CDC"/>
    <w:rsid w:val="00457E97"/>
    <w:rsid w:val="00457F0A"/>
    <w:rsid w:val="00460406"/>
    <w:rsid w:val="004604E4"/>
    <w:rsid w:val="00460854"/>
    <w:rsid w:val="004609C3"/>
    <w:rsid w:val="00460AF4"/>
    <w:rsid w:val="00460B79"/>
    <w:rsid w:val="00460C75"/>
    <w:rsid w:val="00460C84"/>
    <w:rsid w:val="00460CE2"/>
    <w:rsid w:val="00460E46"/>
    <w:rsid w:val="004612A4"/>
    <w:rsid w:val="00461335"/>
    <w:rsid w:val="0046137F"/>
    <w:rsid w:val="00461634"/>
    <w:rsid w:val="0046173F"/>
    <w:rsid w:val="00461806"/>
    <w:rsid w:val="00461A62"/>
    <w:rsid w:val="00461CE3"/>
    <w:rsid w:val="00461E17"/>
    <w:rsid w:val="00461E50"/>
    <w:rsid w:val="00462025"/>
    <w:rsid w:val="00462171"/>
    <w:rsid w:val="004624C5"/>
    <w:rsid w:val="0046254C"/>
    <w:rsid w:val="0046271C"/>
    <w:rsid w:val="00462A09"/>
    <w:rsid w:val="00462A76"/>
    <w:rsid w:val="00462BE7"/>
    <w:rsid w:val="00462CD1"/>
    <w:rsid w:val="00462D2E"/>
    <w:rsid w:val="004630FF"/>
    <w:rsid w:val="00463133"/>
    <w:rsid w:val="004632FC"/>
    <w:rsid w:val="004633C1"/>
    <w:rsid w:val="00463B8E"/>
    <w:rsid w:val="00463BA0"/>
    <w:rsid w:val="00463C38"/>
    <w:rsid w:val="00463FAD"/>
    <w:rsid w:val="00463FB2"/>
    <w:rsid w:val="00464048"/>
    <w:rsid w:val="00464209"/>
    <w:rsid w:val="004647A5"/>
    <w:rsid w:val="004648A6"/>
    <w:rsid w:val="00464986"/>
    <w:rsid w:val="00464AB8"/>
    <w:rsid w:val="00464CDD"/>
    <w:rsid w:val="00465113"/>
    <w:rsid w:val="0046584F"/>
    <w:rsid w:val="00465E36"/>
    <w:rsid w:val="004660EF"/>
    <w:rsid w:val="004661AC"/>
    <w:rsid w:val="0046630A"/>
    <w:rsid w:val="00466310"/>
    <w:rsid w:val="0046632B"/>
    <w:rsid w:val="0046676F"/>
    <w:rsid w:val="00466820"/>
    <w:rsid w:val="004668D0"/>
    <w:rsid w:val="00466A8C"/>
    <w:rsid w:val="00466BCA"/>
    <w:rsid w:val="00466BD8"/>
    <w:rsid w:val="00466E4F"/>
    <w:rsid w:val="004670EB"/>
    <w:rsid w:val="00467109"/>
    <w:rsid w:val="0046714A"/>
    <w:rsid w:val="004671D9"/>
    <w:rsid w:val="0046724B"/>
    <w:rsid w:val="004674CC"/>
    <w:rsid w:val="004674E3"/>
    <w:rsid w:val="0046759F"/>
    <w:rsid w:val="00467654"/>
    <w:rsid w:val="00467757"/>
    <w:rsid w:val="00467891"/>
    <w:rsid w:val="00467973"/>
    <w:rsid w:val="00467A20"/>
    <w:rsid w:val="00467A35"/>
    <w:rsid w:val="00467AB9"/>
    <w:rsid w:val="00467B80"/>
    <w:rsid w:val="00467D74"/>
    <w:rsid w:val="0047008F"/>
    <w:rsid w:val="004700EA"/>
    <w:rsid w:val="004703E4"/>
    <w:rsid w:val="004704C1"/>
    <w:rsid w:val="0047054A"/>
    <w:rsid w:val="00470609"/>
    <w:rsid w:val="004707E3"/>
    <w:rsid w:val="004708B1"/>
    <w:rsid w:val="00470A1D"/>
    <w:rsid w:val="00470AA7"/>
    <w:rsid w:val="00470AD0"/>
    <w:rsid w:val="00470AF1"/>
    <w:rsid w:val="00470E85"/>
    <w:rsid w:val="00471009"/>
    <w:rsid w:val="004711C3"/>
    <w:rsid w:val="0047130C"/>
    <w:rsid w:val="00471632"/>
    <w:rsid w:val="0047166F"/>
    <w:rsid w:val="004718B4"/>
    <w:rsid w:val="00471C2D"/>
    <w:rsid w:val="00471CA2"/>
    <w:rsid w:val="00471EE6"/>
    <w:rsid w:val="0047208C"/>
    <w:rsid w:val="004720A9"/>
    <w:rsid w:val="004720CE"/>
    <w:rsid w:val="00472136"/>
    <w:rsid w:val="004724DB"/>
    <w:rsid w:val="0047256B"/>
    <w:rsid w:val="0047278A"/>
    <w:rsid w:val="0047298F"/>
    <w:rsid w:val="00472A40"/>
    <w:rsid w:val="00472CED"/>
    <w:rsid w:val="00472DF6"/>
    <w:rsid w:val="00472E5F"/>
    <w:rsid w:val="00472EFE"/>
    <w:rsid w:val="00472F0D"/>
    <w:rsid w:val="00473228"/>
    <w:rsid w:val="00473346"/>
    <w:rsid w:val="004733C6"/>
    <w:rsid w:val="004734EF"/>
    <w:rsid w:val="00473807"/>
    <w:rsid w:val="004738CA"/>
    <w:rsid w:val="00473B71"/>
    <w:rsid w:val="00473C2C"/>
    <w:rsid w:val="00473C6B"/>
    <w:rsid w:val="00473D4B"/>
    <w:rsid w:val="00473D4E"/>
    <w:rsid w:val="00473F51"/>
    <w:rsid w:val="0047437C"/>
    <w:rsid w:val="004743A5"/>
    <w:rsid w:val="00474460"/>
    <w:rsid w:val="00474619"/>
    <w:rsid w:val="00474765"/>
    <w:rsid w:val="00474C10"/>
    <w:rsid w:val="00474F03"/>
    <w:rsid w:val="00474F4C"/>
    <w:rsid w:val="004751DB"/>
    <w:rsid w:val="004753F0"/>
    <w:rsid w:val="0047571B"/>
    <w:rsid w:val="00475888"/>
    <w:rsid w:val="00475A85"/>
    <w:rsid w:val="00475F93"/>
    <w:rsid w:val="004762F5"/>
    <w:rsid w:val="0047639F"/>
    <w:rsid w:val="0047647F"/>
    <w:rsid w:val="00476B22"/>
    <w:rsid w:val="00476C3B"/>
    <w:rsid w:val="00476D79"/>
    <w:rsid w:val="00477039"/>
    <w:rsid w:val="00477094"/>
    <w:rsid w:val="00477281"/>
    <w:rsid w:val="00477653"/>
    <w:rsid w:val="0047766B"/>
    <w:rsid w:val="00477977"/>
    <w:rsid w:val="004779BC"/>
    <w:rsid w:val="00477ADD"/>
    <w:rsid w:val="004800D1"/>
    <w:rsid w:val="00480299"/>
    <w:rsid w:val="00480330"/>
    <w:rsid w:val="004804EE"/>
    <w:rsid w:val="004808C3"/>
    <w:rsid w:val="0048096A"/>
    <w:rsid w:val="00480989"/>
    <w:rsid w:val="00480AB4"/>
    <w:rsid w:val="00480AFC"/>
    <w:rsid w:val="00480B07"/>
    <w:rsid w:val="00480B3A"/>
    <w:rsid w:val="00480B97"/>
    <w:rsid w:val="00480C06"/>
    <w:rsid w:val="00480F20"/>
    <w:rsid w:val="004810E5"/>
    <w:rsid w:val="004811B1"/>
    <w:rsid w:val="004814F8"/>
    <w:rsid w:val="004816E4"/>
    <w:rsid w:val="00481793"/>
    <w:rsid w:val="004818CD"/>
    <w:rsid w:val="00481A59"/>
    <w:rsid w:val="00481B97"/>
    <w:rsid w:val="00481CD3"/>
    <w:rsid w:val="00481F54"/>
    <w:rsid w:val="00481F5E"/>
    <w:rsid w:val="00482010"/>
    <w:rsid w:val="0048208B"/>
    <w:rsid w:val="004821BD"/>
    <w:rsid w:val="00482689"/>
    <w:rsid w:val="004828BB"/>
    <w:rsid w:val="00482956"/>
    <w:rsid w:val="00482BC4"/>
    <w:rsid w:val="00482DE3"/>
    <w:rsid w:val="00482E5C"/>
    <w:rsid w:val="00482F08"/>
    <w:rsid w:val="004834DA"/>
    <w:rsid w:val="0048370E"/>
    <w:rsid w:val="00483AE5"/>
    <w:rsid w:val="00483C08"/>
    <w:rsid w:val="004841C8"/>
    <w:rsid w:val="00484496"/>
    <w:rsid w:val="00484731"/>
    <w:rsid w:val="00484D7A"/>
    <w:rsid w:val="00484F89"/>
    <w:rsid w:val="004851AD"/>
    <w:rsid w:val="00485243"/>
    <w:rsid w:val="00485603"/>
    <w:rsid w:val="004856E2"/>
    <w:rsid w:val="004856FF"/>
    <w:rsid w:val="00485705"/>
    <w:rsid w:val="004858FC"/>
    <w:rsid w:val="00485D54"/>
    <w:rsid w:val="00485E7E"/>
    <w:rsid w:val="00485F47"/>
    <w:rsid w:val="004860BC"/>
    <w:rsid w:val="004861A0"/>
    <w:rsid w:val="004861EA"/>
    <w:rsid w:val="00486471"/>
    <w:rsid w:val="0048679D"/>
    <w:rsid w:val="00486910"/>
    <w:rsid w:val="0048695A"/>
    <w:rsid w:val="004869A3"/>
    <w:rsid w:val="00486A65"/>
    <w:rsid w:val="00486BAD"/>
    <w:rsid w:val="00486DE0"/>
    <w:rsid w:val="00486F4B"/>
    <w:rsid w:val="00487077"/>
    <w:rsid w:val="00487353"/>
    <w:rsid w:val="0048744C"/>
    <w:rsid w:val="00487622"/>
    <w:rsid w:val="0048772F"/>
    <w:rsid w:val="00487998"/>
    <w:rsid w:val="00487AD9"/>
    <w:rsid w:val="00487B70"/>
    <w:rsid w:val="00487BAD"/>
    <w:rsid w:val="00487C85"/>
    <w:rsid w:val="00487E36"/>
    <w:rsid w:val="00487E41"/>
    <w:rsid w:val="00487EC8"/>
    <w:rsid w:val="00490135"/>
    <w:rsid w:val="004903C7"/>
    <w:rsid w:val="004903D3"/>
    <w:rsid w:val="004905BE"/>
    <w:rsid w:val="00490889"/>
    <w:rsid w:val="00490916"/>
    <w:rsid w:val="00490DE8"/>
    <w:rsid w:val="00490FD9"/>
    <w:rsid w:val="004910D3"/>
    <w:rsid w:val="00491454"/>
    <w:rsid w:val="0049154F"/>
    <w:rsid w:val="0049159C"/>
    <w:rsid w:val="004916B2"/>
    <w:rsid w:val="004919E1"/>
    <w:rsid w:val="00491AFE"/>
    <w:rsid w:val="00491BA8"/>
    <w:rsid w:val="00491C32"/>
    <w:rsid w:val="00491C5E"/>
    <w:rsid w:val="00491DFF"/>
    <w:rsid w:val="00492173"/>
    <w:rsid w:val="0049248D"/>
    <w:rsid w:val="004924D6"/>
    <w:rsid w:val="004925F4"/>
    <w:rsid w:val="004926C9"/>
    <w:rsid w:val="0049273E"/>
    <w:rsid w:val="00492811"/>
    <w:rsid w:val="004929EF"/>
    <w:rsid w:val="004929F2"/>
    <w:rsid w:val="00492B2A"/>
    <w:rsid w:val="00492C5D"/>
    <w:rsid w:val="00492E51"/>
    <w:rsid w:val="00492E96"/>
    <w:rsid w:val="00492EA1"/>
    <w:rsid w:val="00493140"/>
    <w:rsid w:val="0049338D"/>
    <w:rsid w:val="004936C2"/>
    <w:rsid w:val="004937E3"/>
    <w:rsid w:val="0049396F"/>
    <w:rsid w:val="00493A58"/>
    <w:rsid w:val="00493AB7"/>
    <w:rsid w:val="00493BE0"/>
    <w:rsid w:val="00493D39"/>
    <w:rsid w:val="00493DD1"/>
    <w:rsid w:val="00493F77"/>
    <w:rsid w:val="00494060"/>
    <w:rsid w:val="0049429E"/>
    <w:rsid w:val="004942C3"/>
    <w:rsid w:val="0049445A"/>
    <w:rsid w:val="004944D1"/>
    <w:rsid w:val="004945D3"/>
    <w:rsid w:val="0049463B"/>
    <w:rsid w:val="00494978"/>
    <w:rsid w:val="00494C71"/>
    <w:rsid w:val="00494FE4"/>
    <w:rsid w:val="004950E9"/>
    <w:rsid w:val="00495262"/>
    <w:rsid w:val="0049533A"/>
    <w:rsid w:val="004953A9"/>
    <w:rsid w:val="004953EA"/>
    <w:rsid w:val="00495531"/>
    <w:rsid w:val="004957DB"/>
    <w:rsid w:val="0049581B"/>
    <w:rsid w:val="004958D2"/>
    <w:rsid w:val="004958E0"/>
    <w:rsid w:val="00495A91"/>
    <w:rsid w:val="00495CFE"/>
    <w:rsid w:val="00495E3A"/>
    <w:rsid w:val="00495FD8"/>
    <w:rsid w:val="004962BB"/>
    <w:rsid w:val="0049633A"/>
    <w:rsid w:val="0049668F"/>
    <w:rsid w:val="00496742"/>
    <w:rsid w:val="00496759"/>
    <w:rsid w:val="004968DB"/>
    <w:rsid w:val="004968E7"/>
    <w:rsid w:val="00496938"/>
    <w:rsid w:val="00496A81"/>
    <w:rsid w:val="00496D37"/>
    <w:rsid w:val="00496D85"/>
    <w:rsid w:val="00496D8F"/>
    <w:rsid w:val="00496DD2"/>
    <w:rsid w:val="00496E03"/>
    <w:rsid w:val="00496E94"/>
    <w:rsid w:val="00497194"/>
    <w:rsid w:val="004974F4"/>
    <w:rsid w:val="0049781D"/>
    <w:rsid w:val="004978CE"/>
    <w:rsid w:val="00497DC8"/>
    <w:rsid w:val="00497F1F"/>
    <w:rsid w:val="00497FA8"/>
    <w:rsid w:val="004A0286"/>
    <w:rsid w:val="004A036E"/>
    <w:rsid w:val="004A06DF"/>
    <w:rsid w:val="004A08CE"/>
    <w:rsid w:val="004A0BD8"/>
    <w:rsid w:val="004A0CC2"/>
    <w:rsid w:val="004A0DB4"/>
    <w:rsid w:val="004A0E98"/>
    <w:rsid w:val="004A1022"/>
    <w:rsid w:val="004A124E"/>
    <w:rsid w:val="004A12FA"/>
    <w:rsid w:val="004A1415"/>
    <w:rsid w:val="004A15B2"/>
    <w:rsid w:val="004A1643"/>
    <w:rsid w:val="004A18D2"/>
    <w:rsid w:val="004A1941"/>
    <w:rsid w:val="004A1B73"/>
    <w:rsid w:val="004A1D61"/>
    <w:rsid w:val="004A1DBA"/>
    <w:rsid w:val="004A2362"/>
    <w:rsid w:val="004A25DB"/>
    <w:rsid w:val="004A2BA9"/>
    <w:rsid w:val="004A2C12"/>
    <w:rsid w:val="004A2C57"/>
    <w:rsid w:val="004A2D8E"/>
    <w:rsid w:val="004A2D9A"/>
    <w:rsid w:val="004A311D"/>
    <w:rsid w:val="004A340B"/>
    <w:rsid w:val="004A36B6"/>
    <w:rsid w:val="004A36FE"/>
    <w:rsid w:val="004A37FC"/>
    <w:rsid w:val="004A3864"/>
    <w:rsid w:val="004A386B"/>
    <w:rsid w:val="004A3927"/>
    <w:rsid w:val="004A3998"/>
    <w:rsid w:val="004A39E6"/>
    <w:rsid w:val="004A3B1C"/>
    <w:rsid w:val="004A3DE0"/>
    <w:rsid w:val="004A3EA7"/>
    <w:rsid w:val="004A424C"/>
    <w:rsid w:val="004A4625"/>
    <w:rsid w:val="004A4802"/>
    <w:rsid w:val="004A487D"/>
    <w:rsid w:val="004A4937"/>
    <w:rsid w:val="004A4BF7"/>
    <w:rsid w:val="004A4C3B"/>
    <w:rsid w:val="004A4C9C"/>
    <w:rsid w:val="004A4DF1"/>
    <w:rsid w:val="004A4ECB"/>
    <w:rsid w:val="004A534D"/>
    <w:rsid w:val="004A56A4"/>
    <w:rsid w:val="004A5768"/>
    <w:rsid w:val="004A5773"/>
    <w:rsid w:val="004A5840"/>
    <w:rsid w:val="004A594F"/>
    <w:rsid w:val="004A59A4"/>
    <w:rsid w:val="004A5A6F"/>
    <w:rsid w:val="004A6080"/>
    <w:rsid w:val="004A62B3"/>
    <w:rsid w:val="004A6353"/>
    <w:rsid w:val="004A663E"/>
    <w:rsid w:val="004A6726"/>
    <w:rsid w:val="004A679E"/>
    <w:rsid w:val="004A6B13"/>
    <w:rsid w:val="004A6C48"/>
    <w:rsid w:val="004A6F8A"/>
    <w:rsid w:val="004A711E"/>
    <w:rsid w:val="004A7525"/>
    <w:rsid w:val="004A7828"/>
    <w:rsid w:val="004A78F4"/>
    <w:rsid w:val="004A79E4"/>
    <w:rsid w:val="004A7AB6"/>
    <w:rsid w:val="004A7E3A"/>
    <w:rsid w:val="004A7E51"/>
    <w:rsid w:val="004A7ECE"/>
    <w:rsid w:val="004A7F78"/>
    <w:rsid w:val="004A7FAA"/>
    <w:rsid w:val="004B00A6"/>
    <w:rsid w:val="004B0340"/>
    <w:rsid w:val="004B0481"/>
    <w:rsid w:val="004B056C"/>
    <w:rsid w:val="004B05C0"/>
    <w:rsid w:val="004B0639"/>
    <w:rsid w:val="004B06B4"/>
    <w:rsid w:val="004B0797"/>
    <w:rsid w:val="004B07C9"/>
    <w:rsid w:val="004B07E5"/>
    <w:rsid w:val="004B0929"/>
    <w:rsid w:val="004B097E"/>
    <w:rsid w:val="004B0AAF"/>
    <w:rsid w:val="004B0C79"/>
    <w:rsid w:val="004B0E35"/>
    <w:rsid w:val="004B0F13"/>
    <w:rsid w:val="004B1009"/>
    <w:rsid w:val="004B1232"/>
    <w:rsid w:val="004B1261"/>
    <w:rsid w:val="004B1275"/>
    <w:rsid w:val="004B1613"/>
    <w:rsid w:val="004B163E"/>
    <w:rsid w:val="004B18CC"/>
    <w:rsid w:val="004B1D54"/>
    <w:rsid w:val="004B1E62"/>
    <w:rsid w:val="004B2031"/>
    <w:rsid w:val="004B221E"/>
    <w:rsid w:val="004B22A4"/>
    <w:rsid w:val="004B2900"/>
    <w:rsid w:val="004B2A6B"/>
    <w:rsid w:val="004B2BF9"/>
    <w:rsid w:val="004B2C5A"/>
    <w:rsid w:val="004B2D2E"/>
    <w:rsid w:val="004B31CC"/>
    <w:rsid w:val="004B32ED"/>
    <w:rsid w:val="004B352C"/>
    <w:rsid w:val="004B3639"/>
    <w:rsid w:val="004B375A"/>
    <w:rsid w:val="004B39B8"/>
    <w:rsid w:val="004B3DF1"/>
    <w:rsid w:val="004B40EF"/>
    <w:rsid w:val="004B440C"/>
    <w:rsid w:val="004B4491"/>
    <w:rsid w:val="004B4531"/>
    <w:rsid w:val="004B4797"/>
    <w:rsid w:val="004B492B"/>
    <w:rsid w:val="004B495D"/>
    <w:rsid w:val="004B49B5"/>
    <w:rsid w:val="004B4AAB"/>
    <w:rsid w:val="004B4AAE"/>
    <w:rsid w:val="004B4C30"/>
    <w:rsid w:val="004B4D14"/>
    <w:rsid w:val="004B4EF5"/>
    <w:rsid w:val="004B51FC"/>
    <w:rsid w:val="004B5217"/>
    <w:rsid w:val="004B53F1"/>
    <w:rsid w:val="004B5939"/>
    <w:rsid w:val="004B5A98"/>
    <w:rsid w:val="004B5E4E"/>
    <w:rsid w:val="004B5E91"/>
    <w:rsid w:val="004B5F8C"/>
    <w:rsid w:val="004B6332"/>
    <w:rsid w:val="004B654C"/>
    <w:rsid w:val="004B6619"/>
    <w:rsid w:val="004B67D1"/>
    <w:rsid w:val="004B69B0"/>
    <w:rsid w:val="004B6D2B"/>
    <w:rsid w:val="004B6FA6"/>
    <w:rsid w:val="004B7676"/>
    <w:rsid w:val="004B77E2"/>
    <w:rsid w:val="004B7A53"/>
    <w:rsid w:val="004B7B26"/>
    <w:rsid w:val="004B7C32"/>
    <w:rsid w:val="004B7C3B"/>
    <w:rsid w:val="004B7C6F"/>
    <w:rsid w:val="004B7CCF"/>
    <w:rsid w:val="004B7CFF"/>
    <w:rsid w:val="004B7D74"/>
    <w:rsid w:val="004B7DFE"/>
    <w:rsid w:val="004B7F61"/>
    <w:rsid w:val="004C0068"/>
    <w:rsid w:val="004C006A"/>
    <w:rsid w:val="004C00FD"/>
    <w:rsid w:val="004C0130"/>
    <w:rsid w:val="004C01CA"/>
    <w:rsid w:val="004C0266"/>
    <w:rsid w:val="004C02C7"/>
    <w:rsid w:val="004C0305"/>
    <w:rsid w:val="004C0CF7"/>
    <w:rsid w:val="004C10B2"/>
    <w:rsid w:val="004C110C"/>
    <w:rsid w:val="004C134C"/>
    <w:rsid w:val="004C1758"/>
    <w:rsid w:val="004C1964"/>
    <w:rsid w:val="004C19B8"/>
    <w:rsid w:val="004C1D96"/>
    <w:rsid w:val="004C1DB5"/>
    <w:rsid w:val="004C2033"/>
    <w:rsid w:val="004C2285"/>
    <w:rsid w:val="004C24AC"/>
    <w:rsid w:val="004C24C5"/>
    <w:rsid w:val="004C2B5E"/>
    <w:rsid w:val="004C2EFF"/>
    <w:rsid w:val="004C2FAC"/>
    <w:rsid w:val="004C3113"/>
    <w:rsid w:val="004C3494"/>
    <w:rsid w:val="004C358D"/>
    <w:rsid w:val="004C35CF"/>
    <w:rsid w:val="004C3647"/>
    <w:rsid w:val="004C3698"/>
    <w:rsid w:val="004C37CD"/>
    <w:rsid w:val="004C3C9C"/>
    <w:rsid w:val="004C3CAB"/>
    <w:rsid w:val="004C3D27"/>
    <w:rsid w:val="004C3DA5"/>
    <w:rsid w:val="004C3EA3"/>
    <w:rsid w:val="004C3EC6"/>
    <w:rsid w:val="004C415F"/>
    <w:rsid w:val="004C42BA"/>
    <w:rsid w:val="004C483B"/>
    <w:rsid w:val="004C4E49"/>
    <w:rsid w:val="004C4F3A"/>
    <w:rsid w:val="004C4F9D"/>
    <w:rsid w:val="004C5161"/>
    <w:rsid w:val="004C522D"/>
    <w:rsid w:val="004C5298"/>
    <w:rsid w:val="004C5684"/>
    <w:rsid w:val="004C59E4"/>
    <w:rsid w:val="004C5AF2"/>
    <w:rsid w:val="004C5B32"/>
    <w:rsid w:val="004C5E0D"/>
    <w:rsid w:val="004C5F58"/>
    <w:rsid w:val="004C6125"/>
    <w:rsid w:val="004C67C6"/>
    <w:rsid w:val="004C6BCB"/>
    <w:rsid w:val="004C6C48"/>
    <w:rsid w:val="004C6D6F"/>
    <w:rsid w:val="004C6EFB"/>
    <w:rsid w:val="004C70C1"/>
    <w:rsid w:val="004C71D6"/>
    <w:rsid w:val="004C7222"/>
    <w:rsid w:val="004C72BF"/>
    <w:rsid w:val="004C779A"/>
    <w:rsid w:val="004C77BE"/>
    <w:rsid w:val="004C797B"/>
    <w:rsid w:val="004C7AC1"/>
    <w:rsid w:val="004C7B98"/>
    <w:rsid w:val="004C7D6C"/>
    <w:rsid w:val="004C7DCE"/>
    <w:rsid w:val="004D0297"/>
    <w:rsid w:val="004D02E0"/>
    <w:rsid w:val="004D0628"/>
    <w:rsid w:val="004D0BA2"/>
    <w:rsid w:val="004D0C60"/>
    <w:rsid w:val="004D0E90"/>
    <w:rsid w:val="004D11DC"/>
    <w:rsid w:val="004D1337"/>
    <w:rsid w:val="004D1615"/>
    <w:rsid w:val="004D1759"/>
    <w:rsid w:val="004D18B4"/>
    <w:rsid w:val="004D1CDC"/>
    <w:rsid w:val="004D1D58"/>
    <w:rsid w:val="004D1DEC"/>
    <w:rsid w:val="004D1E97"/>
    <w:rsid w:val="004D201B"/>
    <w:rsid w:val="004D27E4"/>
    <w:rsid w:val="004D292A"/>
    <w:rsid w:val="004D2959"/>
    <w:rsid w:val="004D29B7"/>
    <w:rsid w:val="004D29C4"/>
    <w:rsid w:val="004D2BC4"/>
    <w:rsid w:val="004D2C01"/>
    <w:rsid w:val="004D2C38"/>
    <w:rsid w:val="004D2ED3"/>
    <w:rsid w:val="004D3147"/>
    <w:rsid w:val="004D318A"/>
    <w:rsid w:val="004D35FB"/>
    <w:rsid w:val="004D362E"/>
    <w:rsid w:val="004D3865"/>
    <w:rsid w:val="004D38F7"/>
    <w:rsid w:val="004D3D31"/>
    <w:rsid w:val="004D3E36"/>
    <w:rsid w:val="004D42D4"/>
    <w:rsid w:val="004D4858"/>
    <w:rsid w:val="004D4931"/>
    <w:rsid w:val="004D4982"/>
    <w:rsid w:val="004D49D5"/>
    <w:rsid w:val="004D4A3C"/>
    <w:rsid w:val="004D4BFE"/>
    <w:rsid w:val="004D4CDA"/>
    <w:rsid w:val="004D4E5F"/>
    <w:rsid w:val="004D4E66"/>
    <w:rsid w:val="004D502C"/>
    <w:rsid w:val="004D50D4"/>
    <w:rsid w:val="004D50EA"/>
    <w:rsid w:val="004D524E"/>
    <w:rsid w:val="004D52AF"/>
    <w:rsid w:val="004D541D"/>
    <w:rsid w:val="004D5460"/>
    <w:rsid w:val="004D57D3"/>
    <w:rsid w:val="004D5A07"/>
    <w:rsid w:val="004D5E5D"/>
    <w:rsid w:val="004D5EB5"/>
    <w:rsid w:val="004D5F97"/>
    <w:rsid w:val="004D60CD"/>
    <w:rsid w:val="004D6563"/>
    <w:rsid w:val="004D65C5"/>
    <w:rsid w:val="004D662C"/>
    <w:rsid w:val="004D6763"/>
    <w:rsid w:val="004D6894"/>
    <w:rsid w:val="004D6958"/>
    <w:rsid w:val="004D6C0F"/>
    <w:rsid w:val="004D6C4E"/>
    <w:rsid w:val="004D6D77"/>
    <w:rsid w:val="004D6DA8"/>
    <w:rsid w:val="004D6EA2"/>
    <w:rsid w:val="004D6F38"/>
    <w:rsid w:val="004D752B"/>
    <w:rsid w:val="004D76D7"/>
    <w:rsid w:val="004D7948"/>
    <w:rsid w:val="004D7A58"/>
    <w:rsid w:val="004D7A72"/>
    <w:rsid w:val="004D7DF9"/>
    <w:rsid w:val="004D7E1D"/>
    <w:rsid w:val="004D7EF7"/>
    <w:rsid w:val="004E0063"/>
    <w:rsid w:val="004E00C5"/>
    <w:rsid w:val="004E01D7"/>
    <w:rsid w:val="004E0457"/>
    <w:rsid w:val="004E04E7"/>
    <w:rsid w:val="004E08E0"/>
    <w:rsid w:val="004E0BAB"/>
    <w:rsid w:val="004E0F5F"/>
    <w:rsid w:val="004E1280"/>
    <w:rsid w:val="004E1475"/>
    <w:rsid w:val="004E147F"/>
    <w:rsid w:val="004E153E"/>
    <w:rsid w:val="004E158E"/>
    <w:rsid w:val="004E18C0"/>
    <w:rsid w:val="004E1B32"/>
    <w:rsid w:val="004E1B9B"/>
    <w:rsid w:val="004E1C46"/>
    <w:rsid w:val="004E1CC7"/>
    <w:rsid w:val="004E1E38"/>
    <w:rsid w:val="004E1E8C"/>
    <w:rsid w:val="004E20AE"/>
    <w:rsid w:val="004E245E"/>
    <w:rsid w:val="004E25F4"/>
    <w:rsid w:val="004E294F"/>
    <w:rsid w:val="004E29EC"/>
    <w:rsid w:val="004E2A71"/>
    <w:rsid w:val="004E2BDA"/>
    <w:rsid w:val="004E2BDE"/>
    <w:rsid w:val="004E2BE0"/>
    <w:rsid w:val="004E2D79"/>
    <w:rsid w:val="004E2DC5"/>
    <w:rsid w:val="004E3152"/>
    <w:rsid w:val="004E3463"/>
    <w:rsid w:val="004E34B4"/>
    <w:rsid w:val="004E350B"/>
    <w:rsid w:val="004E357B"/>
    <w:rsid w:val="004E3730"/>
    <w:rsid w:val="004E383D"/>
    <w:rsid w:val="004E3854"/>
    <w:rsid w:val="004E3F40"/>
    <w:rsid w:val="004E4048"/>
    <w:rsid w:val="004E4087"/>
    <w:rsid w:val="004E40DA"/>
    <w:rsid w:val="004E4269"/>
    <w:rsid w:val="004E42EA"/>
    <w:rsid w:val="004E4354"/>
    <w:rsid w:val="004E43CA"/>
    <w:rsid w:val="004E442E"/>
    <w:rsid w:val="004E466C"/>
    <w:rsid w:val="004E4C60"/>
    <w:rsid w:val="004E4C84"/>
    <w:rsid w:val="004E4E1B"/>
    <w:rsid w:val="004E5112"/>
    <w:rsid w:val="004E5283"/>
    <w:rsid w:val="004E547E"/>
    <w:rsid w:val="004E54AC"/>
    <w:rsid w:val="004E54CF"/>
    <w:rsid w:val="004E5715"/>
    <w:rsid w:val="004E58BE"/>
    <w:rsid w:val="004E5BD8"/>
    <w:rsid w:val="004E5C49"/>
    <w:rsid w:val="004E5C79"/>
    <w:rsid w:val="004E5CDB"/>
    <w:rsid w:val="004E5D01"/>
    <w:rsid w:val="004E5E1C"/>
    <w:rsid w:val="004E601B"/>
    <w:rsid w:val="004E61C2"/>
    <w:rsid w:val="004E630C"/>
    <w:rsid w:val="004E6343"/>
    <w:rsid w:val="004E63E6"/>
    <w:rsid w:val="004E6633"/>
    <w:rsid w:val="004E68FC"/>
    <w:rsid w:val="004E6ADA"/>
    <w:rsid w:val="004E6E1E"/>
    <w:rsid w:val="004E763D"/>
    <w:rsid w:val="004E782C"/>
    <w:rsid w:val="004E7E57"/>
    <w:rsid w:val="004F01B3"/>
    <w:rsid w:val="004F0211"/>
    <w:rsid w:val="004F02B0"/>
    <w:rsid w:val="004F06A5"/>
    <w:rsid w:val="004F070A"/>
    <w:rsid w:val="004F080D"/>
    <w:rsid w:val="004F0B33"/>
    <w:rsid w:val="004F0C01"/>
    <w:rsid w:val="004F0F44"/>
    <w:rsid w:val="004F0FD8"/>
    <w:rsid w:val="004F10A7"/>
    <w:rsid w:val="004F16BB"/>
    <w:rsid w:val="004F16BD"/>
    <w:rsid w:val="004F16D8"/>
    <w:rsid w:val="004F1763"/>
    <w:rsid w:val="004F1797"/>
    <w:rsid w:val="004F1951"/>
    <w:rsid w:val="004F1A63"/>
    <w:rsid w:val="004F1A78"/>
    <w:rsid w:val="004F1AF4"/>
    <w:rsid w:val="004F1C07"/>
    <w:rsid w:val="004F1ED5"/>
    <w:rsid w:val="004F1FAB"/>
    <w:rsid w:val="004F21A4"/>
    <w:rsid w:val="004F2230"/>
    <w:rsid w:val="004F239B"/>
    <w:rsid w:val="004F2427"/>
    <w:rsid w:val="004F2617"/>
    <w:rsid w:val="004F26AD"/>
    <w:rsid w:val="004F27D2"/>
    <w:rsid w:val="004F282A"/>
    <w:rsid w:val="004F2B91"/>
    <w:rsid w:val="004F2D17"/>
    <w:rsid w:val="004F2E84"/>
    <w:rsid w:val="004F2EE5"/>
    <w:rsid w:val="004F3044"/>
    <w:rsid w:val="004F316E"/>
    <w:rsid w:val="004F3219"/>
    <w:rsid w:val="004F32F7"/>
    <w:rsid w:val="004F33F8"/>
    <w:rsid w:val="004F3416"/>
    <w:rsid w:val="004F3626"/>
    <w:rsid w:val="004F3742"/>
    <w:rsid w:val="004F37BF"/>
    <w:rsid w:val="004F381E"/>
    <w:rsid w:val="004F3840"/>
    <w:rsid w:val="004F3922"/>
    <w:rsid w:val="004F3AB3"/>
    <w:rsid w:val="004F3AE7"/>
    <w:rsid w:val="004F3B69"/>
    <w:rsid w:val="004F3C19"/>
    <w:rsid w:val="004F3C96"/>
    <w:rsid w:val="004F3CC1"/>
    <w:rsid w:val="004F3CCD"/>
    <w:rsid w:val="004F3DFC"/>
    <w:rsid w:val="004F421A"/>
    <w:rsid w:val="004F43E5"/>
    <w:rsid w:val="004F4741"/>
    <w:rsid w:val="004F4795"/>
    <w:rsid w:val="004F4C2D"/>
    <w:rsid w:val="004F4FE5"/>
    <w:rsid w:val="004F515B"/>
    <w:rsid w:val="004F521F"/>
    <w:rsid w:val="004F554D"/>
    <w:rsid w:val="004F5639"/>
    <w:rsid w:val="004F58F8"/>
    <w:rsid w:val="004F5C77"/>
    <w:rsid w:val="004F5C97"/>
    <w:rsid w:val="004F5CDE"/>
    <w:rsid w:val="004F5F39"/>
    <w:rsid w:val="004F6243"/>
    <w:rsid w:val="004F645B"/>
    <w:rsid w:val="004F6488"/>
    <w:rsid w:val="004F6905"/>
    <w:rsid w:val="004F6CE6"/>
    <w:rsid w:val="004F6CF0"/>
    <w:rsid w:val="004F6D1A"/>
    <w:rsid w:val="004F6DBC"/>
    <w:rsid w:val="004F6ECE"/>
    <w:rsid w:val="004F6F66"/>
    <w:rsid w:val="004F6F7B"/>
    <w:rsid w:val="004F7031"/>
    <w:rsid w:val="004F71C3"/>
    <w:rsid w:val="004F78D0"/>
    <w:rsid w:val="004F7944"/>
    <w:rsid w:val="004F7BE5"/>
    <w:rsid w:val="004F7CA0"/>
    <w:rsid w:val="004F7CA8"/>
    <w:rsid w:val="004F7CAA"/>
    <w:rsid w:val="004F7CDD"/>
    <w:rsid w:val="004F7E25"/>
    <w:rsid w:val="004F7F36"/>
    <w:rsid w:val="0050010C"/>
    <w:rsid w:val="005003F7"/>
    <w:rsid w:val="005004DD"/>
    <w:rsid w:val="00500597"/>
    <w:rsid w:val="00500646"/>
    <w:rsid w:val="00500706"/>
    <w:rsid w:val="005007AB"/>
    <w:rsid w:val="00500912"/>
    <w:rsid w:val="00500959"/>
    <w:rsid w:val="00500BD2"/>
    <w:rsid w:val="00500C87"/>
    <w:rsid w:val="00500E3E"/>
    <w:rsid w:val="00500E85"/>
    <w:rsid w:val="00500EBE"/>
    <w:rsid w:val="00500F55"/>
    <w:rsid w:val="00500FB3"/>
    <w:rsid w:val="00501329"/>
    <w:rsid w:val="00501787"/>
    <w:rsid w:val="0050199B"/>
    <w:rsid w:val="00501D22"/>
    <w:rsid w:val="00501F46"/>
    <w:rsid w:val="00502029"/>
    <w:rsid w:val="00502077"/>
    <w:rsid w:val="00502416"/>
    <w:rsid w:val="0050286A"/>
    <w:rsid w:val="005028FD"/>
    <w:rsid w:val="00502904"/>
    <w:rsid w:val="00502966"/>
    <w:rsid w:val="00502A1B"/>
    <w:rsid w:val="00502B27"/>
    <w:rsid w:val="00502C3A"/>
    <w:rsid w:val="00502E0C"/>
    <w:rsid w:val="00502E33"/>
    <w:rsid w:val="00502FF1"/>
    <w:rsid w:val="00503072"/>
    <w:rsid w:val="00503086"/>
    <w:rsid w:val="005030C9"/>
    <w:rsid w:val="0050329F"/>
    <w:rsid w:val="005032BC"/>
    <w:rsid w:val="005033D1"/>
    <w:rsid w:val="00503624"/>
    <w:rsid w:val="00503822"/>
    <w:rsid w:val="00503894"/>
    <w:rsid w:val="005038B5"/>
    <w:rsid w:val="0050396B"/>
    <w:rsid w:val="00503AEB"/>
    <w:rsid w:val="00503BBF"/>
    <w:rsid w:val="00503BDE"/>
    <w:rsid w:val="005041A3"/>
    <w:rsid w:val="00504201"/>
    <w:rsid w:val="0050438B"/>
    <w:rsid w:val="00504663"/>
    <w:rsid w:val="00504673"/>
    <w:rsid w:val="005046F5"/>
    <w:rsid w:val="00504AB0"/>
    <w:rsid w:val="00504B50"/>
    <w:rsid w:val="00504BD9"/>
    <w:rsid w:val="00504CF5"/>
    <w:rsid w:val="00504E60"/>
    <w:rsid w:val="0050521B"/>
    <w:rsid w:val="005053D7"/>
    <w:rsid w:val="0050549A"/>
    <w:rsid w:val="005054ED"/>
    <w:rsid w:val="005055D8"/>
    <w:rsid w:val="0050567D"/>
    <w:rsid w:val="0050574E"/>
    <w:rsid w:val="005058EF"/>
    <w:rsid w:val="0050592B"/>
    <w:rsid w:val="00505C1D"/>
    <w:rsid w:val="00505C7B"/>
    <w:rsid w:val="00505C8C"/>
    <w:rsid w:val="00505D14"/>
    <w:rsid w:val="00505D45"/>
    <w:rsid w:val="00505FBA"/>
    <w:rsid w:val="00505FCA"/>
    <w:rsid w:val="005067BD"/>
    <w:rsid w:val="005067D0"/>
    <w:rsid w:val="00506869"/>
    <w:rsid w:val="00506D7E"/>
    <w:rsid w:val="00506E3F"/>
    <w:rsid w:val="00507268"/>
    <w:rsid w:val="0050735C"/>
    <w:rsid w:val="00507484"/>
    <w:rsid w:val="00507729"/>
    <w:rsid w:val="00507838"/>
    <w:rsid w:val="00507B96"/>
    <w:rsid w:val="00507DAA"/>
    <w:rsid w:val="00510013"/>
    <w:rsid w:val="005105B3"/>
    <w:rsid w:val="0051073D"/>
    <w:rsid w:val="00510775"/>
    <w:rsid w:val="005107AD"/>
    <w:rsid w:val="00510855"/>
    <w:rsid w:val="005108CE"/>
    <w:rsid w:val="00510BA9"/>
    <w:rsid w:val="00510E28"/>
    <w:rsid w:val="00510F42"/>
    <w:rsid w:val="00510F9E"/>
    <w:rsid w:val="0051126E"/>
    <w:rsid w:val="00511315"/>
    <w:rsid w:val="0051138A"/>
    <w:rsid w:val="00511463"/>
    <w:rsid w:val="005117E2"/>
    <w:rsid w:val="005117F6"/>
    <w:rsid w:val="00511AB5"/>
    <w:rsid w:val="00511B23"/>
    <w:rsid w:val="00511C22"/>
    <w:rsid w:val="00511CB9"/>
    <w:rsid w:val="00511F39"/>
    <w:rsid w:val="00512456"/>
    <w:rsid w:val="00512514"/>
    <w:rsid w:val="0051254F"/>
    <w:rsid w:val="005125FB"/>
    <w:rsid w:val="005128E8"/>
    <w:rsid w:val="00512A80"/>
    <w:rsid w:val="00512DF2"/>
    <w:rsid w:val="00512E0B"/>
    <w:rsid w:val="00512E47"/>
    <w:rsid w:val="005130DA"/>
    <w:rsid w:val="0051332F"/>
    <w:rsid w:val="00513451"/>
    <w:rsid w:val="00513775"/>
    <w:rsid w:val="00513D0C"/>
    <w:rsid w:val="00513E26"/>
    <w:rsid w:val="0051408D"/>
    <w:rsid w:val="00514139"/>
    <w:rsid w:val="00514162"/>
    <w:rsid w:val="0051416A"/>
    <w:rsid w:val="0051432E"/>
    <w:rsid w:val="005143B5"/>
    <w:rsid w:val="0051455B"/>
    <w:rsid w:val="005145D5"/>
    <w:rsid w:val="005147BB"/>
    <w:rsid w:val="00514A18"/>
    <w:rsid w:val="00514BC5"/>
    <w:rsid w:val="00514C81"/>
    <w:rsid w:val="00514C97"/>
    <w:rsid w:val="00514C99"/>
    <w:rsid w:val="00514E4A"/>
    <w:rsid w:val="005150B3"/>
    <w:rsid w:val="00515273"/>
    <w:rsid w:val="00515359"/>
    <w:rsid w:val="005153C0"/>
    <w:rsid w:val="005155C0"/>
    <w:rsid w:val="005159ED"/>
    <w:rsid w:val="00515AD0"/>
    <w:rsid w:val="00515B09"/>
    <w:rsid w:val="00515BFF"/>
    <w:rsid w:val="00515D97"/>
    <w:rsid w:val="00515EBC"/>
    <w:rsid w:val="00515FB5"/>
    <w:rsid w:val="0051609F"/>
    <w:rsid w:val="00516397"/>
    <w:rsid w:val="005163E9"/>
    <w:rsid w:val="00516498"/>
    <w:rsid w:val="005164D6"/>
    <w:rsid w:val="00516949"/>
    <w:rsid w:val="005169D9"/>
    <w:rsid w:val="00516A3D"/>
    <w:rsid w:val="00516B92"/>
    <w:rsid w:val="00516DC3"/>
    <w:rsid w:val="00517070"/>
    <w:rsid w:val="00517183"/>
    <w:rsid w:val="00517544"/>
    <w:rsid w:val="00517841"/>
    <w:rsid w:val="00517D1E"/>
    <w:rsid w:val="00517DF8"/>
    <w:rsid w:val="00517F3E"/>
    <w:rsid w:val="005200BD"/>
    <w:rsid w:val="00520173"/>
    <w:rsid w:val="0052060B"/>
    <w:rsid w:val="00520B1D"/>
    <w:rsid w:val="00520D93"/>
    <w:rsid w:val="00520FB9"/>
    <w:rsid w:val="00521027"/>
    <w:rsid w:val="0052119E"/>
    <w:rsid w:val="0052129F"/>
    <w:rsid w:val="00521831"/>
    <w:rsid w:val="005219F7"/>
    <w:rsid w:val="00521B83"/>
    <w:rsid w:val="00521CB1"/>
    <w:rsid w:val="005226D7"/>
    <w:rsid w:val="00522880"/>
    <w:rsid w:val="005229A6"/>
    <w:rsid w:val="00522ACE"/>
    <w:rsid w:val="00522B7D"/>
    <w:rsid w:val="00522C77"/>
    <w:rsid w:val="00522D7E"/>
    <w:rsid w:val="00522F48"/>
    <w:rsid w:val="00523072"/>
    <w:rsid w:val="005230BF"/>
    <w:rsid w:val="005230EF"/>
    <w:rsid w:val="00523242"/>
    <w:rsid w:val="0052329F"/>
    <w:rsid w:val="005233D7"/>
    <w:rsid w:val="005236CD"/>
    <w:rsid w:val="00523A30"/>
    <w:rsid w:val="00523AEB"/>
    <w:rsid w:val="00523B92"/>
    <w:rsid w:val="00523BBF"/>
    <w:rsid w:val="00523CA2"/>
    <w:rsid w:val="00523DA8"/>
    <w:rsid w:val="00523F33"/>
    <w:rsid w:val="00524289"/>
    <w:rsid w:val="00524706"/>
    <w:rsid w:val="0052486A"/>
    <w:rsid w:val="00524ABE"/>
    <w:rsid w:val="00524BEC"/>
    <w:rsid w:val="00524CB5"/>
    <w:rsid w:val="00524D48"/>
    <w:rsid w:val="00524E19"/>
    <w:rsid w:val="00524EE5"/>
    <w:rsid w:val="0052513D"/>
    <w:rsid w:val="005255C5"/>
    <w:rsid w:val="005256C9"/>
    <w:rsid w:val="00525706"/>
    <w:rsid w:val="00525716"/>
    <w:rsid w:val="0052586A"/>
    <w:rsid w:val="00525997"/>
    <w:rsid w:val="005259B2"/>
    <w:rsid w:val="00525AAD"/>
    <w:rsid w:val="00525C0F"/>
    <w:rsid w:val="00525C65"/>
    <w:rsid w:val="00525F43"/>
    <w:rsid w:val="00526004"/>
    <w:rsid w:val="0052606E"/>
    <w:rsid w:val="00526267"/>
    <w:rsid w:val="00526484"/>
    <w:rsid w:val="0052667C"/>
    <w:rsid w:val="00526723"/>
    <w:rsid w:val="005267F7"/>
    <w:rsid w:val="005269E5"/>
    <w:rsid w:val="00526D16"/>
    <w:rsid w:val="00526D43"/>
    <w:rsid w:val="00526DAE"/>
    <w:rsid w:val="00526FE1"/>
    <w:rsid w:val="00526FFC"/>
    <w:rsid w:val="00527070"/>
    <w:rsid w:val="005270AD"/>
    <w:rsid w:val="005271BB"/>
    <w:rsid w:val="00527385"/>
    <w:rsid w:val="00527430"/>
    <w:rsid w:val="00527884"/>
    <w:rsid w:val="00527898"/>
    <w:rsid w:val="00527986"/>
    <w:rsid w:val="00527A71"/>
    <w:rsid w:val="00527B52"/>
    <w:rsid w:val="00527B66"/>
    <w:rsid w:val="00527F7D"/>
    <w:rsid w:val="00530042"/>
    <w:rsid w:val="00530582"/>
    <w:rsid w:val="005305AF"/>
    <w:rsid w:val="00530704"/>
    <w:rsid w:val="0053071A"/>
    <w:rsid w:val="00530997"/>
    <w:rsid w:val="00530A10"/>
    <w:rsid w:val="00530AE7"/>
    <w:rsid w:val="00530AF5"/>
    <w:rsid w:val="00530CAE"/>
    <w:rsid w:val="00530E3A"/>
    <w:rsid w:val="00530E99"/>
    <w:rsid w:val="00531223"/>
    <w:rsid w:val="00531231"/>
    <w:rsid w:val="0053141F"/>
    <w:rsid w:val="005318CE"/>
    <w:rsid w:val="00531D0C"/>
    <w:rsid w:val="00531E23"/>
    <w:rsid w:val="00531F69"/>
    <w:rsid w:val="005324EB"/>
    <w:rsid w:val="00532A0C"/>
    <w:rsid w:val="00532A44"/>
    <w:rsid w:val="00532A68"/>
    <w:rsid w:val="00532A6F"/>
    <w:rsid w:val="00532D60"/>
    <w:rsid w:val="00532DFC"/>
    <w:rsid w:val="00532EC2"/>
    <w:rsid w:val="00532F9B"/>
    <w:rsid w:val="0053314E"/>
    <w:rsid w:val="005331E8"/>
    <w:rsid w:val="00533246"/>
    <w:rsid w:val="0053342F"/>
    <w:rsid w:val="005334B2"/>
    <w:rsid w:val="005337B5"/>
    <w:rsid w:val="0053384E"/>
    <w:rsid w:val="00533B09"/>
    <w:rsid w:val="00533BC6"/>
    <w:rsid w:val="00533E37"/>
    <w:rsid w:val="00533F48"/>
    <w:rsid w:val="0053434F"/>
    <w:rsid w:val="0053456A"/>
    <w:rsid w:val="005346F0"/>
    <w:rsid w:val="00534820"/>
    <w:rsid w:val="0053496A"/>
    <w:rsid w:val="00534A8B"/>
    <w:rsid w:val="00534ACA"/>
    <w:rsid w:val="00534B12"/>
    <w:rsid w:val="00534C07"/>
    <w:rsid w:val="00534CC9"/>
    <w:rsid w:val="00534D2B"/>
    <w:rsid w:val="00534EB5"/>
    <w:rsid w:val="00534F37"/>
    <w:rsid w:val="0053517D"/>
    <w:rsid w:val="0053529D"/>
    <w:rsid w:val="00535316"/>
    <w:rsid w:val="005358AC"/>
    <w:rsid w:val="00535919"/>
    <w:rsid w:val="00535967"/>
    <w:rsid w:val="00535B92"/>
    <w:rsid w:val="00535C22"/>
    <w:rsid w:val="00535CD9"/>
    <w:rsid w:val="00535E60"/>
    <w:rsid w:val="00535E7F"/>
    <w:rsid w:val="00535F16"/>
    <w:rsid w:val="00535F1B"/>
    <w:rsid w:val="00535F6D"/>
    <w:rsid w:val="00536219"/>
    <w:rsid w:val="00536244"/>
    <w:rsid w:val="00536318"/>
    <w:rsid w:val="005367A2"/>
    <w:rsid w:val="00536C3E"/>
    <w:rsid w:val="00536D34"/>
    <w:rsid w:val="00536DD1"/>
    <w:rsid w:val="00536E89"/>
    <w:rsid w:val="00536F1A"/>
    <w:rsid w:val="00536F5D"/>
    <w:rsid w:val="00537056"/>
    <w:rsid w:val="0053709A"/>
    <w:rsid w:val="00537530"/>
    <w:rsid w:val="00537535"/>
    <w:rsid w:val="0053759C"/>
    <w:rsid w:val="005376B4"/>
    <w:rsid w:val="005376E4"/>
    <w:rsid w:val="00537EF6"/>
    <w:rsid w:val="0054001C"/>
    <w:rsid w:val="005402C4"/>
    <w:rsid w:val="005404D8"/>
    <w:rsid w:val="005405C2"/>
    <w:rsid w:val="005405D2"/>
    <w:rsid w:val="0054070F"/>
    <w:rsid w:val="005408E2"/>
    <w:rsid w:val="0054091B"/>
    <w:rsid w:val="005409A6"/>
    <w:rsid w:val="00540B08"/>
    <w:rsid w:val="00540C1A"/>
    <w:rsid w:val="00540C22"/>
    <w:rsid w:val="00540ECD"/>
    <w:rsid w:val="00540ED2"/>
    <w:rsid w:val="00541091"/>
    <w:rsid w:val="005413E1"/>
    <w:rsid w:val="005414DA"/>
    <w:rsid w:val="00541578"/>
    <w:rsid w:val="00541625"/>
    <w:rsid w:val="0054173A"/>
    <w:rsid w:val="005418FB"/>
    <w:rsid w:val="00541DD9"/>
    <w:rsid w:val="00541F2C"/>
    <w:rsid w:val="00541F8E"/>
    <w:rsid w:val="00542029"/>
    <w:rsid w:val="00542164"/>
    <w:rsid w:val="005422CD"/>
    <w:rsid w:val="0054230C"/>
    <w:rsid w:val="0054233D"/>
    <w:rsid w:val="0054298C"/>
    <w:rsid w:val="00542BB4"/>
    <w:rsid w:val="00542C02"/>
    <w:rsid w:val="00542CDC"/>
    <w:rsid w:val="00542F93"/>
    <w:rsid w:val="00543016"/>
    <w:rsid w:val="0054309F"/>
    <w:rsid w:val="00543330"/>
    <w:rsid w:val="00543367"/>
    <w:rsid w:val="005434BB"/>
    <w:rsid w:val="00543532"/>
    <w:rsid w:val="00543953"/>
    <w:rsid w:val="00543BA0"/>
    <w:rsid w:val="00543C4E"/>
    <w:rsid w:val="00543D4A"/>
    <w:rsid w:val="00543EF2"/>
    <w:rsid w:val="005441C6"/>
    <w:rsid w:val="005442D3"/>
    <w:rsid w:val="005444D6"/>
    <w:rsid w:val="0054472D"/>
    <w:rsid w:val="00544756"/>
    <w:rsid w:val="00544920"/>
    <w:rsid w:val="00544968"/>
    <w:rsid w:val="00544DE6"/>
    <w:rsid w:val="00544F80"/>
    <w:rsid w:val="00544FD1"/>
    <w:rsid w:val="00545323"/>
    <w:rsid w:val="0054540A"/>
    <w:rsid w:val="00545642"/>
    <w:rsid w:val="00545661"/>
    <w:rsid w:val="00545720"/>
    <w:rsid w:val="005458A3"/>
    <w:rsid w:val="00545B52"/>
    <w:rsid w:val="00545B63"/>
    <w:rsid w:val="00545C44"/>
    <w:rsid w:val="00545DB6"/>
    <w:rsid w:val="00546222"/>
    <w:rsid w:val="0054635C"/>
    <w:rsid w:val="005464C0"/>
    <w:rsid w:val="005469A7"/>
    <w:rsid w:val="00546AA0"/>
    <w:rsid w:val="00547108"/>
    <w:rsid w:val="00547383"/>
    <w:rsid w:val="005473E3"/>
    <w:rsid w:val="0054768A"/>
    <w:rsid w:val="005476AB"/>
    <w:rsid w:val="0054778A"/>
    <w:rsid w:val="005477BB"/>
    <w:rsid w:val="00547819"/>
    <w:rsid w:val="005478A6"/>
    <w:rsid w:val="0054790F"/>
    <w:rsid w:val="00547C24"/>
    <w:rsid w:val="00547C3C"/>
    <w:rsid w:val="00547F19"/>
    <w:rsid w:val="00547F86"/>
    <w:rsid w:val="005500B8"/>
    <w:rsid w:val="00550107"/>
    <w:rsid w:val="00550716"/>
    <w:rsid w:val="00550893"/>
    <w:rsid w:val="005508C4"/>
    <w:rsid w:val="00550D9C"/>
    <w:rsid w:val="00550EE4"/>
    <w:rsid w:val="00550FEA"/>
    <w:rsid w:val="005510E0"/>
    <w:rsid w:val="0055114E"/>
    <w:rsid w:val="005511E3"/>
    <w:rsid w:val="005512E7"/>
    <w:rsid w:val="0055142F"/>
    <w:rsid w:val="00551483"/>
    <w:rsid w:val="005515DC"/>
    <w:rsid w:val="00551616"/>
    <w:rsid w:val="005516C0"/>
    <w:rsid w:val="00551A1D"/>
    <w:rsid w:val="00551C7E"/>
    <w:rsid w:val="00551FC9"/>
    <w:rsid w:val="0055218F"/>
    <w:rsid w:val="00552394"/>
    <w:rsid w:val="005529CE"/>
    <w:rsid w:val="005529DD"/>
    <w:rsid w:val="00552A15"/>
    <w:rsid w:val="00552BF0"/>
    <w:rsid w:val="00552EA1"/>
    <w:rsid w:val="0055327A"/>
    <w:rsid w:val="00553316"/>
    <w:rsid w:val="00553586"/>
    <w:rsid w:val="00553604"/>
    <w:rsid w:val="00553749"/>
    <w:rsid w:val="0055382E"/>
    <w:rsid w:val="00553884"/>
    <w:rsid w:val="005538AA"/>
    <w:rsid w:val="0055390F"/>
    <w:rsid w:val="00553BA8"/>
    <w:rsid w:val="00553CB3"/>
    <w:rsid w:val="00553E48"/>
    <w:rsid w:val="00554107"/>
    <w:rsid w:val="005542A6"/>
    <w:rsid w:val="00554319"/>
    <w:rsid w:val="005544A9"/>
    <w:rsid w:val="005544DB"/>
    <w:rsid w:val="005544E3"/>
    <w:rsid w:val="0055462A"/>
    <w:rsid w:val="00554925"/>
    <w:rsid w:val="0055494A"/>
    <w:rsid w:val="00554E88"/>
    <w:rsid w:val="00554FD5"/>
    <w:rsid w:val="0055502F"/>
    <w:rsid w:val="0055533B"/>
    <w:rsid w:val="005554AE"/>
    <w:rsid w:val="005554E2"/>
    <w:rsid w:val="00555627"/>
    <w:rsid w:val="005556B3"/>
    <w:rsid w:val="0055577C"/>
    <w:rsid w:val="00555A25"/>
    <w:rsid w:val="00555B70"/>
    <w:rsid w:val="00555C4B"/>
    <w:rsid w:val="00555C87"/>
    <w:rsid w:val="00555D1E"/>
    <w:rsid w:val="00555E44"/>
    <w:rsid w:val="00555EBE"/>
    <w:rsid w:val="005561D9"/>
    <w:rsid w:val="0055620F"/>
    <w:rsid w:val="005564C5"/>
    <w:rsid w:val="00556B96"/>
    <w:rsid w:val="00556C98"/>
    <w:rsid w:val="00556E03"/>
    <w:rsid w:val="00556E88"/>
    <w:rsid w:val="005572A9"/>
    <w:rsid w:val="00557413"/>
    <w:rsid w:val="0055753D"/>
    <w:rsid w:val="005575DA"/>
    <w:rsid w:val="0055778B"/>
    <w:rsid w:val="00557C24"/>
    <w:rsid w:val="00557FF0"/>
    <w:rsid w:val="005600AE"/>
    <w:rsid w:val="005602B1"/>
    <w:rsid w:val="005602D4"/>
    <w:rsid w:val="00560303"/>
    <w:rsid w:val="00560641"/>
    <w:rsid w:val="00560676"/>
    <w:rsid w:val="005607CA"/>
    <w:rsid w:val="00560833"/>
    <w:rsid w:val="0056097B"/>
    <w:rsid w:val="00560982"/>
    <w:rsid w:val="00560D16"/>
    <w:rsid w:val="00560D5C"/>
    <w:rsid w:val="00560EEE"/>
    <w:rsid w:val="005613CD"/>
    <w:rsid w:val="005614AE"/>
    <w:rsid w:val="005615D8"/>
    <w:rsid w:val="0056172C"/>
    <w:rsid w:val="00561759"/>
    <w:rsid w:val="00561A97"/>
    <w:rsid w:val="00561DC4"/>
    <w:rsid w:val="00561ECC"/>
    <w:rsid w:val="00561F5E"/>
    <w:rsid w:val="00561F65"/>
    <w:rsid w:val="0056205F"/>
    <w:rsid w:val="0056210D"/>
    <w:rsid w:val="00562126"/>
    <w:rsid w:val="0056220F"/>
    <w:rsid w:val="0056229A"/>
    <w:rsid w:val="00562425"/>
    <w:rsid w:val="005624F2"/>
    <w:rsid w:val="00562642"/>
    <w:rsid w:val="00562729"/>
    <w:rsid w:val="005628FA"/>
    <w:rsid w:val="0056296D"/>
    <w:rsid w:val="00562E6B"/>
    <w:rsid w:val="00562EC3"/>
    <w:rsid w:val="00562ED1"/>
    <w:rsid w:val="005631EA"/>
    <w:rsid w:val="005632BC"/>
    <w:rsid w:val="00563551"/>
    <w:rsid w:val="00563558"/>
    <w:rsid w:val="00563574"/>
    <w:rsid w:val="00563B17"/>
    <w:rsid w:val="00564060"/>
    <w:rsid w:val="0056424E"/>
    <w:rsid w:val="0056426F"/>
    <w:rsid w:val="00564361"/>
    <w:rsid w:val="00564389"/>
    <w:rsid w:val="00564407"/>
    <w:rsid w:val="005645F7"/>
    <w:rsid w:val="005649B8"/>
    <w:rsid w:val="005649C8"/>
    <w:rsid w:val="00564A78"/>
    <w:rsid w:val="00564FF8"/>
    <w:rsid w:val="005652CE"/>
    <w:rsid w:val="005653AA"/>
    <w:rsid w:val="0056551A"/>
    <w:rsid w:val="00565894"/>
    <w:rsid w:val="00565B5C"/>
    <w:rsid w:val="00565C16"/>
    <w:rsid w:val="00565C47"/>
    <w:rsid w:val="00565E28"/>
    <w:rsid w:val="005660E8"/>
    <w:rsid w:val="00566196"/>
    <w:rsid w:val="005663F5"/>
    <w:rsid w:val="00566634"/>
    <w:rsid w:val="005666F1"/>
    <w:rsid w:val="00566964"/>
    <w:rsid w:val="00566B21"/>
    <w:rsid w:val="00566B29"/>
    <w:rsid w:val="00566DB3"/>
    <w:rsid w:val="00566E44"/>
    <w:rsid w:val="00566FD0"/>
    <w:rsid w:val="0056714E"/>
    <w:rsid w:val="005672DD"/>
    <w:rsid w:val="0056750E"/>
    <w:rsid w:val="0056758E"/>
    <w:rsid w:val="00567752"/>
    <w:rsid w:val="00567908"/>
    <w:rsid w:val="00567A51"/>
    <w:rsid w:val="00567B1C"/>
    <w:rsid w:val="00567BB6"/>
    <w:rsid w:val="00567E9E"/>
    <w:rsid w:val="005701D5"/>
    <w:rsid w:val="0057060C"/>
    <w:rsid w:val="005706D7"/>
    <w:rsid w:val="00570961"/>
    <w:rsid w:val="00570A52"/>
    <w:rsid w:val="00570C9A"/>
    <w:rsid w:val="00570CAA"/>
    <w:rsid w:val="00570CB2"/>
    <w:rsid w:val="00570DA9"/>
    <w:rsid w:val="00570F49"/>
    <w:rsid w:val="00570FC0"/>
    <w:rsid w:val="00571159"/>
    <w:rsid w:val="005711C3"/>
    <w:rsid w:val="00571252"/>
    <w:rsid w:val="00571311"/>
    <w:rsid w:val="005713DE"/>
    <w:rsid w:val="00571772"/>
    <w:rsid w:val="005717BD"/>
    <w:rsid w:val="00571851"/>
    <w:rsid w:val="0057189A"/>
    <w:rsid w:val="00571BEA"/>
    <w:rsid w:val="00571D07"/>
    <w:rsid w:val="00571E30"/>
    <w:rsid w:val="00571E5A"/>
    <w:rsid w:val="005722A1"/>
    <w:rsid w:val="005723C1"/>
    <w:rsid w:val="00572492"/>
    <w:rsid w:val="005725C5"/>
    <w:rsid w:val="00572963"/>
    <w:rsid w:val="00572AD7"/>
    <w:rsid w:val="00572C08"/>
    <w:rsid w:val="005730A5"/>
    <w:rsid w:val="005732B3"/>
    <w:rsid w:val="00573766"/>
    <w:rsid w:val="00573C88"/>
    <w:rsid w:val="00573CAB"/>
    <w:rsid w:val="00573D43"/>
    <w:rsid w:val="00573DB6"/>
    <w:rsid w:val="00573EA6"/>
    <w:rsid w:val="00573F5C"/>
    <w:rsid w:val="00573FBD"/>
    <w:rsid w:val="00574221"/>
    <w:rsid w:val="005742AC"/>
    <w:rsid w:val="005744C9"/>
    <w:rsid w:val="005745C3"/>
    <w:rsid w:val="005745FE"/>
    <w:rsid w:val="00574616"/>
    <w:rsid w:val="005746C7"/>
    <w:rsid w:val="005747A5"/>
    <w:rsid w:val="00574805"/>
    <w:rsid w:val="00574AF5"/>
    <w:rsid w:val="00574B42"/>
    <w:rsid w:val="00574CD4"/>
    <w:rsid w:val="00574EFA"/>
    <w:rsid w:val="00574F16"/>
    <w:rsid w:val="005751AF"/>
    <w:rsid w:val="005751CF"/>
    <w:rsid w:val="00575258"/>
    <w:rsid w:val="0057529F"/>
    <w:rsid w:val="00575358"/>
    <w:rsid w:val="005756B1"/>
    <w:rsid w:val="0057578B"/>
    <w:rsid w:val="005757F3"/>
    <w:rsid w:val="005759E3"/>
    <w:rsid w:val="00575A23"/>
    <w:rsid w:val="00575C8C"/>
    <w:rsid w:val="00575CA9"/>
    <w:rsid w:val="00575E63"/>
    <w:rsid w:val="00575E66"/>
    <w:rsid w:val="00575FF5"/>
    <w:rsid w:val="00576235"/>
    <w:rsid w:val="0057627D"/>
    <w:rsid w:val="005763D5"/>
    <w:rsid w:val="00576406"/>
    <w:rsid w:val="0057677F"/>
    <w:rsid w:val="00576A39"/>
    <w:rsid w:val="00576BC9"/>
    <w:rsid w:val="00576CC0"/>
    <w:rsid w:val="00576CCC"/>
    <w:rsid w:val="00576E0E"/>
    <w:rsid w:val="00577048"/>
    <w:rsid w:val="005770D4"/>
    <w:rsid w:val="0057714A"/>
    <w:rsid w:val="00577340"/>
    <w:rsid w:val="005775E0"/>
    <w:rsid w:val="00577684"/>
    <w:rsid w:val="00577773"/>
    <w:rsid w:val="00577886"/>
    <w:rsid w:val="005778D7"/>
    <w:rsid w:val="00577B80"/>
    <w:rsid w:val="00577C83"/>
    <w:rsid w:val="00577C85"/>
    <w:rsid w:val="00577ECD"/>
    <w:rsid w:val="00577F58"/>
    <w:rsid w:val="0058044B"/>
    <w:rsid w:val="0058075B"/>
    <w:rsid w:val="00580933"/>
    <w:rsid w:val="00580ADE"/>
    <w:rsid w:val="00580C4B"/>
    <w:rsid w:val="00580F2C"/>
    <w:rsid w:val="005810CD"/>
    <w:rsid w:val="0058132A"/>
    <w:rsid w:val="005813B0"/>
    <w:rsid w:val="0058149C"/>
    <w:rsid w:val="00581584"/>
    <w:rsid w:val="005816B7"/>
    <w:rsid w:val="00581759"/>
    <w:rsid w:val="005817C1"/>
    <w:rsid w:val="005818EB"/>
    <w:rsid w:val="00581979"/>
    <w:rsid w:val="00581A15"/>
    <w:rsid w:val="00581CE7"/>
    <w:rsid w:val="00581DA1"/>
    <w:rsid w:val="00581F39"/>
    <w:rsid w:val="00582088"/>
    <w:rsid w:val="005822A4"/>
    <w:rsid w:val="005825E7"/>
    <w:rsid w:val="00582DAA"/>
    <w:rsid w:val="00582DEC"/>
    <w:rsid w:val="005832F9"/>
    <w:rsid w:val="00583422"/>
    <w:rsid w:val="005835AB"/>
    <w:rsid w:val="005835FF"/>
    <w:rsid w:val="00583839"/>
    <w:rsid w:val="0058384C"/>
    <w:rsid w:val="005838B9"/>
    <w:rsid w:val="00583C1D"/>
    <w:rsid w:val="00583DA2"/>
    <w:rsid w:val="00584098"/>
    <w:rsid w:val="005841CD"/>
    <w:rsid w:val="00584615"/>
    <w:rsid w:val="0058462A"/>
    <w:rsid w:val="00584758"/>
    <w:rsid w:val="00584823"/>
    <w:rsid w:val="00584AE3"/>
    <w:rsid w:val="00584BFD"/>
    <w:rsid w:val="00584C5F"/>
    <w:rsid w:val="00584CBB"/>
    <w:rsid w:val="00584FA7"/>
    <w:rsid w:val="00584FD4"/>
    <w:rsid w:val="0058532E"/>
    <w:rsid w:val="00585780"/>
    <w:rsid w:val="0058584D"/>
    <w:rsid w:val="0058590C"/>
    <w:rsid w:val="00585BDA"/>
    <w:rsid w:val="00586146"/>
    <w:rsid w:val="00586190"/>
    <w:rsid w:val="005863C9"/>
    <w:rsid w:val="005865C8"/>
    <w:rsid w:val="00586850"/>
    <w:rsid w:val="00586ABC"/>
    <w:rsid w:val="00586AF5"/>
    <w:rsid w:val="00586AFC"/>
    <w:rsid w:val="00586B32"/>
    <w:rsid w:val="00586BB6"/>
    <w:rsid w:val="00586F97"/>
    <w:rsid w:val="0058703B"/>
    <w:rsid w:val="0058706E"/>
    <w:rsid w:val="005870E9"/>
    <w:rsid w:val="0058710A"/>
    <w:rsid w:val="00587267"/>
    <w:rsid w:val="005872C0"/>
    <w:rsid w:val="0058730E"/>
    <w:rsid w:val="0058739B"/>
    <w:rsid w:val="0058765F"/>
    <w:rsid w:val="00587D7C"/>
    <w:rsid w:val="00587E0B"/>
    <w:rsid w:val="005900BB"/>
    <w:rsid w:val="005900FE"/>
    <w:rsid w:val="00590101"/>
    <w:rsid w:val="00590144"/>
    <w:rsid w:val="005901E3"/>
    <w:rsid w:val="00590276"/>
    <w:rsid w:val="005902E5"/>
    <w:rsid w:val="00590373"/>
    <w:rsid w:val="005904E3"/>
    <w:rsid w:val="00590512"/>
    <w:rsid w:val="0059076B"/>
    <w:rsid w:val="005908FD"/>
    <w:rsid w:val="00590ED7"/>
    <w:rsid w:val="00590F54"/>
    <w:rsid w:val="00591227"/>
    <w:rsid w:val="005917B9"/>
    <w:rsid w:val="00591B89"/>
    <w:rsid w:val="00591BE3"/>
    <w:rsid w:val="00591DB3"/>
    <w:rsid w:val="00591E70"/>
    <w:rsid w:val="00591E79"/>
    <w:rsid w:val="00591FC4"/>
    <w:rsid w:val="00592181"/>
    <w:rsid w:val="00592185"/>
    <w:rsid w:val="00592244"/>
    <w:rsid w:val="005922AC"/>
    <w:rsid w:val="0059234A"/>
    <w:rsid w:val="00592384"/>
    <w:rsid w:val="005927AA"/>
    <w:rsid w:val="005928A6"/>
    <w:rsid w:val="00592BCE"/>
    <w:rsid w:val="00592C11"/>
    <w:rsid w:val="00592EB0"/>
    <w:rsid w:val="005932E2"/>
    <w:rsid w:val="005935D8"/>
    <w:rsid w:val="0059381D"/>
    <w:rsid w:val="005939EA"/>
    <w:rsid w:val="00593B48"/>
    <w:rsid w:val="00593B6F"/>
    <w:rsid w:val="00593E35"/>
    <w:rsid w:val="0059403A"/>
    <w:rsid w:val="0059415F"/>
    <w:rsid w:val="0059416F"/>
    <w:rsid w:val="00594197"/>
    <w:rsid w:val="00594872"/>
    <w:rsid w:val="00594908"/>
    <w:rsid w:val="00594DB9"/>
    <w:rsid w:val="00594DDE"/>
    <w:rsid w:val="0059513B"/>
    <w:rsid w:val="0059531F"/>
    <w:rsid w:val="0059532E"/>
    <w:rsid w:val="005955AE"/>
    <w:rsid w:val="005955C9"/>
    <w:rsid w:val="00595723"/>
    <w:rsid w:val="00595821"/>
    <w:rsid w:val="00595856"/>
    <w:rsid w:val="005958D6"/>
    <w:rsid w:val="00595B8C"/>
    <w:rsid w:val="00595CE6"/>
    <w:rsid w:val="00595EC2"/>
    <w:rsid w:val="00595EE4"/>
    <w:rsid w:val="00596143"/>
    <w:rsid w:val="0059619C"/>
    <w:rsid w:val="00596364"/>
    <w:rsid w:val="005966F0"/>
    <w:rsid w:val="005968E9"/>
    <w:rsid w:val="00596AF1"/>
    <w:rsid w:val="00596EF9"/>
    <w:rsid w:val="00597031"/>
    <w:rsid w:val="00597228"/>
    <w:rsid w:val="005972B7"/>
    <w:rsid w:val="005976C6"/>
    <w:rsid w:val="0059782B"/>
    <w:rsid w:val="005978D9"/>
    <w:rsid w:val="00597A7F"/>
    <w:rsid w:val="00597B09"/>
    <w:rsid w:val="00597C08"/>
    <w:rsid w:val="005A0056"/>
    <w:rsid w:val="005A01A6"/>
    <w:rsid w:val="005A03DF"/>
    <w:rsid w:val="005A048F"/>
    <w:rsid w:val="005A05E3"/>
    <w:rsid w:val="005A066F"/>
    <w:rsid w:val="005A06E5"/>
    <w:rsid w:val="005A07B4"/>
    <w:rsid w:val="005A0995"/>
    <w:rsid w:val="005A099F"/>
    <w:rsid w:val="005A0CB8"/>
    <w:rsid w:val="005A0F60"/>
    <w:rsid w:val="005A0FB3"/>
    <w:rsid w:val="005A106A"/>
    <w:rsid w:val="005A117B"/>
    <w:rsid w:val="005A1182"/>
    <w:rsid w:val="005A1777"/>
    <w:rsid w:val="005A188D"/>
    <w:rsid w:val="005A1941"/>
    <w:rsid w:val="005A19F1"/>
    <w:rsid w:val="005A2007"/>
    <w:rsid w:val="005A242D"/>
    <w:rsid w:val="005A261C"/>
    <w:rsid w:val="005A2675"/>
    <w:rsid w:val="005A29AB"/>
    <w:rsid w:val="005A2CAA"/>
    <w:rsid w:val="005A2D06"/>
    <w:rsid w:val="005A2E34"/>
    <w:rsid w:val="005A2E75"/>
    <w:rsid w:val="005A2E81"/>
    <w:rsid w:val="005A2F15"/>
    <w:rsid w:val="005A2F28"/>
    <w:rsid w:val="005A3554"/>
    <w:rsid w:val="005A3697"/>
    <w:rsid w:val="005A3716"/>
    <w:rsid w:val="005A3717"/>
    <w:rsid w:val="005A3857"/>
    <w:rsid w:val="005A39FE"/>
    <w:rsid w:val="005A3A75"/>
    <w:rsid w:val="005A3B40"/>
    <w:rsid w:val="005A3C5F"/>
    <w:rsid w:val="005A3D11"/>
    <w:rsid w:val="005A40B2"/>
    <w:rsid w:val="005A44ED"/>
    <w:rsid w:val="005A458D"/>
    <w:rsid w:val="005A45CE"/>
    <w:rsid w:val="005A4936"/>
    <w:rsid w:val="005A5071"/>
    <w:rsid w:val="005A509D"/>
    <w:rsid w:val="005A521B"/>
    <w:rsid w:val="005A5628"/>
    <w:rsid w:val="005A5733"/>
    <w:rsid w:val="005A5872"/>
    <w:rsid w:val="005A5921"/>
    <w:rsid w:val="005A5BCA"/>
    <w:rsid w:val="005A656B"/>
    <w:rsid w:val="005A66F0"/>
    <w:rsid w:val="005A6790"/>
    <w:rsid w:val="005A6AA5"/>
    <w:rsid w:val="005A6B53"/>
    <w:rsid w:val="005A6C76"/>
    <w:rsid w:val="005A6C78"/>
    <w:rsid w:val="005A7142"/>
    <w:rsid w:val="005A732E"/>
    <w:rsid w:val="005A7504"/>
    <w:rsid w:val="005A7714"/>
    <w:rsid w:val="005A7915"/>
    <w:rsid w:val="005A7AA9"/>
    <w:rsid w:val="005A7E83"/>
    <w:rsid w:val="005A7F14"/>
    <w:rsid w:val="005B00C1"/>
    <w:rsid w:val="005B016D"/>
    <w:rsid w:val="005B018D"/>
    <w:rsid w:val="005B01C2"/>
    <w:rsid w:val="005B03F9"/>
    <w:rsid w:val="005B0A43"/>
    <w:rsid w:val="005B0AE6"/>
    <w:rsid w:val="005B0D10"/>
    <w:rsid w:val="005B0FB6"/>
    <w:rsid w:val="005B1002"/>
    <w:rsid w:val="005B128B"/>
    <w:rsid w:val="005B12D8"/>
    <w:rsid w:val="005B1422"/>
    <w:rsid w:val="005B1755"/>
    <w:rsid w:val="005B177A"/>
    <w:rsid w:val="005B17B8"/>
    <w:rsid w:val="005B1AD2"/>
    <w:rsid w:val="005B1F1E"/>
    <w:rsid w:val="005B202D"/>
    <w:rsid w:val="005B20D0"/>
    <w:rsid w:val="005B26BB"/>
    <w:rsid w:val="005B289C"/>
    <w:rsid w:val="005B293E"/>
    <w:rsid w:val="005B296B"/>
    <w:rsid w:val="005B2B0B"/>
    <w:rsid w:val="005B2BD8"/>
    <w:rsid w:val="005B2C67"/>
    <w:rsid w:val="005B30DD"/>
    <w:rsid w:val="005B3295"/>
    <w:rsid w:val="005B3414"/>
    <w:rsid w:val="005B347C"/>
    <w:rsid w:val="005B35F5"/>
    <w:rsid w:val="005B36DF"/>
    <w:rsid w:val="005B36F2"/>
    <w:rsid w:val="005B3720"/>
    <w:rsid w:val="005B37F9"/>
    <w:rsid w:val="005B396A"/>
    <w:rsid w:val="005B3A39"/>
    <w:rsid w:val="005B3C90"/>
    <w:rsid w:val="005B3F37"/>
    <w:rsid w:val="005B4165"/>
    <w:rsid w:val="005B41BB"/>
    <w:rsid w:val="005B4715"/>
    <w:rsid w:val="005B4832"/>
    <w:rsid w:val="005B4853"/>
    <w:rsid w:val="005B4886"/>
    <w:rsid w:val="005B496D"/>
    <w:rsid w:val="005B4BBC"/>
    <w:rsid w:val="005B4CD0"/>
    <w:rsid w:val="005B4CFC"/>
    <w:rsid w:val="005B4F88"/>
    <w:rsid w:val="005B510D"/>
    <w:rsid w:val="005B51F2"/>
    <w:rsid w:val="005B52F6"/>
    <w:rsid w:val="005B54E0"/>
    <w:rsid w:val="005B58B3"/>
    <w:rsid w:val="005B59DD"/>
    <w:rsid w:val="005B5A94"/>
    <w:rsid w:val="005B5AFC"/>
    <w:rsid w:val="005B5B4C"/>
    <w:rsid w:val="005B5DB1"/>
    <w:rsid w:val="005B5EEF"/>
    <w:rsid w:val="005B6103"/>
    <w:rsid w:val="005B643F"/>
    <w:rsid w:val="005B6555"/>
    <w:rsid w:val="005B65A5"/>
    <w:rsid w:val="005B6699"/>
    <w:rsid w:val="005B6743"/>
    <w:rsid w:val="005B6837"/>
    <w:rsid w:val="005B710E"/>
    <w:rsid w:val="005B73C7"/>
    <w:rsid w:val="005B7B49"/>
    <w:rsid w:val="005B7D52"/>
    <w:rsid w:val="005B7DD6"/>
    <w:rsid w:val="005B7E73"/>
    <w:rsid w:val="005C0089"/>
    <w:rsid w:val="005C00D8"/>
    <w:rsid w:val="005C021C"/>
    <w:rsid w:val="005C02E3"/>
    <w:rsid w:val="005C0807"/>
    <w:rsid w:val="005C08DB"/>
    <w:rsid w:val="005C0A6E"/>
    <w:rsid w:val="005C0B41"/>
    <w:rsid w:val="005C0E6F"/>
    <w:rsid w:val="005C0F50"/>
    <w:rsid w:val="005C103F"/>
    <w:rsid w:val="005C1118"/>
    <w:rsid w:val="005C1165"/>
    <w:rsid w:val="005C116B"/>
    <w:rsid w:val="005C11E2"/>
    <w:rsid w:val="005C11F2"/>
    <w:rsid w:val="005C12AB"/>
    <w:rsid w:val="005C1318"/>
    <w:rsid w:val="005C1679"/>
    <w:rsid w:val="005C1884"/>
    <w:rsid w:val="005C189C"/>
    <w:rsid w:val="005C18C0"/>
    <w:rsid w:val="005C196F"/>
    <w:rsid w:val="005C19C3"/>
    <w:rsid w:val="005C1D51"/>
    <w:rsid w:val="005C1DDD"/>
    <w:rsid w:val="005C2112"/>
    <w:rsid w:val="005C215C"/>
    <w:rsid w:val="005C238A"/>
    <w:rsid w:val="005C2437"/>
    <w:rsid w:val="005C25B8"/>
    <w:rsid w:val="005C263C"/>
    <w:rsid w:val="005C293F"/>
    <w:rsid w:val="005C2B5B"/>
    <w:rsid w:val="005C2BED"/>
    <w:rsid w:val="005C2CEE"/>
    <w:rsid w:val="005C2DF3"/>
    <w:rsid w:val="005C2E53"/>
    <w:rsid w:val="005C2F01"/>
    <w:rsid w:val="005C2FAF"/>
    <w:rsid w:val="005C3146"/>
    <w:rsid w:val="005C34DB"/>
    <w:rsid w:val="005C3724"/>
    <w:rsid w:val="005C3804"/>
    <w:rsid w:val="005C3A26"/>
    <w:rsid w:val="005C3B71"/>
    <w:rsid w:val="005C3BAD"/>
    <w:rsid w:val="005C3CD4"/>
    <w:rsid w:val="005C3E11"/>
    <w:rsid w:val="005C3F1A"/>
    <w:rsid w:val="005C3FB6"/>
    <w:rsid w:val="005C4061"/>
    <w:rsid w:val="005C40CC"/>
    <w:rsid w:val="005C422C"/>
    <w:rsid w:val="005C4A14"/>
    <w:rsid w:val="005C4ADF"/>
    <w:rsid w:val="005C4C52"/>
    <w:rsid w:val="005C4FE9"/>
    <w:rsid w:val="005C50C5"/>
    <w:rsid w:val="005C5151"/>
    <w:rsid w:val="005C519E"/>
    <w:rsid w:val="005C53EE"/>
    <w:rsid w:val="005C54BF"/>
    <w:rsid w:val="005C5752"/>
    <w:rsid w:val="005C5782"/>
    <w:rsid w:val="005C5935"/>
    <w:rsid w:val="005C5B01"/>
    <w:rsid w:val="005C5B42"/>
    <w:rsid w:val="005C5BF2"/>
    <w:rsid w:val="005C5BF8"/>
    <w:rsid w:val="005C603B"/>
    <w:rsid w:val="005C60E6"/>
    <w:rsid w:val="005C60E9"/>
    <w:rsid w:val="005C61A0"/>
    <w:rsid w:val="005C61C5"/>
    <w:rsid w:val="005C653A"/>
    <w:rsid w:val="005C67C8"/>
    <w:rsid w:val="005C68E3"/>
    <w:rsid w:val="005C6BD3"/>
    <w:rsid w:val="005C6BF2"/>
    <w:rsid w:val="005C6C17"/>
    <w:rsid w:val="005C6CDB"/>
    <w:rsid w:val="005C6DB2"/>
    <w:rsid w:val="005C6F8B"/>
    <w:rsid w:val="005C6FAE"/>
    <w:rsid w:val="005C6FD8"/>
    <w:rsid w:val="005C716C"/>
    <w:rsid w:val="005C71C3"/>
    <w:rsid w:val="005C743D"/>
    <w:rsid w:val="005C74C3"/>
    <w:rsid w:val="005C74D5"/>
    <w:rsid w:val="005C7591"/>
    <w:rsid w:val="005C7766"/>
    <w:rsid w:val="005C78BE"/>
    <w:rsid w:val="005C791C"/>
    <w:rsid w:val="005C79D2"/>
    <w:rsid w:val="005C7AE0"/>
    <w:rsid w:val="005C7D32"/>
    <w:rsid w:val="005C7E85"/>
    <w:rsid w:val="005C7F22"/>
    <w:rsid w:val="005D0228"/>
    <w:rsid w:val="005D023D"/>
    <w:rsid w:val="005D029E"/>
    <w:rsid w:val="005D0365"/>
    <w:rsid w:val="005D050D"/>
    <w:rsid w:val="005D059C"/>
    <w:rsid w:val="005D0668"/>
    <w:rsid w:val="005D07D1"/>
    <w:rsid w:val="005D07D2"/>
    <w:rsid w:val="005D07F9"/>
    <w:rsid w:val="005D0866"/>
    <w:rsid w:val="005D0951"/>
    <w:rsid w:val="005D0E7C"/>
    <w:rsid w:val="005D0EA0"/>
    <w:rsid w:val="005D10FF"/>
    <w:rsid w:val="005D1158"/>
    <w:rsid w:val="005D13E7"/>
    <w:rsid w:val="005D1436"/>
    <w:rsid w:val="005D1737"/>
    <w:rsid w:val="005D18FA"/>
    <w:rsid w:val="005D1BE4"/>
    <w:rsid w:val="005D2085"/>
    <w:rsid w:val="005D260F"/>
    <w:rsid w:val="005D27BB"/>
    <w:rsid w:val="005D2A0D"/>
    <w:rsid w:val="005D2B45"/>
    <w:rsid w:val="005D2BA2"/>
    <w:rsid w:val="005D2BCB"/>
    <w:rsid w:val="005D2CEB"/>
    <w:rsid w:val="005D2F29"/>
    <w:rsid w:val="005D2FAA"/>
    <w:rsid w:val="005D3010"/>
    <w:rsid w:val="005D3079"/>
    <w:rsid w:val="005D30F5"/>
    <w:rsid w:val="005D3235"/>
    <w:rsid w:val="005D335A"/>
    <w:rsid w:val="005D3685"/>
    <w:rsid w:val="005D37A5"/>
    <w:rsid w:val="005D3889"/>
    <w:rsid w:val="005D39D0"/>
    <w:rsid w:val="005D3BAE"/>
    <w:rsid w:val="005D3BC4"/>
    <w:rsid w:val="005D3C5B"/>
    <w:rsid w:val="005D4006"/>
    <w:rsid w:val="005D4171"/>
    <w:rsid w:val="005D41AF"/>
    <w:rsid w:val="005D45F3"/>
    <w:rsid w:val="005D4808"/>
    <w:rsid w:val="005D4A5E"/>
    <w:rsid w:val="005D4A87"/>
    <w:rsid w:val="005D4BFB"/>
    <w:rsid w:val="005D4C96"/>
    <w:rsid w:val="005D5368"/>
    <w:rsid w:val="005D53F4"/>
    <w:rsid w:val="005D542B"/>
    <w:rsid w:val="005D55EF"/>
    <w:rsid w:val="005D5622"/>
    <w:rsid w:val="005D56BF"/>
    <w:rsid w:val="005D5780"/>
    <w:rsid w:val="005D583E"/>
    <w:rsid w:val="005D5AA9"/>
    <w:rsid w:val="005D5C9F"/>
    <w:rsid w:val="005D5CDF"/>
    <w:rsid w:val="005D602D"/>
    <w:rsid w:val="005D6202"/>
    <w:rsid w:val="005D65B4"/>
    <w:rsid w:val="005D65B8"/>
    <w:rsid w:val="005D6718"/>
    <w:rsid w:val="005D6769"/>
    <w:rsid w:val="005D68E3"/>
    <w:rsid w:val="005D6901"/>
    <w:rsid w:val="005D6C3B"/>
    <w:rsid w:val="005D6D63"/>
    <w:rsid w:val="005D6E5E"/>
    <w:rsid w:val="005D6E7B"/>
    <w:rsid w:val="005D6F41"/>
    <w:rsid w:val="005D707D"/>
    <w:rsid w:val="005D70EF"/>
    <w:rsid w:val="005D7174"/>
    <w:rsid w:val="005D71DB"/>
    <w:rsid w:val="005D7257"/>
    <w:rsid w:val="005D73BC"/>
    <w:rsid w:val="005D746E"/>
    <w:rsid w:val="005D77A3"/>
    <w:rsid w:val="005D7862"/>
    <w:rsid w:val="005D78B9"/>
    <w:rsid w:val="005D7A05"/>
    <w:rsid w:val="005D7ABE"/>
    <w:rsid w:val="005D7C42"/>
    <w:rsid w:val="005D7CE7"/>
    <w:rsid w:val="005D7D29"/>
    <w:rsid w:val="005D7E51"/>
    <w:rsid w:val="005D7EC1"/>
    <w:rsid w:val="005D7ED7"/>
    <w:rsid w:val="005D7F30"/>
    <w:rsid w:val="005D7F3F"/>
    <w:rsid w:val="005D7FC4"/>
    <w:rsid w:val="005D7FF0"/>
    <w:rsid w:val="005E00A7"/>
    <w:rsid w:val="005E012D"/>
    <w:rsid w:val="005E030A"/>
    <w:rsid w:val="005E0402"/>
    <w:rsid w:val="005E05ED"/>
    <w:rsid w:val="005E0609"/>
    <w:rsid w:val="005E0664"/>
    <w:rsid w:val="005E0AE6"/>
    <w:rsid w:val="005E0C79"/>
    <w:rsid w:val="005E0E70"/>
    <w:rsid w:val="005E0F45"/>
    <w:rsid w:val="005E116D"/>
    <w:rsid w:val="005E14D8"/>
    <w:rsid w:val="005E1590"/>
    <w:rsid w:val="005E160D"/>
    <w:rsid w:val="005E1AE1"/>
    <w:rsid w:val="005E1BCC"/>
    <w:rsid w:val="005E1BD9"/>
    <w:rsid w:val="005E1C53"/>
    <w:rsid w:val="005E1C75"/>
    <w:rsid w:val="005E1C93"/>
    <w:rsid w:val="005E1D3C"/>
    <w:rsid w:val="005E1EAE"/>
    <w:rsid w:val="005E1F9A"/>
    <w:rsid w:val="005E1FDF"/>
    <w:rsid w:val="005E2251"/>
    <w:rsid w:val="005E2474"/>
    <w:rsid w:val="005E2488"/>
    <w:rsid w:val="005E263B"/>
    <w:rsid w:val="005E26A8"/>
    <w:rsid w:val="005E28D2"/>
    <w:rsid w:val="005E29B5"/>
    <w:rsid w:val="005E2C1B"/>
    <w:rsid w:val="005E2D9C"/>
    <w:rsid w:val="005E304C"/>
    <w:rsid w:val="005E3382"/>
    <w:rsid w:val="005E3387"/>
    <w:rsid w:val="005E3924"/>
    <w:rsid w:val="005E3AF9"/>
    <w:rsid w:val="005E4138"/>
    <w:rsid w:val="005E4408"/>
    <w:rsid w:val="005E4630"/>
    <w:rsid w:val="005E4645"/>
    <w:rsid w:val="005E53C1"/>
    <w:rsid w:val="005E5420"/>
    <w:rsid w:val="005E55AF"/>
    <w:rsid w:val="005E55B3"/>
    <w:rsid w:val="005E5857"/>
    <w:rsid w:val="005E595B"/>
    <w:rsid w:val="005E59F2"/>
    <w:rsid w:val="005E5CDC"/>
    <w:rsid w:val="005E5ED2"/>
    <w:rsid w:val="005E5FE2"/>
    <w:rsid w:val="005E62F6"/>
    <w:rsid w:val="005E63B8"/>
    <w:rsid w:val="005E66CA"/>
    <w:rsid w:val="005E66D4"/>
    <w:rsid w:val="005E69E2"/>
    <w:rsid w:val="005E6B4B"/>
    <w:rsid w:val="005E6C38"/>
    <w:rsid w:val="005E6CC4"/>
    <w:rsid w:val="005E7077"/>
    <w:rsid w:val="005E72B4"/>
    <w:rsid w:val="005E72F1"/>
    <w:rsid w:val="005E73FE"/>
    <w:rsid w:val="005E74BD"/>
    <w:rsid w:val="005E751F"/>
    <w:rsid w:val="005E7737"/>
    <w:rsid w:val="005E779C"/>
    <w:rsid w:val="005E78B3"/>
    <w:rsid w:val="005E7C83"/>
    <w:rsid w:val="005F03D2"/>
    <w:rsid w:val="005F074D"/>
    <w:rsid w:val="005F076B"/>
    <w:rsid w:val="005F07E1"/>
    <w:rsid w:val="005F0805"/>
    <w:rsid w:val="005F08A7"/>
    <w:rsid w:val="005F091D"/>
    <w:rsid w:val="005F0A01"/>
    <w:rsid w:val="005F0A8B"/>
    <w:rsid w:val="005F0C68"/>
    <w:rsid w:val="005F0CE8"/>
    <w:rsid w:val="005F0E0F"/>
    <w:rsid w:val="005F0F9A"/>
    <w:rsid w:val="005F10CB"/>
    <w:rsid w:val="005F1265"/>
    <w:rsid w:val="005F1267"/>
    <w:rsid w:val="005F12BB"/>
    <w:rsid w:val="005F14B3"/>
    <w:rsid w:val="005F153B"/>
    <w:rsid w:val="005F1588"/>
    <w:rsid w:val="005F1719"/>
    <w:rsid w:val="005F17DF"/>
    <w:rsid w:val="005F1B9D"/>
    <w:rsid w:val="005F1BAC"/>
    <w:rsid w:val="005F1BFC"/>
    <w:rsid w:val="005F1D01"/>
    <w:rsid w:val="005F1DCC"/>
    <w:rsid w:val="005F1FC7"/>
    <w:rsid w:val="005F2188"/>
    <w:rsid w:val="005F21F4"/>
    <w:rsid w:val="005F2638"/>
    <w:rsid w:val="005F28A9"/>
    <w:rsid w:val="005F2B29"/>
    <w:rsid w:val="005F2D7A"/>
    <w:rsid w:val="005F2DF7"/>
    <w:rsid w:val="005F3076"/>
    <w:rsid w:val="005F33DB"/>
    <w:rsid w:val="005F347C"/>
    <w:rsid w:val="005F34BC"/>
    <w:rsid w:val="005F3959"/>
    <w:rsid w:val="005F41BF"/>
    <w:rsid w:val="005F4256"/>
    <w:rsid w:val="005F442C"/>
    <w:rsid w:val="005F45B5"/>
    <w:rsid w:val="005F466E"/>
    <w:rsid w:val="005F46E4"/>
    <w:rsid w:val="005F48EE"/>
    <w:rsid w:val="005F4AAB"/>
    <w:rsid w:val="005F4B41"/>
    <w:rsid w:val="005F4C1C"/>
    <w:rsid w:val="005F4CF7"/>
    <w:rsid w:val="005F4F1D"/>
    <w:rsid w:val="005F5341"/>
    <w:rsid w:val="005F5499"/>
    <w:rsid w:val="005F5719"/>
    <w:rsid w:val="005F5D1E"/>
    <w:rsid w:val="005F5D9C"/>
    <w:rsid w:val="005F5E8F"/>
    <w:rsid w:val="005F5F55"/>
    <w:rsid w:val="005F5F9D"/>
    <w:rsid w:val="005F6074"/>
    <w:rsid w:val="005F6081"/>
    <w:rsid w:val="005F6228"/>
    <w:rsid w:val="005F661B"/>
    <w:rsid w:val="005F66A5"/>
    <w:rsid w:val="005F66C1"/>
    <w:rsid w:val="005F66E1"/>
    <w:rsid w:val="005F689C"/>
    <w:rsid w:val="005F692F"/>
    <w:rsid w:val="005F69BC"/>
    <w:rsid w:val="005F6A97"/>
    <w:rsid w:val="005F6AC7"/>
    <w:rsid w:val="005F6F46"/>
    <w:rsid w:val="005F6F9B"/>
    <w:rsid w:val="005F74D7"/>
    <w:rsid w:val="005F75A4"/>
    <w:rsid w:val="005F75FD"/>
    <w:rsid w:val="005F777A"/>
    <w:rsid w:val="005F781A"/>
    <w:rsid w:val="005F797C"/>
    <w:rsid w:val="005F7B82"/>
    <w:rsid w:val="005F7C38"/>
    <w:rsid w:val="005F7EE1"/>
    <w:rsid w:val="005F7F72"/>
    <w:rsid w:val="00600031"/>
    <w:rsid w:val="0060012D"/>
    <w:rsid w:val="00600568"/>
    <w:rsid w:val="0060080F"/>
    <w:rsid w:val="006009C6"/>
    <w:rsid w:val="00600C35"/>
    <w:rsid w:val="00600C58"/>
    <w:rsid w:val="00600DAD"/>
    <w:rsid w:val="00600F4E"/>
    <w:rsid w:val="0060100C"/>
    <w:rsid w:val="0060128F"/>
    <w:rsid w:val="006015E8"/>
    <w:rsid w:val="0060161F"/>
    <w:rsid w:val="006016AC"/>
    <w:rsid w:val="00601775"/>
    <w:rsid w:val="00601889"/>
    <w:rsid w:val="006019CC"/>
    <w:rsid w:val="006019D5"/>
    <w:rsid w:val="00601C9A"/>
    <w:rsid w:val="00601EE4"/>
    <w:rsid w:val="006024C8"/>
    <w:rsid w:val="006025B9"/>
    <w:rsid w:val="006026FA"/>
    <w:rsid w:val="006028AE"/>
    <w:rsid w:val="0060296B"/>
    <w:rsid w:val="00602B03"/>
    <w:rsid w:val="00602E8F"/>
    <w:rsid w:val="00602F6F"/>
    <w:rsid w:val="0060319A"/>
    <w:rsid w:val="006031A3"/>
    <w:rsid w:val="006031D7"/>
    <w:rsid w:val="00603358"/>
    <w:rsid w:val="0060396F"/>
    <w:rsid w:val="00603CA2"/>
    <w:rsid w:val="00603CEC"/>
    <w:rsid w:val="00603F40"/>
    <w:rsid w:val="00604013"/>
    <w:rsid w:val="006041A7"/>
    <w:rsid w:val="006045C8"/>
    <w:rsid w:val="00604886"/>
    <w:rsid w:val="00604AAC"/>
    <w:rsid w:val="00604B83"/>
    <w:rsid w:val="00604C35"/>
    <w:rsid w:val="00604C9D"/>
    <w:rsid w:val="00604C9E"/>
    <w:rsid w:val="00604E4B"/>
    <w:rsid w:val="00604F9A"/>
    <w:rsid w:val="00605294"/>
    <w:rsid w:val="006053BB"/>
    <w:rsid w:val="00605477"/>
    <w:rsid w:val="0060548D"/>
    <w:rsid w:val="0060581E"/>
    <w:rsid w:val="0060587B"/>
    <w:rsid w:val="006059D3"/>
    <w:rsid w:val="00605AF5"/>
    <w:rsid w:val="00605B39"/>
    <w:rsid w:val="00605BBD"/>
    <w:rsid w:val="00605C4F"/>
    <w:rsid w:val="00605D2D"/>
    <w:rsid w:val="00605F2C"/>
    <w:rsid w:val="00606026"/>
    <w:rsid w:val="006061EF"/>
    <w:rsid w:val="006063C5"/>
    <w:rsid w:val="006065C3"/>
    <w:rsid w:val="006065D0"/>
    <w:rsid w:val="006066B2"/>
    <w:rsid w:val="006066C8"/>
    <w:rsid w:val="0060685F"/>
    <w:rsid w:val="006068ED"/>
    <w:rsid w:val="0060696A"/>
    <w:rsid w:val="006069A9"/>
    <w:rsid w:val="006069C9"/>
    <w:rsid w:val="006069F5"/>
    <w:rsid w:val="00606BBE"/>
    <w:rsid w:val="00606EBC"/>
    <w:rsid w:val="00606FAC"/>
    <w:rsid w:val="00607094"/>
    <w:rsid w:val="00607209"/>
    <w:rsid w:val="00607339"/>
    <w:rsid w:val="0060736E"/>
    <w:rsid w:val="006075FD"/>
    <w:rsid w:val="00607B45"/>
    <w:rsid w:val="00607C21"/>
    <w:rsid w:val="00607F2D"/>
    <w:rsid w:val="00607FCA"/>
    <w:rsid w:val="00610121"/>
    <w:rsid w:val="006102B7"/>
    <w:rsid w:val="0061064C"/>
    <w:rsid w:val="00610983"/>
    <w:rsid w:val="00610B82"/>
    <w:rsid w:val="00610C36"/>
    <w:rsid w:val="00611125"/>
    <w:rsid w:val="006111DC"/>
    <w:rsid w:val="0061127E"/>
    <w:rsid w:val="006112FE"/>
    <w:rsid w:val="0061139A"/>
    <w:rsid w:val="0061148E"/>
    <w:rsid w:val="00611604"/>
    <w:rsid w:val="006116F2"/>
    <w:rsid w:val="00611B62"/>
    <w:rsid w:val="00611BFD"/>
    <w:rsid w:val="00611E73"/>
    <w:rsid w:val="00611E91"/>
    <w:rsid w:val="006120F1"/>
    <w:rsid w:val="0061234E"/>
    <w:rsid w:val="00612397"/>
    <w:rsid w:val="00612468"/>
    <w:rsid w:val="006125C2"/>
    <w:rsid w:val="006125FA"/>
    <w:rsid w:val="00612653"/>
    <w:rsid w:val="006127F2"/>
    <w:rsid w:val="0061285C"/>
    <w:rsid w:val="006129D7"/>
    <w:rsid w:val="006129FF"/>
    <w:rsid w:val="00612A34"/>
    <w:rsid w:val="00612C5C"/>
    <w:rsid w:val="00612F5D"/>
    <w:rsid w:val="00613099"/>
    <w:rsid w:val="00613121"/>
    <w:rsid w:val="00613AB1"/>
    <w:rsid w:val="00613E67"/>
    <w:rsid w:val="00613E79"/>
    <w:rsid w:val="006140A2"/>
    <w:rsid w:val="006144F3"/>
    <w:rsid w:val="00614844"/>
    <w:rsid w:val="0061499D"/>
    <w:rsid w:val="00614B2E"/>
    <w:rsid w:val="00614C0E"/>
    <w:rsid w:val="00614C53"/>
    <w:rsid w:val="0061532C"/>
    <w:rsid w:val="006154C6"/>
    <w:rsid w:val="006155D1"/>
    <w:rsid w:val="006156C3"/>
    <w:rsid w:val="00615729"/>
    <w:rsid w:val="006158D6"/>
    <w:rsid w:val="006158FB"/>
    <w:rsid w:val="00615A72"/>
    <w:rsid w:val="00615AEB"/>
    <w:rsid w:val="00615C53"/>
    <w:rsid w:val="00615C5B"/>
    <w:rsid w:val="00615E82"/>
    <w:rsid w:val="00616462"/>
    <w:rsid w:val="00616518"/>
    <w:rsid w:val="0061689F"/>
    <w:rsid w:val="006168DA"/>
    <w:rsid w:val="00616983"/>
    <w:rsid w:val="00616EA0"/>
    <w:rsid w:val="006170FB"/>
    <w:rsid w:val="006171A4"/>
    <w:rsid w:val="0061721F"/>
    <w:rsid w:val="006173D1"/>
    <w:rsid w:val="00617638"/>
    <w:rsid w:val="0061764D"/>
    <w:rsid w:val="00617691"/>
    <w:rsid w:val="0061770B"/>
    <w:rsid w:val="00617963"/>
    <w:rsid w:val="00617AC8"/>
    <w:rsid w:val="00617C0F"/>
    <w:rsid w:val="00617C4D"/>
    <w:rsid w:val="00617C5F"/>
    <w:rsid w:val="0062000E"/>
    <w:rsid w:val="0062031D"/>
    <w:rsid w:val="0062040A"/>
    <w:rsid w:val="006208C4"/>
    <w:rsid w:val="00620BB4"/>
    <w:rsid w:val="00620C92"/>
    <w:rsid w:val="00620DCE"/>
    <w:rsid w:val="006213AD"/>
    <w:rsid w:val="006215B6"/>
    <w:rsid w:val="00621E2A"/>
    <w:rsid w:val="00621E84"/>
    <w:rsid w:val="00622152"/>
    <w:rsid w:val="00622275"/>
    <w:rsid w:val="00622393"/>
    <w:rsid w:val="00622785"/>
    <w:rsid w:val="0062280B"/>
    <w:rsid w:val="00622819"/>
    <w:rsid w:val="0062281F"/>
    <w:rsid w:val="00622BDE"/>
    <w:rsid w:val="00622C27"/>
    <w:rsid w:val="00622D47"/>
    <w:rsid w:val="00622E4B"/>
    <w:rsid w:val="006231A7"/>
    <w:rsid w:val="006232C9"/>
    <w:rsid w:val="006233FC"/>
    <w:rsid w:val="0062382A"/>
    <w:rsid w:val="0062395B"/>
    <w:rsid w:val="006239EC"/>
    <w:rsid w:val="00623B46"/>
    <w:rsid w:val="00623C6D"/>
    <w:rsid w:val="00623DE5"/>
    <w:rsid w:val="00623E14"/>
    <w:rsid w:val="0062401C"/>
    <w:rsid w:val="00624278"/>
    <w:rsid w:val="006242E3"/>
    <w:rsid w:val="00624643"/>
    <w:rsid w:val="00624700"/>
    <w:rsid w:val="006247C9"/>
    <w:rsid w:val="00624867"/>
    <w:rsid w:val="0062489B"/>
    <w:rsid w:val="00624A87"/>
    <w:rsid w:val="00624C19"/>
    <w:rsid w:val="00624E7D"/>
    <w:rsid w:val="00625013"/>
    <w:rsid w:val="0062523F"/>
    <w:rsid w:val="0062550F"/>
    <w:rsid w:val="006255B9"/>
    <w:rsid w:val="0062561E"/>
    <w:rsid w:val="006257AA"/>
    <w:rsid w:val="00625D84"/>
    <w:rsid w:val="0062619D"/>
    <w:rsid w:val="006262C4"/>
    <w:rsid w:val="006262CC"/>
    <w:rsid w:val="0062654C"/>
    <w:rsid w:val="006268E1"/>
    <w:rsid w:val="00626958"/>
    <w:rsid w:val="00626AAF"/>
    <w:rsid w:val="00626C3D"/>
    <w:rsid w:val="00626C8F"/>
    <w:rsid w:val="00626C9D"/>
    <w:rsid w:val="00626CC6"/>
    <w:rsid w:val="00626DEF"/>
    <w:rsid w:val="00626FCE"/>
    <w:rsid w:val="00627221"/>
    <w:rsid w:val="0062726A"/>
    <w:rsid w:val="006276E4"/>
    <w:rsid w:val="006277BA"/>
    <w:rsid w:val="006278DD"/>
    <w:rsid w:val="00627A5F"/>
    <w:rsid w:val="00627C1C"/>
    <w:rsid w:val="00627CAB"/>
    <w:rsid w:val="00627CD5"/>
    <w:rsid w:val="00627EA3"/>
    <w:rsid w:val="00627EB9"/>
    <w:rsid w:val="006300F4"/>
    <w:rsid w:val="0063027A"/>
    <w:rsid w:val="0063040D"/>
    <w:rsid w:val="006306C2"/>
    <w:rsid w:val="006307A8"/>
    <w:rsid w:val="006307D3"/>
    <w:rsid w:val="006308B1"/>
    <w:rsid w:val="00630914"/>
    <w:rsid w:val="00630A62"/>
    <w:rsid w:val="00630F3A"/>
    <w:rsid w:val="00630F45"/>
    <w:rsid w:val="0063119C"/>
    <w:rsid w:val="006311EF"/>
    <w:rsid w:val="0063135F"/>
    <w:rsid w:val="006313F7"/>
    <w:rsid w:val="00631494"/>
    <w:rsid w:val="00631AAD"/>
    <w:rsid w:val="00631CEC"/>
    <w:rsid w:val="00631DBF"/>
    <w:rsid w:val="00631E9C"/>
    <w:rsid w:val="0063211A"/>
    <w:rsid w:val="00632277"/>
    <w:rsid w:val="0063230B"/>
    <w:rsid w:val="006323E8"/>
    <w:rsid w:val="0063251E"/>
    <w:rsid w:val="00632615"/>
    <w:rsid w:val="00632733"/>
    <w:rsid w:val="0063296B"/>
    <w:rsid w:val="006329C1"/>
    <w:rsid w:val="006329C8"/>
    <w:rsid w:val="00632A12"/>
    <w:rsid w:val="00632A93"/>
    <w:rsid w:val="00632AD9"/>
    <w:rsid w:val="00632B96"/>
    <w:rsid w:val="00632C44"/>
    <w:rsid w:val="00632C73"/>
    <w:rsid w:val="00632C9F"/>
    <w:rsid w:val="00632D6A"/>
    <w:rsid w:val="00632D96"/>
    <w:rsid w:val="00632E91"/>
    <w:rsid w:val="0063301F"/>
    <w:rsid w:val="00633072"/>
    <w:rsid w:val="00633306"/>
    <w:rsid w:val="0063352F"/>
    <w:rsid w:val="0063355E"/>
    <w:rsid w:val="00633855"/>
    <w:rsid w:val="006338AC"/>
    <w:rsid w:val="0063392C"/>
    <w:rsid w:val="00633996"/>
    <w:rsid w:val="00633AC6"/>
    <w:rsid w:val="00633C5A"/>
    <w:rsid w:val="00633D59"/>
    <w:rsid w:val="00634037"/>
    <w:rsid w:val="006342EB"/>
    <w:rsid w:val="006344E6"/>
    <w:rsid w:val="006345EF"/>
    <w:rsid w:val="0063464F"/>
    <w:rsid w:val="00634745"/>
    <w:rsid w:val="0063485D"/>
    <w:rsid w:val="006348D7"/>
    <w:rsid w:val="00634993"/>
    <w:rsid w:val="00634AA7"/>
    <w:rsid w:val="00634BAC"/>
    <w:rsid w:val="00634C9E"/>
    <w:rsid w:val="00634E72"/>
    <w:rsid w:val="00634F4B"/>
    <w:rsid w:val="0063500B"/>
    <w:rsid w:val="00635043"/>
    <w:rsid w:val="0063524E"/>
    <w:rsid w:val="00635420"/>
    <w:rsid w:val="00635471"/>
    <w:rsid w:val="00635506"/>
    <w:rsid w:val="0063571A"/>
    <w:rsid w:val="0063587B"/>
    <w:rsid w:val="00635943"/>
    <w:rsid w:val="00635950"/>
    <w:rsid w:val="00635AF0"/>
    <w:rsid w:val="00635C40"/>
    <w:rsid w:val="00636332"/>
    <w:rsid w:val="0063672D"/>
    <w:rsid w:val="0063686C"/>
    <w:rsid w:val="00636946"/>
    <w:rsid w:val="006369CD"/>
    <w:rsid w:val="00636BF2"/>
    <w:rsid w:val="00636CD4"/>
    <w:rsid w:val="00636D8B"/>
    <w:rsid w:val="00636D8E"/>
    <w:rsid w:val="00636DA2"/>
    <w:rsid w:val="00636E6E"/>
    <w:rsid w:val="0063701C"/>
    <w:rsid w:val="00637125"/>
    <w:rsid w:val="00637515"/>
    <w:rsid w:val="006375BB"/>
    <w:rsid w:val="00637906"/>
    <w:rsid w:val="00637917"/>
    <w:rsid w:val="00637B26"/>
    <w:rsid w:val="00637E54"/>
    <w:rsid w:val="00637E7D"/>
    <w:rsid w:val="0064019F"/>
    <w:rsid w:val="006401D0"/>
    <w:rsid w:val="006405F3"/>
    <w:rsid w:val="006406FB"/>
    <w:rsid w:val="006407D5"/>
    <w:rsid w:val="00640913"/>
    <w:rsid w:val="0064098E"/>
    <w:rsid w:val="00640C9E"/>
    <w:rsid w:val="00640E40"/>
    <w:rsid w:val="00640E4F"/>
    <w:rsid w:val="00640F95"/>
    <w:rsid w:val="006412E0"/>
    <w:rsid w:val="0064141C"/>
    <w:rsid w:val="00641450"/>
    <w:rsid w:val="0064150D"/>
    <w:rsid w:val="0064151D"/>
    <w:rsid w:val="006417C9"/>
    <w:rsid w:val="006418AC"/>
    <w:rsid w:val="006418D9"/>
    <w:rsid w:val="00641A29"/>
    <w:rsid w:val="00641ABB"/>
    <w:rsid w:val="00641B24"/>
    <w:rsid w:val="00641EE5"/>
    <w:rsid w:val="00641F8B"/>
    <w:rsid w:val="006421CD"/>
    <w:rsid w:val="00642216"/>
    <w:rsid w:val="00642296"/>
    <w:rsid w:val="006423DB"/>
    <w:rsid w:val="00642614"/>
    <w:rsid w:val="006427F1"/>
    <w:rsid w:val="006428A6"/>
    <w:rsid w:val="00642D44"/>
    <w:rsid w:val="00642D4F"/>
    <w:rsid w:val="00642DD7"/>
    <w:rsid w:val="00642F55"/>
    <w:rsid w:val="0064324C"/>
    <w:rsid w:val="006432D2"/>
    <w:rsid w:val="006435CF"/>
    <w:rsid w:val="00643706"/>
    <w:rsid w:val="00643741"/>
    <w:rsid w:val="006439F3"/>
    <w:rsid w:val="00643A41"/>
    <w:rsid w:val="00643D0B"/>
    <w:rsid w:val="006441B3"/>
    <w:rsid w:val="006442DC"/>
    <w:rsid w:val="006443A5"/>
    <w:rsid w:val="00644419"/>
    <w:rsid w:val="00644437"/>
    <w:rsid w:val="00644495"/>
    <w:rsid w:val="0064480C"/>
    <w:rsid w:val="006448AA"/>
    <w:rsid w:val="0064499C"/>
    <w:rsid w:val="00644A15"/>
    <w:rsid w:val="00645109"/>
    <w:rsid w:val="0064512B"/>
    <w:rsid w:val="00645166"/>
    <w:rsid w:val="00645333"/>
    <w:rsid w:val="00645578"/>
    <w:rsid w:val="006456B1"/>
    <w:rsid w:val="006457D8"/>
    <w:rsid w:val="006457FD"/>
    <w:rsid w:val="0064592C"/>
    <w:rsid w:val="00645C8B"/>
    <w:rsid w:val="00645F91"/>
    <w:rsid w:val="0064618C"/>
    <w:rsid w:val="00646458"/>
    <w:rsid w:val="00646549"/>
    <w:rsid w:val="0064659D"/>
    <w:rsid w:val="00646618"/>
    <w:rsid w:val="0064665E"/>
    <w:rsid w:val="006466D3"/>
    <w:rsid w:val="0064691D"/>
    <w:rsid w:val="00646922"/>
    <w:rsid w:val="00646A23"/>
    <w:rsid w:val="00646B68"/>
    <w:rsid w:val="00646C98"/>
    <w:rsid w:val="00646F0E"/>
    <w:rsid w:val="006471A9"/>
    <w:rsid w:val="006471F0"/>
    <w:rsid w:val="006475BB"/>
    <w:rsid w:val="0064779E"/>
    <w:rsid w:val="0064788F"/>
    <w:rsid w:val="00647BBC"/>
    <w:rsid w:val="00647BD8"/>
    <w:rsid w:val="00647C50"/>
    <w:rsid w:val="00647E67"/>
    <w:rsid w:val="006503A2"/>
    <w:rsid w:val="006504F0"/>
    <w:rsid w:val="00650500"/>
    <w:rsid w:val="00650536"/>
    <w:rsid w:val="006508FA"/>
    <w:rsid w:val="00650AC4"/>
    <w:rsid w:val="00650B36"/>
    <w:rsid w:val="00650D35"/>
    <w:rsid w:val="00650D51"/>
    <w:rsid w:val="00650DD4"/>
    <w:rsid w:val="00650E69"/>
    <w:rsid w:val="00650F0D"/>
    <w:rsid w:val="0065119F"/>
    <w:rsid w:val="00651553"/>
    <w:rsid w:val="006516B6"/>
    <w:rsid w:val="006518C0"/>
    <w:rsid w:val="00651ACB"/>
    <w:rsid w:val="00651AD6"/>
    <w:rsid w:val="0065236D"/>
    <w:rsid w:val="00652535"/>
    <w:rsid w:val="00652623"/>
    <w:rsid w:val="00652692"/>
    <w:rsid w:val="00652D3E"/>
    <w:rsid w:val="00652DAE"/>
    <w:rsid w:val="00653366"/>
    <w:rsid w:val="006534CB"/>
    <w:rsid w:val="00653684"/>
    <w:rsid w:val="00653694"/>
    <w:rsid w:val="00653C9E"/>
    <w:rsid w:val="00653FBB"/>
    <w:rsid w:val="006544E6"/>
    <w:rsid w:val="00654667"/>
    <w:rsid w:val="006547EA"/>
    <w:rsid w:val="00654844"/>
    <w:rsid w:val="00654989"/>
    <w:rsid w:val="006549D4"/>
    <w:rsid w:val="00654DEB"/>
    <w:rsid w:val="00654F4B"/>
    <w:rsid w:val="00655050"/>
    <w:rsid w:val="006550AB"/>
    <w:rsid w:val="00655122"/>
    <w:rsid w:val="00655522"/>
    <w:rsid w:val="006555AA"/>
    <w:rsid w:val="006556EC"/>
    <w:rsid w:val="006557BE"/>
    <w:rsid w:val="006558CE"/>
    <w:rsid w:val="00655A7A"/>
    <w:rsid w:val="00655C53"/>
    <w:rsid w:val="00655D89"/>
    <w:rsid w:val="00655E62"/>
    <w:rsid w:val="00655EAB"/>
    <w:rsid w:val="006560BA"/>
    <w:rsid w:val="006560BB"/>
    <w:rsid w:val="00656251"/>
    <w:rsid w:val="006562D8"/>
    <w:rsid w:val="0065630A"/>
    <w:rsid w:val="006563C1"/>
    <w:rsid w:val="00656566"/>
    <w:rsid w:val="00656694"/>
    <w:rsid w:val="0065688E"/>
    <w:rsid w:val="00656922"/>
    <w:rsid w:val="00656A42"/>
    <w:rsid w:val="00656B95"/>
    <w:rsid w:val="00656BC1"/>
    <w:rsid w:val="00656CA4"/>
    <w:rsid w:val="00656DA9"/>
    <w:rsid w:val="006574A9"/>
    <w:rsid w:val="0065750A"/>
    <w:rsid w:val="006575C3"/>
    <w:rsid w:val="00657712"/>
    <w:rsid w:val="00657841"/>
    <w:rsid w:val="006579FE"/>
    <w:rsid w:val="00657DE1"/>
    <w:rsid w:val="00657F1C"/>
    <w:rsid w:val="00657F5C"/>
    <w:rsid w:val="00660700"/>
    <w:rsid w:val="00660B12"/>
    <w:rsid w:val="00660B33"/>
    <w:rsid w:val="00660B54"/>
    <w:rsid w:val="00660D92"/>
    <w:rsid w:val="00660FA2"/>
    <w:rsid w:val="006611E9"/>
    <w:rsid w:val="0066125F"/>
    <w:rsid w:val="0066135B"/>
    <w:rsid w:val="0066157F"/>
    <w:rsid w:val="00661623"/>
    <w:rsid w:val="00661714"/>
    <w:rsid w:val="0066172A"/>
    <w:rsid w:val="00661C83"/>
    <w:rsid w:val="00661F8C"/>
    <w:rsid w:val="00661FA9"/>
    <w:rsid w:val="00662250"/>
    <w:rsid w:val="00662259"/>
    <w:rsid w:val="0066259A"/>
    <w:rsid w:val="00662612"/>
    <w:rsid w:val="00662701"/>
    <w:rsid w:val="00662847"/>
    <w:rsid w:val="00662928"/>
    <w:rsid w:val="006629EF"/>
    <w:rsid w:val="00662ACC"/>
    <w:rsid w:val="00662D42"/>
    <w:rsid w:val="0066317E"/>
    <w:rsid w:val="0066320C"/>
    <w:rsid w:val="0066346F"/>
    <w:rsid w:val="00663517"/>
    <w:rsid w:val="006635BF"/>
    <w:rsid w:val="00663695"/>
    <w:rsid w:val="00663732"/>
    <w:rsid w:val="00663738"/>
    <w:rsid w:val="00663767"/>
    <w:rsid w:val="00663769"/>
    <w:rsid w:val="006637B9"/>
    <w:rsid w:val="00663825"/>
    <w:rsid w:val="00663C02"/>
    <w:rsid w:val="00663CAB"/>
    <w:rsid w:val="00663CAF"/>
    <w:rsid w:val="00663D14"/>
    <w:rsid w:val="00663DF4"/>
    <w:rsid w:val="00664381"/>
    <w:rsid w:val="0066459D"/>
    <w:rsid w:val="006647E6"/>
    <w:rsid w:val="0066493D"/>
    <w:rsid w:val="00664A0C"/>
    <w:rsid w:val="00664A82"/>
    <w:rsid w:val="00664AE1"/>
    <w:rsid w:val="00664AFB"/>
    <w:rsid w:val="00664D52"/>
    <w:rsid w:val="00664E9E"/>
    <w:rsid w:val="00664F42"/>
    <w:rsid w:val="00664F82"/>
    <w:rsid w:val="00664FEE"/>
    <w:rsid w:val="006657A7"/>
    <w:rsid w:val="006657B0"/>
    <w:rsid w:val="00665864"/>
    <w:rsid w:val="00665A13"/>
    <w:rsid w:val="00665A57"/>
    <w:rsid w:val="00665AAB"/>
    <w:rsid w:val="00665E78"/>
    <w:rsid w:val="006661E2"/>
    <w:rsid w:val="0066649A"/>
    <w:rsid w:val="006665BF"/>
    <w:rsid w:val="006669A7"/>
    <w:rsid w:val="00666A6D"/>
    <w:rsid w:val="00666D02"/>
    <w:rsid w:val="00666D11"/>
    <w:rsid w:val="00666DB5"/>
    <w:rsid w:val="00666FB7"/>
    <w:rsid w:val="00667285"/>
    <w:rsid w:val="00667371"/>
    <w:rsid w:val="00667454"/>
    <w:rsid w:val="006674A2"/>
    <w:rsid w:val="006677D7"/>
    <w:rsid w:val="006677E8"/>
    <w:rsid w:val="00667BD3"/>
    <w:rsid w:val="00667CB4"/>
    <w:rsid w:val="00667E12"/>
    <w:rsid w:val="00670128"/>
    <w:rsid w:val="00670291"/>
    <w:rsid w:val="006705B4"/>
    <w:rsid w:val="006705C7"/>
    <w:rsid w:val="00670AEE"/>
    <w:rsid w:val="00670BC4"/>
    <w:rsid w:val="00670C46"/>
    <w:rsid w:val="00670CA4"/>
    <w:rsid w:val="00670CB7"/>
    <w:rsid w:val="00670DE9"/>
    <w:rsid w:val="00670E6D"/>
    <w:rsid w:val="00670FBD"/>
    <w:rsid w:val="00671032"/>
    <w:rsid w:val="00671207"/>
    <w:rsid w:val="00671271"/>
    <w:rsid w:val="0067147D"/>
    <w:rsid w:val="00671778"/>
    <w:rsid w:val="0067194A"/>
    <w:rsid w:val="00671997"/>
    <w:rsid w:val="00671A4F"/>
    <w:rsid w:val="00671D50"/>
    <w:rsid w:val="00671DE5"/>
    <w:rsid w:val="00671E10"/>
    <w:rsid w:val="00671F48"/>
    <w:rsid w:val="00671F83"/>
    <w:rsid w:val="006720F1"/>
    <w:rsid w:val="0067252E"/>
    <w:rsid w:val="0067256A"/>
    <w:rsid w:val="00672589"/>
    <w:rsid w:val="00672868"/>
    <w:rsid w:val="00672CCE"/>
    <w:rsid w:val="00672CDE"/>
    <w:rsid w:val="00672EB0"/>
    <w:rsid w:val="00672F61"/>
    <w:rsid w:val="00672FAD"/>
    <w:rsid w:val="006731FF"/>
    <w:rsid w:val="0067326C"/>
    <w:rsid w:val="00673291"/>
    <w:rsid w:val="00673306"/>
    <w:rsid w:val="00673349"/>
    <w:rsid w:val="006733A5"/>
    <w:rsid w:val="00673511"/>
    <w:rsid w:val="00673961"/>
    <w:rsid w:val="00673B2C"/>
    <w:rsid w:val="00673D1E"/>
    <w:rsid w:val="00673E54"/>
    <w:rsid w:val="00673F21"/>
    <w:rsid w:val="00673FBF"/>
    <w:rsid w:val="006740DA"/>
    <w:rsid w:val="006741F7"/>
    <w:rsid w:val="00674269"/>
    <w:rsid w:val="0067453F"/>
    <w:rsid w:val="00674557"/>
    <w:rsid w:val="006745D8"/>
    <w:rsid w:val="00674630"/>
    <w:rsid w:val="00674667"/>
    <w:rsid w:val="00674735"/>
    <w:rsid w:val="0067494E"/>
    <w:rsid w:val="00674BB6"/>
    <w:rsid w:val="00674C70"/>
    <w:rsid w:val="00674CBC"/>
    <w:rsid w:val="00674D0D"/>
    <w:rsid w:val="00674EC9"/>
    <w:rsid w:val="00675154"/>
    <w:rsid w:val="0067517C"/>
    <w:rsid w:val="00675415"/>
    <w:rsid w:val="006754FF"/>
    <w:rsid w:val="006755AC"/>
    <w:rsid w:val="00675630"/>
    <w:rsid w:val="006756C8"/>
    <w:rsid w:val="006757F0"/>
    <w:rsid w:val="006758DF"/>
    <w:rsid w:val="00675918"/>
    <w:rsid w:val="00675A98"/>
    <w:rsid w:val="00675B65"/>
    <w:rsid w:val="00675C43"/>
    <w:rsid w:val="00675DBA"/>
    <w:rsid w:val="00675DD7"/>
    <w:rsid w:val="00675E00"/>
    <w:rsid w:val="00675E32"/>
    <w:rsid w:val="00675EBC"/>
    <w:rsid w:val="00675F90"/>
    <w:rsid w:val="006763C1"/>
    <w:rsid w:val="006764C0"/>
    <w:rsid w:val="006765C6"/>
    <w:rsid w:val="006768A9"/>
    <w:rsid w:val="006769DA"/>
    <w:rsid w:val="00676A0C"/>
    <w:rsid w:val="00676B94"/>
    <w:rsid w:val="00676C0F"/>
    <w:rsid w:val="00676FDB"/>
    <w:rsid w:val="00677273"/>
    <w:rsid w:val="00677559"/>
    <w:rsid w:val="006775BC"/>
    <w:rsid w:val="006775DB"/>
    <w:rsid w:val="006776EC"/>
    <w:rsid w:val="006779FA"/>
    <w:rsid w:val="00677A15"/>
    <w:rsid w:val="00677A18"/>
    <w:rsid w:val="00677AC7"/>
    <w:rsid w:val="00677AE8"/>
    <w:rsid w:val="00677C19"/>
    <w:rsid w:val="00677CE6"/>
    <w:rsid w:val="00677EC9"/>
    <w:rsid w:val="00680035"/>
    <w:rsid w:val="006801D3"/>
    <w:rsid w:val="00680335"/>
    <w:rsid w:val="00680776"/>
    <w:rsid w:val="006807E7"/>
    <w:rsid w:val="006809AC"/>
    <w:rsid w:val="006809E8"/>
    <w:rsid w:val="00680A80"/>
    <w:rsid w:val="00680AE6"/>
    <w:rsid w:val="00680C87"/>
    <w:rsid w:val="00680E50"/>
    <w:rsid w:val="00680F95"/>
    <w:rsid w:val="006810D8"/>
    <w:rsid w:val="006811C0"/>
    <w:rsid w:val="0068172C"/>
    <w:rsid w:val="006818E8"/>
    <w:rsid w:val="0068197C"/>
    <w:rsid w:val="00681A18"/>
    <w:rsid w:val="00681B93"/>
    <w:rsid w:val="00681C75"/>
    <w:rsid w:val="00681F95"/>
    <w:rsid w:val="0068212F"/>
    <w:rsid w:val="0068277B"/>
    <w:rsid w:val="00682851"/>
    <w:rsid w:val="00682919"/>
    <w:rsid w:val="00682A75"/>
    <w:rsid w:val="00682AA3"/>
    <w:rsid w:val="00682B2C"/>
    <w:rsid w:val="00682CB1"/>
    <w:rsid w:val="00682D6E"/>
    <w:rsid w:val="00682E69"/>
    <w:rsid w:val="006830B6"/>
    <w:rsid w:val="006830EB"/>
    <w:rsid w:val="00683372"/>
    <w:rsid w:val="00683450"/>
    <w:rsid w:val="006834DC"/>
    <w:rsid w:val="006834E0"/>
    <w:rsid w:val="00683513"/>
    <w:rsid w:val="006835C5"/>
    <w:rsid w:val="0068365F"/>
    <w:rsid w:val="00683873"/>
    <w:rsid w:val="00683C03"/>
    <w:rsid w:val="00683D92"/>
    <w:rsid w:val="00683E85"/>
    <w:rsid w:val="00683F67"/>
    <w:rsid w:val="00684022"/>
    <w:rsid w:val="00684735"/>
    <w:rsid w:val="006847B8"/>
    <w:rsid w:val="006849D7"/>
    <w:rsid w:val="006849EC"/>
    <w:rsid w:val="00684AA1"/>
    <w:rsid w:val="00684C93"/>
    <w:rsid w:val="00684F81"/>
    <w:rsid w:val="006850B5"/>
    <w:rsid w:val="00685166"/>
    <w:rsid w:val="00685464"/>
    <w:rsid w:val="0068551B"/>
    <w:rsid w:val="006857A2"/>
    <w:rsid w:val="006858E4"/>
    <w:rsid w:val="00685915"/>
    <w:rsid w:val="00685A11"/>
    <w:rsid w:val="00685EE7"/>
    <w:rsid w:val="006861BC"/>
    <w:rsid w:val="0068620D"/>
    <w:rsid w:val="00686562"/>
    <w:rsid w:val="00686689"/>
    <w:rsid w:val="0068676A"/>
    <w:rsid w:val="006867BA"/>
    <w:rsid w:val="006868A4"/>
    <w:rsid w:val="00686AFE"/>
    <w:rsid w:val="00686BB4"/>
    <w:rsid w:val="00686D76"/>
    <w:rsid w:val="00686F30"/>
    <w:rsid w:val="00686FC9"/>
    <w:rsid w:val="00687499"/>
    <w:rsid w:val="006874F8"/>
    <w:rsid w:val="006875CC"/>
    <w:rsid w:val="00687759"/>
    <w:rsid w:val="0068775D"/>
    <w:rsid w:val="00687911"/>
    <w:rsid w:val="006879D4"/>
    <w:rsid w:val="006879EE"/>
    <w:rsid w:val="00687A6E"/>
    <w:rsid w:val="00687B46"/>
    <w:rsid w:val="00687C4B"/>
    <w:rsid w:val="00687DE0"/>
    <w:rsid w:val="00690119"/>
    <w:rsid w:val="00690497"/>
    <w:rsid w:val="0069051C"/>
    <w:rsid w:val="00690824"/>
    <w:rsid w:val="0069089D"/>
    <w:rsid w:val="0069090B"/>
    <w:rsid w:val="00690915"/>
    <w:rsid w:val="00690978"/>
    <w:rsid w:val="00690AD9"/>
    <w:rsid w:val="00690EE8"/>
    <w:rsid w:val="006912FC"/>
    <w:rsid w:val="006913D8"/>
    <w:rsid w:val="0069147C"/>
    <w:rsid w:val="0069155D"/>
    <w:rsid w:val="006917E8"/>
    <w:rsid w:val="00691990"/>
    <w:rsid w:val="00691AC8"/>
    <w:rsid w:val="00691B01"/>
    <w:rsid w:val="00691CDB"/>
    <w:rsid w:val="00691CF1"/>
    <w:rsid w:val="00691DE0"/>
    <w:rsid w:val="00691ED5"/>
    <w:rsid w:val="0069207F"/>
    <w:rsid w:val="0069219B"/>
    <w:rsid w:val="0069253C"/>
    <w:rsid w:val="006925EE"/>
    <w:rsid w:val="00692949"/>
    <w:rsid w:val="00692B66"/>
    <w:rsid w:val="00692C53"/>
    <w:rsid w:val="00692F92"/>
    <w:rsid w:val="00693082"/>
    <w:rsid w:val="006931CB"/>
    <w:rsid w:val="006935CA"/>
    <w:rsid w:val="00693638"/>
    <w:rsid w:val="00693648"/>
    <w:rsid w:val="006937DF"/>
    <w:rsid w:val="00693862"/>
    <w:rsid w:val="006938F4"/>
    <w:rsid w:val="00693ACA"/>
    <w:rsid w:val="00693CDC"/>
    <w:rsid w:val="00693DC8"/>
    <w:rsid w:val="00693F68"/>
    <w:rsid w:val="0069457D"/>
    <w:rsid w:val="006945F7"/>
    <w:rsid w:val="006948D6"/>
    <w:rsid w:val="006949B1"/>
    <w:rsid w:val="00694B40"/>
    <w:rsid w:val="00694DC9"/>
    <w:rsid w:val="00695176"/>
    <w:rsid w:val="0069534A"/>
    <w:rsid w:val="006954B1"/>
    <w:rsid w:val="006958AD"/>
    <w:rsid w:val="00695A6B"/>
    <w:rsid w:val="00695A6E"/>
    <w:rsid w:val="00695CD6"/>
    <w:rsid w:val="00695D4D"/>
    <w:rsid w:val="00695E53"/>
    <w:rsid w:val="00695E5A"/>
    <w:rsid w:val="00695FEC"/>
    <w:rsid w:val="006963CC"/>
    <w:rsid w:val="00696828"/>
    <w:rsid w:val="00696A43"/>
    <w:rsid w:val="00696EAC"/>
    <w:rsid w:val="00696EB3"/>
    <w:rsid w:val="00696F3C"/>
    <w:rsid w:val="00696F65"/>
    <w:rsid w:val="00697040"/>
    <w:rsid w:val="0069719F"/>
    <w:rsid w:val="00697B39"/>
    <w:rsid w:val="00697CE2"/>
    <w:rsid w:val="00697E67"/>
    <w:rsid w:val="006A006C"/>
    <w:rsid w:val="006A0382"/>
    <w:rsid w:val="006A0393"/>
    <w:rsid w:val="006A049D"/>
    <w:rsid w:val="006A06C1"/>
    <w:rsid w:val="006A070B"/>
    <w:rsid w:val="006A0877"/>
    <w:rsid w:val="006A0B9F"/>
    <w:rsid w:val="006A0BFE"/>
    <w:rsid w:val="006A0C5A"/>
    <w:rsid w:val="006A0CAE"/>
    <w:rsid w:val="006A0F20"/>
    <w:rsid w:val="006A106F"/>
    <w:rsid w:val="006A13B5"/>
    <w:rsid w:val="006A1A44"/>
    <w:rsid w:val="006A1B8A"/>
    <w:rsid w:val="006A1DC1"/>
    <w:rsid w:val="006A1FDD"/>
    <w:rsid w:val="006A242D"/>
    <w:rsid w:val="006A255E"/>
    <w:rsid w:val="006A2733"/>
    <w:rsid w:val="006A2875"/>
    <w:rsid w:val="006A2C0B"/>
    <w:rsid w:val="006A2C37"/>
    <w:rsid w:val="006A2F35"/>
    <w:rsid w:val="006A2F3B"/>
    <w:rsid w:val="006A3162"/>
    <w:rsid w:val="006A3555"/>
    <w:rsid w:val="006A3632"/>
    <w:rsid w:val="006A3701"/>
    <w:rsid w:val="006A39A3"/>
    <w:rsid w:val="006A3C50"/>
    <w:rsid w:val="006A3E84"/>
    <w:rsid w:val="006A3F32"/>
    <w:rsid w:val="006A4021"/>
    <w:rsid w:val="006A4172"/>
    <w:rsid w:val="006A42A1"/>
    <w:rsid w:val="006A4322"/>
    <w:rsid w:val="006A4334"/>
    <w:rsid w:val="006A437B"/>
    <w:rsid w:val="006A43E1"/>
    <w:rsid w:val="006A4732"/>
    <w:rsid w:val="006A4825"/>
    <w:rsid w:val="006A49C0"/>
    <w:rsid w:val="006A4A7F"/>
    <w:rsid w:val="006A4DCC"/>
    <w:rsid w:val="006A4E90"/>
    <w:rsid w:val="006A4ECF"/>
    <w:rsid w:val="006A4F06"/>
    <w:rsid w:val="006A5069"/>
    <w:rsid w:val="006A5502"/>
    <w:rsid w:val="006A56B7"/>
    <w:rsid w:val="006A5748"/>
    <w:rsid w:val="006A5816"/>
    <w:rsid w:val="006A5968"/>
    <w:rsid w:val="006A5AD3"/>
    <w:rsid w:val="006A5B1E"/>
    <w:rsid w:val="006A5C80"/>
    <w:rsid w:val="006A5E6C"/>
    <w:rsid w:val="006A5EE5"/>
    <w:rsid w:val="006A5F50"/>
    <w:rsid w:val="006A60F4"/>
    <w:rsid w:val="006A6132"/>
    <w:rsid w:val="006A623D"/>
    <w:rsid w:val="006A624A"/>
    <w:rsid w:val="006A6393"/>
    <w:rsid w:val="006A677A"/>
    <w:rsid w:val="006A695E"/>
    <w:rsid w:val="006A69DC"/>
    <w:rsid w:val="006A69E1"/>
    <w:rsid w:val="006A6AFE"/>
    <w:rsid w:val="006A6CB1"/>
    <w:rsid w:val="006A71B7"/>
    <w:rsid w:val="006A73D7"/>
    <w:rsid w:val="006A75E2"/>
    <w:rsid w:val="006A777B"/>
    <w:rsid w:val="006A7927"/>
    <w:rsid w:val="006A7A76"/>
    <w:rsid w:val="006A7B11"/>
    <w:rsid w:val="006A7EAE"/>
    <w:rsid w:val="006B051B"/>
    <w:rsid w:val="006B0566"/>
    <w:rsid w:val="006B086A"/>
    <w:rsid w:val="006B0A58"/>
    <w:rsid w:val="006B0B73"/>
    <w:rsid w:val="006B0BE0"/>
    <w:rsid w:val="006B0E25"/>
    <w:rsid w:val="006B1053"/>
    <w:rsid w:val="006B1114"/>
    <w:rsid w:val="006B12BF"/>
    <w:rsid w:val="006B1318"/>
    <w:rsid w:val="006B134F"/>
    <w:rsid w:val="006B13FC"/>
    <w:rsid w:val="006B145B"/>
    <w:rsid w:val="006B1620"/>
    <w:rsid w:val="006B1725"/>
    <w:rsid w:val="006B179C"/>
    <w:rsid w:val="006B1883"/>
    <w:rsid w:val="006B1ABE"/>
    <w:rsid w:val="006B1BB8"/>
    <w:rsid w:val="006B1D69"/>
    <w:rsid w:val="006B1E11"/>
    <w:rsid w:val="006B1E3D"/>
    <w:rsid w:val="006B2483"/>
    <w:rsid w:val="006B26EF"/>
    <w:rsid w:val="006B2949"/>
    <w:rsid w:val="006B29FB"/>
    <w:rsid w:val="006B2C28"/>
    <w:rsid w:val="006B2E37"/>
    <w:rsid w:val="006B2EFE"/>
    <w:rsid w:val="006B2FDB"/>
    <w:rsid w:val="006B315D"/>
    <w:rsid w:val="006B32D6"/>
    <w:rsid w:val="006B350D"/>
    <w:rsid w:val="006B3985"/>
    <w:rsid w:val="006B3AA6"/>
    <w:rsid w:val="006B3DAF"/>
    <w:rsid w:val="006B3E2C"/>
    <w:rsid w:val="006B3EB5"/>
    <w:rsid w:val="006B42CE"/>
    <w:rsid w:val="006B43D4"/>
    <w:rsid w:val="006B49CA"/>
    <w:rsid w:val="006B4DD4"/>
    <w:rsid w:val="006B4E7A"/>
    <w:rsid w:val="006B50E8"/>
    <w:rsid w:val="006B5162"/>
    <w:rsid w:val="006B5372"/>
    <w:rsid w:val="006B5730"/>
    <w:rsid w:val="006B5773"/>
    <w:rsid w:val="006B5990"/>
    <w:rsid w:val="006B5A31"/>
    <w:rsid w:val="006B5A6C"/>
    <w:rsid w:val="006B5C0C"/>
    <w:rsid w:val="006B621D"/>
    <w:rsid w:val="006B67E3"/>
    <w:rsid w:val="006B68AE"/>
    <w:rsid w:val="006B6948"/>
    <w:rsid w:val="006B6A7B"/>
    <w:rsid w:val="006B6A90"/>
    <w:rsid w:val="006B6CCF"/>
    <w:rsid w:val="006B6CE6"/>
    <w:rsid w:val="006B6D5E"/>
    <w:rsid w:val="006B6FF6"/>
    <w:rsid w:val="006B70C1"/>
    <w:rsid w:val="006B74C8"/>
    <w:rsid w:val="006B7A09"/>
    <w:rsid w:val="006B7BA7"/>
    <w:rsid w:val="006B7C39"/>
    <w:rsid w:val="006B7CFF"/>
    <w:rsid w:val="006B7D35"/>
    <w:rsid w:val="006B7D88"/>
    <w:rsid w:val="006C00D9"/>
    <w:rsid w:val="006C0111"/>
    <w:rsid w:val="006C0265"/>
    <w:rsid w:val="006C0515"/>
    <w:rsid w:val="006C054A"/>
    <w:rsid w:val="006C0666"/>
    <w:rsid w:val="006C08A3"/>
    <w:rsid w:val="006C0961"/>
    <w:rsid w:val="006C0A76"/>
    <w:rsid w:val="006C0C3F"/>
    <w:rsid w:val="006C0C59"/>
    <w:rsid w:val="006C0DEB"/>
    <w:rsid w:val="006C0EBA"/>
    <w:rsid w:val="006C0F52"/>
    <w:rsid w:val="006C10AB"/>
    <w:rsid w:val="006C1124"/>
    <w:rsid w:val="006C1244"/>
    <w:rsid w:val="006C141F"/>
    <w:rsid w:val="006C14CD"/>
    <w:rsid w:val="006C181B"/>
    <w:rsid w:val="006C1830"/>
    <w:rsid w:val="006C1982"/>
    <w:rsid w:val="006C1ABC"/>
    <w:rsid w:val="006C1ADF"/>
    <w:rsid w:val="006C1B47"/>
    <w:rsid w:val="006C1C7D"/>
    <w:rsid w:val="006C1C8F"/>
    <w:rsid w:val="006C1DAD"/>
    <w:rsid w:val="006C1E2C"/>
    <w:rsid w:val="006C213D"/>
    <w:rsid w:val="006C2175"/>
    <w:rsid w:val="006C2177"/>
    <w:rsid w:val="006C21D6"/>
    <w:rsid w:val="006C25A9"/>
    <w:rsid w:val="006C27C7"/>
    <w:rsid w:val="006C2ACA"/>
    <w:rsid w:val="006C2D42"/>
    <w:rsid w:val="006C2E0B"/>
    <w:rsid w:val="006C3038"/>
    <w:rsid w:val="006C3053"/>
    <w:rsid w:val="006C34EE"/>
    <w:rsid w:val="006C3594"/>
    <w:rsid w:val="006C3653"/>
    <w:rsid w:val="006C3778"/>
    <w:rsid w:val="006C37DC"/>
    <w:rsid w:val="006C3831"/>
    <w:rsid w:val="006C389F"/>
    <w:rsid w:val="006C3A0D"/>
    <w:rsid w:val="006C3C29"/>
    <w:rsid w:val="006C3D78"/>
    <w:rsid w:val="006C3E6D"/>
    <w:rsid w:val="006C3EF6"/>
    <w:rsid w:val="006C420C"/>
    <w:rsid w:val="006C45F1"/>
    <w:rsid w:val="006C463B"/>
    <w:rsid w:val="006C46AF"/>
    <w:rsid w:val="006C4713"/>
    <w:rsid w:val="006C472C"/>
    <w:rsid w:val="006C48DD"/>
    <w:rsid w:val="006C4B17"/>
    <w:rsid w:val="006C4C67"/>
    <w:rsid w:val="006C4F0B"/>
    <w:rsid w:val="006C52E8"/>
    <w:rsid w:val="006C5343"/>
    <w:rsid w:val="006C5397"/>
    <w:rsid w:val="006C5502"/>
    <w:rsid w:val="006C575B"/>
    <w:rsid w:val="006C589A"/>
    <w:rsid w:val="006C5914"/>
    <w:rsid w:val="006C5D12"/>
    <w:rsid w:val="006C5DE2"/>
    <w:rsid w:val="006C5EB3"/>
    <w:rsid w:val="006C60D2"/>
    <w:rsid w:val="006C61FC"/>
    <w:rsid w:val="006C6219"/>
    <w:rsid w:val="006C62E6"/>
    <w:rsid w:val="006C64B1"/>
    <w:rsid w:val="006C6674"/>
    <w:rsid w:val="006C677A"/>
    <w:rsid w:val="006C67C5"/>
    <w:rsid w:val="006C6960"/>
    <w:rsid w:val="006C6AAA"/>
    <w:rsid w:val="006C6C72"/>
    <w:rsid w:val="006C6E26"/>
    <w:rsid w:val="006C7089"/>
    <w:rsid w:val="006C7145"/>
    <w:rsid w:val="006C7237"/>
    <w:rsid w:val="006C7285"/>
    <w:rsid w:val="006C72AF"/>
    <w:rsid w:val="006C7393"/>
    <w:rsid w:val="006C76C3"/>
    <w:rsid w:val="006C7731"/>
    <w:rsid w:val="006C779E"/>
    <w:rsid w:val="006C7830"/>
    <w:rsid w:val="006C793D"/>
    <w:rsid w:val="006C7E08"/>
    <w:rsid w:val="006D00B1"/>
    <w:rsid w:val="006D00E6"/>
    <w:rsid w:val="006D050B"/>
    <w:rsid w:val="006D0691"/>
    <w:rsid w:val="006D06AD"/>
    <w:rsid w:val="006D06CD"/>
    <w:rsid w:val="006D0BE0"/>
    <w:rsid w:val="006D0C4D"/>
    <w:rsid w:val="006D0E42"/>
    <w:rsid w:val="006D0E7C"/>
    <w:rsid w:val="006D0E86"/>
    <w:rsid w:val="006D0EDF"/>
    <w:rsid w:val="006D0F8B"/>
    <w:rsid w:val="006D0FA3"/>
    <w:rsid w:val="006D1032"/>
    <w:rsid w:val="006D12CB"/>
    <w:rsid w:val="006D1438"/>
    <w:rsid w:val="006D16BA"/>
    <w:rsid w:val="006D1753"/>
    <w:rsid w:val="006D1A52"/>
    <w:rsid w:val="006D1A9C"/>
    <w:rsid w:val="006D1A9F"/>
    <w:rsid w:val="006D1AC0"/>
    <w:rsid w:val="006D1AC8"/>
    <w:rsid w:val="006D1AE3"/>
    <w:rsid w:val="006D1BDC"/>
    <w:rsid w:val="006D1C64"/>
    <w:rsid w:val="006D1CF1"/>
    <w:rsid w:val="006D1F01"/>
    <w:rsid w:val="006D21F8"/>
    <w:rsid w:val="006D2244"/>
    <w:rsid w:val="006D237F"/>
    <w:rsid w:val="006D26D3"/>
    <w:rsid w:val="006D2928"/>
    <w:rsid w:val="006D2A1F"/>
    <w:rsid w:val="006D2A30"/>
    <w:rsid w:val="006D2ACD"/>
    <w:rsid w:val="006D2C1C"/>
    <w:rsid w:val="006D2E54"/>
    <w:rsid w:val="006D2F0E"/>
    <w:rsid w:val="006D321A"/>
    <w:rsid w:val="006D3636"/>
    <w:rsid w:val="006D3B04"/>
    <w:rsid w:val="006D3B10"/>
    <w:rsid w:val="006D3BA9"/>
    <w:rsid w:val="006D3C72"/>
    <w:rsid w:val="006D3DE2"/>
    <w:rsid w:val="006D3E81"/>
    <w:rsid w:val="006D3F33"/>
    <w:rsid w:val="006D3FE1"/>
    <w:rsid w:val="006D4046"/>
    <w:rsid w:val="006D40F2"/>
    <w:rsid w:val="006D41C2"/>
    <w:rsid w:val="006D41FC"/>
    <w:rsid w:val="006D42E1"/>
    <w:rsid w:val="006D4386"/>
    <w:rsid w:val="006D450A"/>
    <w:rsid w:val="006D46B8"/>
    <w:rsid w:val="006D4902"/>
    <w:rsid w:val="006D4983"/>
    <w:rsid w:val="006D4DF6"/>
    <w:rsid w:val="006D4FA2"/>
    <w:rsid w:val="006D4FAE"/>
    <w:rsid w:val="006D523F"/>
    <w:rsid w:val="006D5310"/>
    <w:rsid w:val="006D5475"/>
    <w:rsid w:val="006D54C1"/>
    <w:rsid w:val="006D555A"/>
    <w:rsid w:val="006D56E9"/>
    <w:rsid w:val="006D5863"/>
    <w:rsid w:val="006D587F"/>
    <w:rsid w:val="006D59D2"/>
    <w:rsid w:val="006D5A9A"/>
    <w:rsid w:val="006D5FF2"/>
    <w:rsid w:val="006D6161"/>
    <w:rsid w:val="006D65D6"/>
    <w:rsid w:val="006D65F2"/>
    <w:rsid w:val="006D6741"/>
    <w:rsid w:val="006D6784"/>
    <w:rsid w:val="006D684C"/>
    <w:rsid w:val="006D68C4"/>
    <w:rsid w:val="006D6963"/>
    <w:rsid w:val="006D69AD"/>
    <w:rsid w:val="006D6A07"/>
    <w:rsid w:val="006D6A8A"/>
    <w:rsid w:val="006D6ABA"/>
    <w:rsid w:val="006D6D4D"/>
    <w:rsid w:val="006D6FBE"/>
    <w:rsid w:val="006D7012"/>
    <w:rsid w:val="006D7085"/>
    <w:rsid w:val="006D7172"/>
    <w:rsid w:val="006D7187"/>
    <w:rsid w:val="006D7362"/>
    <w:rsid w:val="006D739D"/>
    <w:rsid w:val="006D73F8"/>
    <w:rsid w:val="006D7524"/>
    <w:rsid w:val="006D7583"/>
    <w:rsid w:val="006D787F"/>
    <w:rsid w:val="006D79A4"/>
    <w:rsid w:val="006D7A84"/>
    <w:rsid w:val="006D7BD9"/>
    <w:rsid w:val="006D7BED"/>
    <w:rsid w:val="006D7CBF"/>
    <w:rsid w:val="006D7EA9"/>
    <w:rsid w:val="006D7F00"/>
    <w:rsid w:val="006D7F76"/>
    <w:rsid w:val="006E0175"/>
    <w:rsid w:val="006E0210"/>
    <w:rsid w:val="006E0493"/>
    <w:rsid w:val="006E0543"/>
    <w:rsid w:val="006E0551"/>
    <w:rsid w:val="006E0584"/>
    <w:rsid w:val="006E05A4"/>
    <w:rsid w:val="006E06CC"/>
    <w:rsid w:val="006E06F4"/>
    <w:rsid w:val="006E0DB2"/>
    <w:rsid w:val="006E0E27"/>
    <w:rsid w:val="006E0E59"/>
    <w:rsid w:val="006E0F45"/>
    <w:rsid w:val="006E145A"/>
    <w:rsid w:val="006E1714"/>
    <w:rsid w:val="006E18AA"/>
    <w:rsid w:val="006E1B39"/>
    <w:rsid w:val="006E1BDD"/>
    <w:rsid w:val="006E1DC1"/>
    <w:rsid w:val="006E1EBE"/>
    <w:rsid w:val="006E208F"/>
    <w:rsid w:val="006E2185"/>
    <w:rsid w:val="006E2265"/>
    <w:rsid w:val="006E22EB"/>
    <w:rsid w:val="006E2333"/>
    <w:rsid w:val="006E2488"/>
    <w:rsid w:val="006E2500"/>
    <w:rsid w:val="006E2A72"/>
    <w:rsid w:val="006E2AEC"/>
    <w:rsid w:val="006E2D6A"/>
    <w:rsid w:val="006E2E34"/>
    <w:rsid w:val="006E2FD3"/>
    <w:rsid w:val="006E300E"/>
    <w:rsid w:val="006E301A"/>
    <w:rsid w:val="006E3177"/>
    <w:rsid w:val="006E3256"/>
    <w:rsid w:val="006E3266"/>
    <w:rsid w:val="006E3352"/>
    <w:rsid w:val="006E3373"/>
    <w:rsid w:val="006E3397"/>
    <w:rsid w:val="006E358B"/>
    <w:rsid w:val="006E3603"/>
    <w:rsid w:val="006E36A8"/>
    <w:rsid w:val="006E3833"/>
    <w:rsid w:val="006E39C4"/>
    <w:rsid w:val="006E3A32"/>
    <w:rsid w:val="006E3B34"/>
    <w:rsid w:val="006E3C7E"/>
    <w:rsid w:val="006E3D49"/>
    <w:rsid w:val="006E3E2E"/>
    <w:rsid w:val="006E3F43"/>
    <w:rsid w:val="006E4081"/>
    <w:rsid w:val="006E44B2"/>
    <w:rsid w:val="006E4644"/>
    <w:rsid w:val="006E4672"/>
    <w:rsid w:val="006E46D0"/>
    <w:rsid w:val="006E4B7D"/>
    <w:rsid w:val="006E4E05"/>
    <w:rsid w:val="006E4F77"/>
    <w:rsid w:val="006E508F"/>
    <w:rsid w:val="006E5124"/>
    <w:rsid w:val="006E5204"/>
    <w:rsid w:val="006E5A13"/>
    <w:rsid w:val="006E5AAA"/>
    <w:rsid w:val="006E6052"/>
    <w:rsid w:val="006E609F"/>
    <w:rsid w:val="006E6197"/>
    <w:rsid w:val="006E657B"/>
    <w:rsid w:val="006E68F8"/>
    <w:rsid w:val="006E6C75"/>
    <w:rsid w:val="006E6D54"/>
    <w:rsid w:val="006E6D87"/>
    <w:rsid w:val="006E6DBD"/>
    <w:rsid w:val="006E711E"/>
    <w:rsid w:val="006E7440"/>
    <w:rsid w:val="006E76E3"/>
    <w:rsid w:val="006E7ACA"/>
    <w:rsid w:val="006E7ACB"/>
    <w:rsid w:val="006F001D"/>
    <w:rsid w:val="006F0237"/>
    <w:rsid w:val="006F03B3"/>
    <w:rsid w:val="006F0405"/>
    <w:rsid w:val="006F04E6"/>
    <w:rsid w:val="006F05EC"/>
    <w:rsid w:val="006F07B1"/>
    <w:rsid w:val="006F0B69"/>
    <w:rsid w:val="006F0C27"/>
    <w:rsid w:val="006F0E78"/>
    <w:rsid w:val="006F0E9B"/>
    <w:rsid w:val="006F0F82"/>
    <w:rsid w:val="006F1058"/>
    <w:rsid w:val="006F10D1"/>
    <w:rsid w:val="006F115B"/>
    <w:rsid w:val="006F1169"/>
    <w:rsid w:val="006F11E9"/>
    <w:rsid w:val="006F138F"/>
    <w:rsid w:val="006F18DD"/>
    <w:rsid w:val="006F1A72"/>
    <w:rsid w:val="006F1B17"/>
    <w:rsid w:val="006F216E"/>
    <w:rsid w:val="006F2511"/>
    <w:rsid w:val="006F28C9"/>
    <w:rsid w:val="006F2A0D"/>
    <w:rsid w:val="006F2A39"/>
    <w:rsid w:val="006F2B75"/>
    <w:rsid w:val="006F2E22"/>
    <w:rsid w:val="006F2E63"/>
    <w:rsid w:val="006F2F69"/>
    <w:rsid w:val="006F3032"/>
    <w:rsid w:val="006F3082"/>
    <w:rsid w:val="006F3083"/>
    <w:rsid w:val="006F3104"/>
    <w:rsid w:val="006F32E7"/>
    <w:rsid w:val="006F3408"/>
    <w:rsid w:val="006F3485"/>
    <w:rsid w:val="006F34B6"/>
    <w:rsid w:val="006F35B0"/>
    <w:rsid w:val="006F38E6"/>
    <w:rsid w:val="006F39B0"/>
    <w:rsid w:val="006F3A52"/>
    <w:rsid w:val="006F3BE4"/>
    <w:rsid w:val="006F3CD2"/>
    <w:rsid w:val="006F3DFC"/>
    <w:rsid w:val="006F407A"/>
    <w:rsid w:val="006F4344"/>
    <w:rsid w:val="006F438D"/>
    <w:rsid w:val="006F45F9"/>
    <w:rsid w:val="006F4662"/>
    <w:rsid w:val="006F46AB"/>
    <w:rsid w:val="006F46D6"/>
    <w:rsid w:val="006F472D"/>
    <w:rsid w:val="006F4B8E"/>
    <w:rsid w:val="006F4CE8"/>
    <w:rsid w:val="006F4CF7"/>
    <w:rsid w:val="006F4D33"/>
    <w:rsid w:val="006F4DE2"/>
    <w:rsid w:val="006F4EF8"/>
    <w:rsid w:val="006F4FC9"/>
    <w:rsid w:val="006F5434"/>
    <w:rsid w:val="006F5455"/>
    <w:rsid w:val="006F54B8"/>
    <w:rsid w:val="006F56E4"/>
    <w:rsid w:val="006F5760"/>
    <w:rsid w:val="006F57C1"/>
    <w:rsid w:val="006F5BD3"/>
    <w:rsid w:val="006F5CFA"/>
    <w:rsid w:val="006F5DB2"/>
    <w:rsid w:val="006F5E06"/>
    <w:rsid w:val="006F5F4B"/>
    <w:rsid w:val="006F6091"/>
    <w:rsid w:val="006F61D3"/>
    <w:rsid w:val="006F624F"/>
    <w:rsid w:val="006F6281"/>
    <w:rsid w:val="006F65B1"/>
    <w:rsid w:val="006F667C"/>
    <w:rsid w:val="006F67C3"/>
    <w:rsid w:val="006F68C6"/>
    <w:rsid w:val="006F6A6D"/>
    <w:rsid w:val="006F6FEE"/>
    <w:rsid w:val="006F7205"/>
    <w:rsid w:val="006F7282"/>
    <w:rsid w:val="006F7457"/>
    <w:rsid w:val="006F76D0"/>
    <w:rsid w:val="006F77BC"/>
    <w:rsid w:val="006F77CE"/>
    <w:rsid w:val="007000F3"/>
    <w:rsid w:val="007002E1"/>
    <w:rsid w:val="007003A4"/>
    <w:rsid w:val="007004F7"/>
    <w:rsid w:val="007005FD"/>
    <w:rsid w:val="007006B4"/>
    <w:rsid w:val="00700793"/>
    <w:rsid w:val="007007E8"/>
    <w:rsid w:val="0070093B"/>
    <w:rsid w:val="00700C25"/>
    <w:rsid w:val="00700C84"/>
    <w:rsid w:val="00700D39"/>
    <w:rsid w:val="00700E10"/>
    <w:rsid w:val="00701038"/>
    <w:rsid w:val="00701319"/>
    <w:rsid w:val="007017CF"/>
    <w:rsid w:val="00701A40"/>
    <w:rsid w:val="00701EE3"/>
    <w:rsid w:val="00701FBE"/>
    <w:rsid w:val="0070222F"/>
    <w:rsid w:val="0070236A"/>
    <w:rsid w:val="00702501"/>
    <w:rsid w:val="0070259A"/>
    <w:rsid w:val="007026FE"/>
    <w:rsid w:val="00702783"/>
    <w:rsid w:val="00702A5E"/>
    <w:rsid w:val="00702BF8"/>
    <w:rsid w:val="00702C54"/>
    <w:rsid w:val="00702E70"/>
    <w:rsid w:val="007030A8"/>
    <w:rsid w:val="007033C6"/>
    <w:rsid w:val="0070340B"/>
    <w:rsid w:val="00703633"/>
    <w:rsid w:val="007037FA"/>
    <w:rsid w:val="00703850"/>
    <w:rsid w:val="0070396F"/>
    <w:rsid w:val="00703C30"/>
    <w:rsid w:val="00703F2D"/>
    <w:rsid w:val="0070421D"/>
    <w:rsid w:val="0070429D"/>
    <w:rsid w:val="00704377"/>
    <w:rsid w:val="00704455"/>
    <w:rsid w:val="007044F4"/>
    <w:rsid w:val="00704579"/>
    <w:rsid w:val="00704592"/>
    <w:rsid w:val="0070466E"/>
    <w:rsid w:val="007047A8"/>
    <w:rsid w:val="007049B0"/>
    <w:rsid w:val="00704D7F"/>
    <w:rsid w:val="00704EC8"/>
    <w:rsid w:val="00704EFA"/>
    <w:rsid w:val="00704F65"/>
    <w:rsid w:val="00704F9C"/>
    <w:rsid w:val="007051C9"/>
    <w:rsid w:val="007052F5"/>
    <w:rsid w:val="00705419"/>
    <w:rsid w:val="007054A3"/>
    <w:rsid w:val="007055B1"/>
    <w:rsid w:val="007056CF"/>
    <w:rsid w:val="00705729"/>
    <w:rsid w:val="007059EE"/>
    <w:rsid w:val="00705BF0"/>
    <w:rsid w:val="00705D83"/>
    <w:rsid w:val="00705DC8"/>
    <w:rsid w:val="00705F12"/>
    <w:rsid w:val="0070600E"/>
    <w:rsid w:val="007061DF"/>
    <w:rsid w:val="007063C8"/>
    <w:rsid w:val="0070658F"/>
    <w:rsid w:val="007066A6"/>
    <w:rsid w:val="00706817"/>
    <w:rsid w:val="00706A06"/>
    <w:rsid w:val="00706B17"/>
    <w:rsid w:val="00706E23"/>
    <w:rsid w:val="00707614"/>
    <w:rsid w:val="00707622"/>
    <w:rsid w:val="00707803"/>
    <w:rsid w:val="00707B62"/>
    <w:rsid w:val="007100D1"/>
    <w:rsid w:val="00710169"/>
    <w:rsid w:val="0071022A"/>
    <w:rsid w:val="00710762"/>
    <w:rsid w:val="0071077F"/>
    <w:rsid w:val="007108A6"/>
    <w:rsid w:val="007108D3"/>
    <w:rsid w:val="00710BD0"/>
    <w:rsid w:val="00710EF1"/>
    <w:rsid w:val="00710F35"/>
    <w:rsid w:val="007110FF"/>
    <w:rsid w:val="00711240"/>
    <w:rsid w:val="0071137E"/>
    <w:rsid w:val="007113DA"/>
    <w:rsid w:val="00711462"/>
    <w:rsid w:val="0071155F"/>
    <w:rsid w:val="007115E3"/>
    <w:rsid w:val="007116EB"/>
    <w:rsid w:val="00711919"/>
    <w:rsid w:val="00711AC6"/>
    <w:rsid w:val="00711BCF"/>
    <w:rsid w:val="00711C4B"/>
    <w:rsid w:val="00711DB9"/>
    <w:rsid w:val="00711E00"/>
    <w:rsid w:val="0071219F"/>
    <w:rsid w:val="00712507"/>
    <w:rsid w:val="007125C8"/>
    <w:rsid w:val="007125F2"/>
    <w:rsid w:val="00712671"/>
    <w:rsid w:val="00712801"/>
    <w:rsid w:val="00712B01"/>
    <w:rsid w:val="00712DC0"/>
    <w:rsid w:val="00712E54"/>
    <w:rsid w:val="0071312D"/>
    <w:rsid w:val="0071315A"/>
    <w:rsid w:val="00713766"/>
    <w:rsid w:val="0071383C"/>
    <w:rsid w:val="0071384F"/>
    <w:rsid w:val="00713AC1"/>
    <w:rsid w:val="00713B8E"/>
    <w:rsid w:val="00713C12"/>
    <w:rsid w:val="00713CC5"/>
    <w:rsid w:val="00713D13"/>
    <w:rsid w:val="00713D79"/>
    <w:rsid w:val="00713F45"/>
    <w:rsid w:val="00713F58"/>
    <w:rsid w:val="007142BD"/>
    <w:rsid w:val="00714491"/>
    <w:rsid w:val="0071464E"/>
    <w:rsid w:val="007146F6"/>
    <w:rsid w:val="00714B27"/>
    <w:rsid w:val="00714B94"/>
    <w:rsid w:val="00714C54"/>
    <w:rsid w:val="00714D03"/>
    <w:rsid w:val="00714D5E"/>
    <w:rsid w:val="00714D6C"/>
    <w:rsid w:val="00714EDF"/>
    <w:rsid w:val="00714F1D"/>
    <w:rsid w:val="00714F77"/>
    <w:rsid w:val="00714FBE"/>
    <w:rsid w:val="0071513C"/>
    <w:rsid w:val="0071519A"/>
    <w:rsid w:val="007151C7"/>
    <w:rsid w:val="00715442"/>
    <w:rsid w:val="00715690"/>
    <w:rsid w:val="007157F8"/>
    <w:rsid w:val="00716081"/>
    <w:rsid w:val="007160D7"/>
    <w:rsid w:val="0071626A"/>
    <w:rsid w:val="007163F0"/>
    <w:rsid w:val="00716668"/>
    <w:rsid w:val="007168DE"/>
    <w:rsid w:val="00716906"/>
    <w:rsid w:val="00716B35"/>
    <w:rsid w:val="00716C47"/>
    <w:rsid w:val="00716C97"/>
    <w:rsid w:val="00716E52"/>
    <w:rsid w:val="00717083"/>
    <w:rsid w:val="007170C4"/>
    <w:rsid w:val="007172DF"/>
    <w:rsid w:val="0071755D"/>
    <w:rsid w:val="0071770D"/>
    <w:rsid w:val="00717775"/>
    <w:rsid w:val="007177F6"/>
    <w:rsid w:val="00717A0C"/>
    <w:rsid w:val="00717BD6"/>
    <w:rsid w:val="00717F45"/>
    <w:rsid w:val="00720121"/>
    <w:rsid w:val="0072016B"/>
    <w:rsid w:val="0072031A"/>
    <w:rsid w:val="0072038A"/>
    <w:rsid w:val="007204CF"/>
    <w:rsid w:val="0072057D"/>
    <w:rsid w:val="0072064A"/>
    <w:rsid w:val="007207C5"/>
    <w:rsid w:val="00720ADE"/>
    <w:rsid w:val="00720B76"/>
    <w:rsid w:val="00720C41"/>
    <w:rsid w:val="00720C87"/>
    <w:rsid w:val="00720E54"/>
    <w:rsid w:val="00720E74"/>
    <w:rsid w:val="00720F1D"/>
    <w:rsid w:val="00721396"/>
    <w:rsid w:val="00721398"/>
    <w:rsid w:val="00721612"/>
    <w:rsid w:val="007216B5"/>
    <w:rsid w:val="00721712"/>
    <w:rsid w:val="00721876"/>
    <w:rsid w:val="007218DC"/>
    <w:rsid w:val="00721B73"/>
    <w:rsid w:val="00721C5A"/>
    <w:rsid w:val="00721CB2"/>
    <w:rsid w:val="00721E08"/>
    <w:rsid w:val="00721F31"/>
    <w:rsid w:val="00721F8E"/>
    <w:rsid w:val="00722052"/>
    <w:rsid w:val="00722113"/>
    <w:rsid w:val="00722878"/>
    <w:rsid w:val="00722946"/>
    <w:rsid w:val="00722B91"/>
    <w:rsid w:val="00722C3F"/>
    <w:rsid w:val="007230EA"/>
    <w:rsid w:val="00723196"/>
    <w:rsid w:val="00723232"/>
    <w:rsid w:val="00723424"/>
    <w:rsid w:val="00723576"/>
    <w:rsid w:val="00723669"/>
    <w:rsid w:val="0072367F"/>
    <w:rsid w:val="00723ADF"/>
    <w:rsid w:val="00723B71"/>
    <w:rsid w:val="00723BC2"/>
    <w:rsid w:val="00723C52"/>
    <w:rsid w:val="00723C9A"/>
    <w:rsid w:val="00723CC9"/>
    <w:rsid w:val="00723D4F"/>
    <w:rsid w:val="00723E60"/>
    <w:rsid w:val="00723E6C"/>
    <w:rsid w:val="00723ECF"/>
    <w:rsid w:val="00724151"/>
    <w:rsid w:val="007242D2"/>
    <w:rsid w:val="00724436"/>
    <w:rsid w:val="007246C9"/>
    <w:rsid w:val="007248F4"/>
    <w:rsid w:val="00724DA9"/>
    <w:rsid w:val="00724DC9"/>
    <w:rsid w:val="00725504"/>
    <w:rsid w:val="0072576E"/>
    <w:rsid w:val="00725A02"/>
    <w:rsid w:val="00725B3B"/>
    <w:rsid w:val="00725CD2"/>
    <w:rsid w:val="00725F6D"/>
    <w:rsid w:val="00725F8E"/>
    <w:rsid w:val="007260BE"/>
    <w:rsid w:val="0072610F"/>
    <w:rsid w:val="0072621F"/>
    <w:rsid w:val="0072622E"/>
    <w:rsid w:val="0072638E"/>
    <w:rsid w:val="00726444"/>
    <w:rsid w:val="0072682B"/>
    <w:rsid w:val="00726987"/>
    <w:rsid w:val="00726A47"/>
    <w:rsid w:val="00726AC5"/>
    <w:rsid w:val="00726CCB"/>
    <w:rsid w:val="00726FBF"/>
    <w:rsid w:val="0072759E"/>
    <w:rsid w:val="0072766B"/>
    <w:rsid w:val="0072784C"/>
    <w:rsid w:val="00727A7F"/>
    <w:rsid w:val="00727AF6"/>
    <w:rsid w:val="00727E26"/>
    <w:rsid w:val="00730236"/>
    <w:rsid w:val="007304B8"/>
    <w:rsid w:val="007304C5"/>
    <w:rsid w:val="007305CF"/>
    <w:rsid w:val="00730687"/>
    <w:rsid w:val="00730775"/>
    <w:rsid w:val="007307B2"/>
    <w:rsid w:val="00730800"/>
    <w:rsid w:val="0073087A"/>
    <w:rsid w:val="007308E6"/>
    <w:rsid w:val="007309CB"/>
    <w:rsid w:val="00730BB7"/>
    <w:rsid w:val="00730FAC"/>
    <w:rsid w:val="007311FD"/>
    <w:rsid w:val="0073136B"/>
    <w:rsid w:val="007314C6"/>
    <w:rsid w:val="00731509"/>
    <w:rsid w:val="00731612"/>
    <w:rsid w:val="007317C6"/>
    <w:rsid w:val="007319C4"/>
    <w:rsid w:val="00731A7C"/>
    <w:rsid w:val="00731AF0"/>
    <w:rsid w:val="00731C76"/>
    <w:rsid w:val="00731C9A"/>
    <w:rsid w:val="00731E08"/>
    <w:rsid w:val="00732059"/>
    <w:rsid w:val="007320A7"/>
    <w:rsid w:val="00732479"/>
    <w:rsid w:val="007324D2"/>
    <w:rsid w:val="00732999"/>
    <w:rsid w:val="00732B7F"/>
    <w:rsid w:val="00732CF8"/>
    <w:rsid w:val="00732D1E"/>
    <w:rsid w:val="00732F7F"/>
    <w:rsid w:val="00733112"/>
    <w:rsid w:val="007332C8"/>
    <w:rsid w:val="007335C3"/>
    <w:rsid w:val="00733665"/>
    <w:rsid w:val="007336BB"/>
    <w:rsid w:val="0073375D"/>
    <w:rsid w:val="00733822"/>
    <w:rsid w:val="00733873"/>
    <w:rsid w:val="00733A08"/>
    <w:rsid w:val="00733A16"/>
    <w:rsid w:val="00733DF4"/>
    <w:rsid w:val="00734419"/>
    <w:rsid w:val="0073447A"/>
    <w:rsid w:val="00734549"/>
    <w:rsid w:val="00734680"/>
    <w:rsid w:val="007346BA"/>
    <w:rsid w:val="007347AE"/>
    <w:rsid w:val="00734869"/>
    <w:rsid w:val="0073488E"/>
    <w:rsid w:val="00734950"/>
    <w:rsid w:val="00734A49"/>
    <w:rsid w:val="00734AA7"/>
    <w:rsid w:val="00734B67"/>
    <w:rsid w:val="00734C05"/>
    <w:rsid w:val="00734D97"/>
    <w:rsid w:val="00734E61"/>
    <w:rsid w:val="0073508D"/>
    <w:rsid w:val="0073528C"/>
    <w:rsid w:val="007354FC"/>
    <w:rsid w:val="00735603"/>
    <w:rsid w:val="00735618"/>
    <w:rsid w:val="00735635"/>
    <w:rsid w:val="007357E0"/>
    <w:rsid w:val="007358ED"/>
    <w:rsid w:val="00735AE6"/>
    <w:rsid w:val="00735ECB"/>
    <w:rsid w:val="00736072"/>
    <w:rsid w:val="007365AD"/>
    <w:rsid w:val="0073672A"/>
    <w:rsid w:val="007367AA"/>
    <w:rsid w:val="00736EAC"/>
    <w:rsid w:val="00737256"/>
    <w:rsid w:val="0073737B"/>
    <w:rsid w:val="007374D8"/>
    <w:rsid w:val="00737556"/>
    <w:rsid w:val="00737724"/>
    <w:rsid w:val="0073773E"/>
    <w:rsid w:val="0073774B"/>
    <w:rsid w:val="0073793C"/>
    <w:rsid w:val="007379DD"/>
    <w:rsid w:val="00737B16"/>
    <w:rsid w:val="00737E5B"/>
    <w:rsid w:val="00740185"/>
    <w:rsid w:val="0074052A"/>
    <w:rsid w:val="007405AE"/>
    <w:rsid w:val="007405AF"/>
    <w:rsid w:val="00740663"/>
    <w:rsid w:val="00740B93"/>
    <w:rsid w:val="00740BB9"/>
    <w:rsid w:val="00740C19"/>
    <w:rsid w:val="00740EE5"/>
    <w:rsid w:val="00740F2C"/>
    <w:rsid w:val="00740F74"/>
    <w:rsid w:val="00741146"/>
    <w:rsid w:val="00741222"/>
    <w:rsid w:val="0074134D"/>
    <w:rsid w:val="007414CA"/>
    <w:rsid w:val="0074155D"/>
    <w:rsid w:val="0074156E"/>
    <w:rsid w:val="0074176F"/>
    <w:rsid w:val="007417AA"/>
    <w:rsid w:val="007418CB"/>
    <w:rsid w:val="0074194B"/>
    <w:rsid w:val="00741973"/>
    <w:rsid w:val="007419FE"/>
    <w:rsid w:val="00741A56"/>
    <w:rsid w:val="00741AE5"/>
    <w:rsid w:val="00741CBA"/>
    <w:rsid w:val="00741E6F"/>
    <w:rsid w:val="0074204D"/>
    <w:rsid w:val="00742127"/>
    <w:rsid w:val="0074230E"/>
    <w:rsid w:val="00742363"/>
    <w:rsid w:val="00742371"/>
    <w:rsid w:val="0074240C"/>
    <w:rsid w:val="00742498"/>
    <w:rsid w:val="0074255C"/>
    <w:rsid w:val="0074256E"/>
    <w:rsid w:val="0074262B"/>
    <w:rsid w:val="00742755"/>
    <w:rsid w:val="00742837"/>
    <w:rsid w:val="00742C3A"/>
    <w:rsid w:val="00742D98"/>
    <w:rsid w:val="00742F11"/>
    <w:rsid w:val="00742FCF"/>
    <w:rsid w:val="00743044"/>
    <w:rsid w:val="007430D6"/>
    <w:rsid w:val="00743800"/>
    <w:rsid w:val="007438D0"/>
    <w:rsid w:val="007439A0"/>
    <w:rsid w:val="00743CFB"/>
    <w:rsid w:val="007441AC"/>
    <w:rsid w:val="00744386"/>
    <w:rsid w:val="0074440F"/>
    <w:rsid w:val="00744849"/>
    <w:rsid w:val="00744A3A"/>
    <w:rsid w:val="00744CE8"/>
    <w:rsid w:val="00744E38"/>
    <w:rsid w:val="00744E4E"/>
    <w:rsid w:val="00744E9D"/>
    <w:rsid w:val="00744FB5"/>
    <w:rsid w:val="007450E8"/>
    <w:rsid w:val="00745230"/>
    <w:rsid w:val="007452F5"/>
    <w:rsid w:val="007453BC"/>
    <w:rsid w:val="0074573A"/>
    <w:rsid w:val="0074591B"/>
    <w:rsid w:val="00745BBB"/>
    <w:rsid w:val="00745C9E"/>
    <w:rsid w:val="00745F63"/>
    <w:rsid w:val="00746005"/>
    <w:rsid w:val="007461CD"/>
    <w:rsid w:val="00746383"/>
    <w:rsid w:val="007463DA"/>
    <w:rsid w:val="00746919"/>
    <w:rsid w:val="007469BE"/>
    <w:rsid w:val="00746C80"/>
    <w:rsid w:val="00746EBB"/>
    <w:rsid w:val="0074710A"/>
    <w:rsid w:val="00747133"/>
    <w:rsid w:val="00747234"/>
    <w:rsid w:val="00747247"/>
    <w:rsid w:val="0074730A"/>
    <w:rsid w:val="00747328"/>
    <w:rsid w:val="0074733A"/>
    <w:rsid w:val="007473C5"/>
    <w:rsid w:val="007474C9"/>
    <w:rsid w:val="0074752A"/>
    <w:rsid w:val="0074767C"/>
    <w:rsid w:val="007478E8"/>
    <w:rsid w:val="00747AC1"/>
    <w:rsid w:val="0075009C"/>
    <w:rsid w:val="007502D8"/>
    <w:rsid w:val="00750A97"/>
    <w:rsid w:val="00750B1D"/>
    <w:rsid w:val="00750DCF"/>
    <w:rsid w:val="00750FF4"/>
    <w:rsid w:val="00750FF7"/>
    <w:rsid w:val="00751082"/>
    <w:rsid w:val="007511CF"/>
    <w:rsid w:val="00751290"/>
    <w:rsid w:val="007513FA"/>
    <w:rsid w:val="007515F6"/>
    <w:rsid w:val="00751756"/>
    <w:rsid w:val="00751986"/>
    <w:rsid w:val="00751A6F"/>
    <w:rsid w:val="00751A9B"/>
    <w:rsid w:val="00751CD1"/>
    <w:rsid w:val="00751D3C"/>
    <w:rsid w:val="007522CF"/>
    <w:rsid w:val="00752331"/>
    <w:rsid w:val="007529AE"/>
    <w:rsid w:val="00752B86"/>
    <w:rsid w:val="00752F7D"/>
    <w:rsid w:val="00753097"/>
    <w:rsid w:val="007531B2"/>
    <w:rsid w:val="007533BF"/>
    <w:rsid w:val="00753413"/>
    <w:rsid w:val="0075358B"/>
    <w:rsid w:val="00753966"/>
    <w:rsid w:val="007539C6"/>
    <w:rsid w:val="00753B70"/>
    <w:rsid w:val="00753F7D"/>
    <w:rsid w:val="00753FF2"/>
    <w:rsid w:val="00754225"/>
    <w:rsid w:val="0075432F"/>
    <w:rsid w:val="00754354"/>
    <w:rsid w:val="00754554"/>
    <w:rsid w:val="00754692"/>
    <w:rsid w:val="007548CB"/>
    <w:rsid w:val="00754AA1"/>
    <w:rsid w:val="007554F7"/>
    <w:rsid w:val="007558A0"/>
    <w:rsid w:val="007559E5"/>
    <w:rsid w:val="00755B5E"/>
    <w:rsid w:val="00755FE5"/>
    <w:rsid w:val="00756071"/>
    <w:rsid w:val="00756231"/>
    <w:rsid w:val="00756415"/>
    <w:rsid w:val="007564CD"/>
    <w:rsid w:val="007567B0"/>
    <w:rsid w:val="007567C3"/>
    <w:rsid w:val="007567E3"/>
    <w:rsid w:val="007568BA"/>
    <w:rsid w:val="0075699F"/>
    <w:rsid w:val="00756B93"/>
    <w:rsid w:val="00756C1D"/>
    <w:rsid w:val="00756CD2"/>
    <w:rsid w:val="00756DAB"/>
    <w:rsid w:val="00756E3E"/>
    <w:rsid w:val="007570D9"/>
    <w:rsid w:val="00757129"/>
    <w:rsid w:val="00757837"/>
    <w:rsid w:val="00757857"/>
    <w:rsid w:val="007579CF"/>
    <w:rsid w:val="00757A76"/>
    <w:rsid w:val="00757C3D"/>
    <w:rsid w:val="00757EAB"/>
    <w:rsid w:val="00757EB1"/>
    <w:rsid w:val="00760187"/>
    <w:rsid w:val="00760369"/>
    <w:rsid w:val="00760613"/>
    <w:rsid w:val="00760959"/>
    <w:rsid w:val="00760A86"/>
    <w:rsid w:val="00760CEF"/>
    <w:rsid w:val="00760FF2"/>
    <w:rsid w:val="0076131D"/>
    <w:rsid w:val="007613AA"/>
    <w:rsid w:val="007617C1"/>
    <w:rsid w:val="00761986"/>
    <w:rsid w:val="00761AB5"/>
    <w:rsid w:val="00761AC9"/>
    <w:rsid w:val="00761C79"/>
    <w:rsid w:val="00761D0B"/>
    <w:rsid w:val="00761DED"/>
    <w:rsid w:val="007620E7"/>
    <w:rsid w:val="007622C5"/>
    <w:rsid w:val="00762430"/>
    <w:rsid w:val="00762514"/>
    <w:rsid w:val="0076261A"/>
    <w:rsid w:val="00762852"/>
    <w:rsid w:val="00762C03"/>
    <w:rsid w:val="00762F18"/>
    <w:rsid w:val="00763117"/>
    <w:rsid w:val="007633D0"/>
    <w:rsid w:val="00763798"/>
    <w:rsid w:val="007637C3"/>
    <w:rsid w:val="00763956"/>
    <w:rsid w:val="00763AB5"/>
    <w:rsid w:val="00763B4E"/>
    <w:rsid w:val="00763BAC"/>
    <w:rsid w:val="00763C3D"/>
    <w:rsid w:val="00763E90"/>
    <w:rsid w:val="0076417E"/>
    <w:rsid w:val="0076423D"/>
    <w:rsid w:val="00764288"/>
    <w:rsid w:val="00764545"/>
    <w:rsid w:val="00764764"/>
    <w:rsid w:val="007647E2"/>
    <w:rsid w:val="0076490A"/>
    <w:rsid w:val="00764912"/>
    <w:rsid w:val="00764BE0"/>
    <w:rsid w:val="00764E79"/>
    <w:rsid w:val="00764FEF"/>
    <w:rsid w:val="007655F9"/>
    <w:rsid w:val="007656FA"/>
    <w:rsid w:val="00765867"/>
    <w:rsid w:val="00765954"/>
    <w:rsid w:val="00765DA2"/>
    <w:rsid w:val="00766127"/>
    <w:rsid w:val="00766391"/>
    <w:rsid w:val="0076657F"/>
    <w:rsid w:val="00766625"/>
    <w:rsid w:val="0076664C"/>
    <w:rsid w:val="00766658"/>
    <w:rsid w:val="0076671C"/>
    <w:rsid w:val="007668E2"/>
    <w:rsid w:val="007669DA"/>
    <w:rsid w:val="00766A77"/>
    <w:rsid w:val="00766ADC"/>
    <w:rsid w:val="00766CC7"/>
    <w:rsid w:val="00766D5B"/>
    <w:rsid w:val="00766F89"/>
    <w:rsid w:val="00767455"/>
    <w:rsid w:val="007676DA"/>
    <w:rsid w:val="007677B1"/>
    <w:rsid w:val="00767A2A"/>
    <w:rsid w:val="00767BBE"/>
    <w:rsid w:val="00767E81"/>
    <w:rsid w:val="00767F9C"/>
    <w:rsid w:val="00770261"/>
    <w:rsid w:val="0077059B"/>
    <w:rsid w:val="00770628"/>
    <w:rsid w:val="00770839"/>
    <w:rsid w:val="00770915"/>
    <w:rsid w:val="00770952"/>
    <w:rsid w:val="00770A5A"/>
    <w:rsid w:val="00770AA0"/>
    <w:rsid w:val="00770AB1"/>
    <w:rsid w:val="00770D63"/>
    <w:rsid w:val="00770DAE"/>
    <w:rsid w:val="00770F59"/>
    <w:rsid w:val="00770F8C"/>
    <w:rsid w:val="00770FF9"/>
    <w:rsid w:val="00771416"/>
    <w:rsid w:val="00771549"/>
    <w:rsid w:val="007715F9"/>
    <w:rsid w:val="00771745"/>
    <w:rsid w:val="00771789"/>
    <w:rsid w:val="007718BD"/>
    <w:rsid w:val="00771910"/>
    <w:rsid w:val="00771968"/>
    <w:rsid w:val="00771B75"/>
    <w:rsid w:val="00771BA5"/>
    <w:rsid w:val="00771BE3"/>
    <w:rsid w:val="00771C1F"/>
    <w:rsid w:val="00771C49"/>
    <w:rsid w:val="00771DBA"/>
    <w:rsid w:val="00771DC4"/>
    <w:rsid w:val="00771F71"/>
    <w:rsid w:val="007721A4"/>
    <w:rsid w:val="007729EC"/>
    <w:rsid w:val="00772EA5"/>
    <w:rsid w:val="00772F9F"/>
    <w:rsid w:val="00773103"/>
    <w:rsid w:val="0077322E"/>
    <w:rsid w:val="00773329"/>
    <w:rsid w:val="00773344"/>
    <w:rsid w:val="0077334E"/>
    <w:rsid w:val="007735FC"/>
    <w:rsid w:val="00773A61"/>
    <w:rsid w:val="00773AA1"/>
    <w:rsid w:val="00773DB2"/>
    <w:rsid w:val="00773E54"/>
    <w:rsid w:val="00773F06"/>
    <w:rsid w:val="00774093"/>
    <w:rsid w:val="007740A5"/>
    <w:rsid w:val="007740C5"/>
    <w:rsid w:val="00774169"/>
    <w:rsid w:val="00774187"/>
    <w:rsid w:val="0077430B"/>
    <w:rsid w:val="0077460A"/>
    <w:rsid w:val="0077461F"/>
    <w:rsid w:val="00774630"/>
    <w:rsid w:val="00774912"/>
    <w:rsid w:val="00774952"/>
    <w:rsid w:val="00774A83"/>
    <w:rsid w:val="00774A8D"/>
    <w:rsid w:val="00774B70"/>
    <w:rsid w:val="00774E70"/>
    <w:rsid w:val="00774E74"/>
    <w:rsid w:val="00775002"/>
    <w:rsid w:val="007754EF"/>
    <w:rsid w:val="00775520"/>
    <w:rsid w:val="007758E8"/>
    <w:rsid w:val="00775B41"/>
    <w:rsid w:val="00775BE8"/>
    <w:rsid w:val="00775C28"/>
    <w:rsid w:val="00775CF5"/>
    <w:rsid w:val="00775CF6"/>
    <w:rsid w:val="00776262"/>
    <w:rsid w:val="007762E1"/>
    <w:rsid w:val="0077632E"/>
    <w:rsid w:val="0077638B"/>
    <w:rsid w:val="0077642C"/>
    <w:rsid w:val="007765EB"/>
    <w:rsid w:val="00776684"/>
    <w:rsid w:val="007769EC"/>
    <w:rsid w:val="00776C79"/>
    <w:rsid w:val="00776CB7"/>
    <w:rsid w:val="00776D49"/>
    <w:rsid w:val="007770BA"/>
    <w:rsid w:val="00777107"/>
    <w:rsid w:val="00777796"/>
    <w:rsid w:val="00777CA1"/>
    <w:rsid w:val="00777D32"/>
    <w:rsid w:val="00777D71"/>
    <w:rsid w:val="00777DFC"/>
    <w:rsid w:val="00777E04"/>
    <w:rsid w:val="007803E2"/>
    <w:rsid w:val="007803F3"/>
    <w:rsid w:val="00780630"/>
    <w:rsid w:val="00780783"/>
    <w:rsid w:val="00780962"/>
    <w:rsid w:val="007809F0"/>
    <w:rsid w:val="00780ACC"/>
    <w:rsid w:val="00780B43"/>
    <w:rsid w:val="00780C28"/>
    <w:rsid w:val="00780ECF"/>
    <w:rsid w:val="00780ED1"/>
    <w:rsid w:val="00780F51"/>
    <w:rsid w:val="00781037"/>
    <w:rsid w:val="00781630"/>
    <w:rsid w:val="007816CD"/>
    <w:rsid w:val="007817D4"/>
    <w:rsid w:val="00781DDE"/>
    <w:rsid w:val="00781FE4"/>
    <w:rsid w:val="007820F5"/>
    <w:rsid w:val="0078217C"/>
    <w:rsid w:val="00782441"/>
    <w:rsid w:val="00782656"/>
    <w:rsid w:val="007828D4"/>
    <w:rsid w:val="007829AD"/>
    <w:rsid w:val="00782AFC"/>
    <w:rsid w:val="00782BC0"/>
    <w:rsid w:val="00782C3A"/>
    <w:rsid w:val="00782D75"/>
    <w:rsid w:val="007830B1"/>
    <w:rsid w:val="007831AE"/>
    <w:rsid w:val="00783576"/>
    <w:rsid w:val="007836A3"/>
    <w:rsid w:val="0078372F"/>
    <w:rsid w:val="007837EB"/>
    <w:rsid w:val="00783A08"/>
    <w:rsid w:val="00783A69"/>
    <w:rsid w:val="00783B65"/>
    <w:rsid w:val="00783CE5"/>
    <w:rsid w:val="00783F5F"/>
    <w:rsid w:val="007840BE"/>
    <w:rsid w:val="007841B0"/>
    <w:rsid w:val="0078441C"/>
    <w:rsid w:val="00784441"/>
    <w:rsid w:val="00784468"/>
    <w:rsid w:val="007844E7"/>
    <w:rsid w:val="007848C2"/>
    <w:rsid w:val="00784BCD"/>
    <w:rsid w:val="00784CB2"/>
    <w:rsid w:val="00784F90"/>
    <w:rsid w:val="0078514A"/>
    <w:rsid w:val="00785387"/>
    <w:rsid w:val="007854E7"/>
    <w:rsid w:val="007855BD"/>
    <w:rsid w:val="007858A5"/>
    <w:rsid w:val="00785B19"/>
    <w:rsid w:val="00785CFE"/>
    <w:rsid w:val="00785D31"/>
    <w:rsid w:val="00785EB6"/>
    <w:rsid w:val="007860F0"/>
    <w:rsid w:val="007861C7"/>
    <w:rsid w:val="0078694C"/>
    <w:rsid w:val="00786B97"/>
    <w:rsid w:val="00786C73"/>
    <w:rsid w:val="00786DD5"/>
    <w:rsid w:val="00786FE5"/>
    <w:rsid w:val="0078700F"/>
    <w:rsid w:val="00787141"/>
    <w:rsid w:val="007873AB"/>
    <w:rsid w:val="0078751F"/>
    <w:rsid w:val="007875CB"/>
    <w:rsid w:val="00787701"/>
    <w:rsid w:val="00787861"/>
    <w:rsid w:val="00787863"/>
    <w:rsid w:val="00787E28"/>
    <w:rsid w:val="00787E54"/>
    <w:rsid w:val="00787EBB"/>
    <w:rsid w:val="00787F7C"/>
    <w:rsid w:val="00790086"/>
    <w:rsid w:val="007901F5"/>
    <w:rsid w:val="007901FC"/>
    <w:rsid w:val="00790560"/>
    <w:rsid w:val="00790690"/>
    <w:rsid w:val="007906A4"/>
    <w:rsid w:val="00790730"/>
    <w:rsid w:val="007908E7"/>
    <w:rsid w:val="0079094B"/>
    <w:rsid w:val="00790E13"/>
    <w:rsid w:val="0079131F"/>
    <w:rsid w:val="007914AB"/>
    <w:rsid w:val="007914FE"/>
    <w:rsid w:val="007915A7"/>
    <w:rsid w:val="0079185F"/>
    <w:rsid w:val="00791878"/>
    <w:rsid w:val="007918FD"/>
    <w:rsid w:val="0079194C"/>
    <w:rsid w:val="007919D7"/>
    <w:rsid w:val="00791A35"/>
    <w:rsid w:val="00791B42"/>
    <w:rsid w:val="00791D9C"/>
    <w:rsid w:val="00791F86"/>
    <w:rsid w:val="0079207A"/>
    <w:rsid w:val="007920CA"/>
    <w:rsid w:val="00792491"/>
    <w:rsid w:val="0079251F"/>
    <w:rsid w:val="007925E9"/>
    <w:rsid w:val="00792828"/>
    <w:rsid w:val="00792844"/>
    <w:rsid w:val="0079286D"/>
    <w:rsid w:val="007929DD"/>
    <w:rsid w:val="00792B43"/>
    <w:rsid w:val="00792B8E"/>
    <w:rsid w:val="00792D7F"/>
    <w:rsid w:val="0079312C"/>
    <w:rsid w:val="00793157"/>
    <w:rsid w:val="00793467"/>
    <w:rsid w:val="00793708"/>
    <w:rsid w:val="007939A0"/>
    <w:rsid w:val="00793A8E"/>
    <w:rsid w:val="00793B96"/>
    <w:rsid w:val="00793E87"/>
    <w:rsid w:val="00793ECB"/>
    <w:rsid w:val="00793F4A"/>
    <w:rsid w:val="007940B6"/>
    <w:rsid w:val="007944A3"/>
    <w:rsid w:val="00794683"/>
    <w:rsid w:val="00794794"/>
    <w:rsid w:val="007948F6"/>
    <w:rsid w:val="00794AB0"/>
    <w:rsid w:val="00794AC0"/>
    <w:rsid w:val="00794C43"/>
    <w:rsid w:val="00794DB0"/>
    <w:rsid w:val="00794E28"/>
    <w:rsid w:val="00794FB1"/>
    <w:rsid w:val="00794FDE"/>
    <w:rsid w:val="00794FE3"/>
    <w:rsid w:val="0079507D"/>
    <w:rsid w:val="007951FF"/>
    <w:rsid w:val="00795278"/>
    <w:rsid w:val="00795508"/>
    <w:rsid w:val="0079571B"/>
    <w:rsid w:val="00795BB3"/>
    <w:rsid w:val="00795BCA"/>
    <w:rsid w:val="00795D17"/>
    <w:rsid w:val="00795EC8"/>
    <w:rsid w:val="007961AE"/>
    <w:rsid w:val="007963DC"/>
    <w:rsid w:val="007963FB"/>
    <w:rsid w:val="00796442"/>
    <w:rsid w:val="007966E0"/>
    <w:rsid w:val="007968B0"/>
    <w:rsid w:val="00796918"/>
    <w:rsid w:val="00796940"/>
    <w:rsid w:val="00796B99"/>
    <w:rsid w:val="00796C95"/>
    <w:rsid w:val="00796CF0"/>
    <w:rsid w:val="00796DAC"/>
    <w:rsid w:val="00796E4A"/>
    <w:rsid w:val="00796FF2"/>
    <w:rsid w:val="007971B1"/>
    <w:rsid w:val="007972F3"/>
    <w:rsid w:val="007976C4"/>
    <w:rsid w:val="00797C5A"/>
    <w:rsid w:val="00797F58"/>
    <w:rsid w:val="00797FCB"/>
    <w:rsid w:val="007A0254"/>
    <w:rsid w:val="007A045A"/>
    <w:rsid w:val="007A04AF"/>
    <w:rsid w:val="007A04F7"/>
    <w:rsid w:val="007A0783"/>
    <w:rsid w:val="007A07B5"/>
    <w:rsid w:val="007A08B3"/>
    <w:rsid w:val="007A0B7D"/>
    <w:rsid w:val="007A0CCE"/>
    <w:rsid w:val="007A0D15"/>
    <w:rsid w:val="007A0DD8"/>
    <w:rsid w:val="007A0DEC"/>
    <w:rsid w:val="007A0DFC"/>
    <w:rsid w:val="007A0E04"/>
    <w:rsid w:val="007A0F1D"/>
    <w:rsid w:val="007A140F"/>
    <w:rsid w:val="007A142F"/>
    <w:rsid w:val="007A153C"/>
    <w:rsid w:val="007A154E"/>
    <w:rsid w:val="007A16F8"/>
    <w:rsid w:val="007A17E7"/>
    <w:rsid w:val="007A1AE8"/>
    <w:rsid w:val="007A218C"/>
    <w:rsid w:val="007A22BC"/>
    <w:rsid w:val="007A2311"/>
    <w:rsid w:val="007A2663"/>
    <w:rsid w:val="007A29F3"/>
    <w:rsid w:val="007A2A80"/>
    <w:rsid w:val="007A2BB1"/>
    <w:rsid w:val="007A2EC6"/>
    <w:rsid w:val="007A2F86"/>
    <w:rsid w:val="007A2F9B"/>
    <w:rsid w:val="007A30FC"/>
    <w:rsid w:val="007A3148"/>
    <w:rsid w:val="007A3224"/>
    <w:rsid w:val="007A35C7"/>
    <w:rsid w:val="007A3618"/>
    <w:rsid w:val="007A3630"/>
    <w:rsid w:val="007A3724"/>
    <w:rsid w:val="007A38C4"/>
    <w:rsid w:val="007A38D8"/>
    <w:rsid w:val="007A39D2"/>
    <w:rsid w:val="007A39D5"/>
    <w:rsid w:val="007A3A24"/>
    <w:rsid w:val="007A3B0A"/>
    <w:rsid w:val="007A3C3E"/>
    <w:rsid w:val="007A3C59"/>
    <w:rsid w:val="007A3CB1"/>
    <w:rsid w:val="007A4150"/>
    <w:rsid w:val="007A4866"/>
    <w:rsid w:val="007A48E3"/>
    <w:rsid w:val="007A4A83"/>
    <w:rsid w:val="007A4BBF"/>
    <w:rsid w:val="007A4EE0"/>
    <w:rsid w:val="007A54C0"/>
    <w:rsid w:val="007A55EB"/>
    <w:rsid w:val="007A5651"/>
    <w:rsid w:val="007A5850"/>
    <w:rsid w:val="007A58AD"/>
    <w:rsid w:val="007A5A2E"/>
    <w:rsid w:val="007A5DDF"/>
    <w:rsid w:val="007A6160"/>
    <w:rsid w:val="007A616C"/>
    <w:rsid w:val="007A631D"/>
    <w:rsid w:val="007A674F"/>
    <w:rsid w:val="007A67AF"/>
    <w:rsid w:val="007A67E2"/>
    <w:rsid w:val="007A680D"/>
    <w:rsid w:val="007A6877"/>
    <w:rsid w:val="007A68F5"/>
    <w:rsid w:val="007A69AA"/>
    <w:rsid w:val="007A6A7B"/>
    <w:rsid w:val="007A6B54"/>
    <w:rsid w:val="007A71D6"/>
    <w:rsid w:val="007A721C"/>
    <w:rsid w:val="007A745E"/>
    <w:rsid w:val="007A7467"/>
    <w:rsid w:val="007A767E"/>
    <w:rsid w:val="007A7887"/>
    <w:rsid w:val="007A7A81"/>
    <w:rsid w:val="007A7C7F"/>
    <w:rsid w:val="007A7ED2"/>
    <w:rsid w:val="007A7F9A"/>
    <w:rsid w:val="007B0016"/>
    <w:rsid w:val="007B01FC"/>
    <w:rsid w:val="007B0361"/>
    <w:rsid w:val="007B06CE"/>
    <w:rsid w:val="007B074C"/>
    <w:rsid w:val="007B0989"/>
    <w:rsid w:val="007B0A15"/>
    <w:rsid w:val="007B0C84"/>
    <w:rsid w:val="007B0C8C"/>
    <w:rsid w:val="007B0CC4"/>
    <w:rsid w:val="007B0D28"/>
    <w:rsid w:val="007B0D67"/>
    <w:rsid w:val="007B0DC5"/>
    <w:rsid w:val="007B0FCF"/>
    <w:rsid w:val="007B10AB"/>
    <w:rsid w:val="007B113C"/>
    <w:rsid w:val="007B127D"/>
    <w:rsid w:val="007B1695"/>
    <w:rsid w:val="007B179A"/>
    <w:rsid w:val="007B189A"/>
    <w:rsid w:val="007B18C6"/>
    <w:rsid w:val="007B1B3E"/>
    <w:rsid w:val="007B1B97"/>
    <w:rsid w:val="007B216C"/>
    <w:rsid w:val="007B239E"/>
    <w:rsid w:val="007B2494"/>
    <w:rsid w:val="007B2571"/>
    <w:rsid w:val="007B26E6"/>
    <w:rsid w:val="007B27A3"/>
    <w:rsid w:val="007B298C"/>
    <w:rsid w:val="007B2CD7"/>
    <w:rsid w:val="007B2D25"/>
    <w:rsid w:val="007B2E0B"/>
    <w:rsid w:val="007B3156"/>
    <w:rsid w:val="007B34DD"/>
    <w:rsid w:val="007B34FD"/>
    <w:rsid w:val="007B35C7"/>
    <w:rsid w:val="007B3D01"/>
    <w:rsid w:val="007B3D4E"/>
    <w:rsid w:val="007B426F"/>
    <w:rsid w:val="007B4424"/>
    <w:rsid w:val="007B4698"/>
    <w:rsid w:val="007B46E9"/>
    <w:rsid w:val="007B477F"/>
    <w:rsid w:val="007B4A67"/>
    <w:rsid w:val="007B4AA9"/>
    <w:rsid w:val="007B4C8B"/>
    <w:rsid w:val="007B4E3E"/>
    <w:rsid w:val="007B4E56"/>
    <w:rsid w:val="007B5011"/>
    <w:rsid w:val="007B5013"/>
    <w:rsid w:val="007B50C0"/>
    <w:rsid w:val="007B512F"/>
    <w:rsid w:val="007B5257"/>
    <w:rsid w:val="007B5258"/>
    <w:rsid w:val="007B5302"/>
    <w:rsid w:val="007B5710"/>
    <w:rsid w:val="007B586D"/>
    <w:rsid w:val="007B59FD"/>
    <w:rsid w:val="007B5B44"/>
    <w:rsid w:val="007B5B79"/>
    <w:rsid w:val="007B5E4D"/>
    <w:rsid w:val="007B601B"/>
    <w:rsid w:val="007B60D0"/>
    <w:rsid w:val="007B633B"/>
    <w:rsid w:val="007B63C5"/>
    <w:rsid w:val="007B63F1"/>
    <w:rsid w:val="007B65E8"/>
    <w:rsid w:val="007B6713"/>
    <w:rsid w:val="007B68D3"/>
    <w:rsid w:val="007B6908"/>
    <w:rsid w:val="007B69ED"/>
    <w:rsid w:val="007B6A39"/>
    <w:rsid w:val="007B6B5F"/>
    <w:rsid w:val="007B6E2A"/>
    <w:rsid w:val="007B6FED"/>
    <w:rsid w:val="007B707F"/>
    <w:rsid w:val="007B714D"/>
    <w:rsid w:val="007B7210"/>
    <w:rsid w:val="007B7346"/>
    <w:rsid w:val="007B73CC"/>
    <w:rsid w:val="007B7507"/>
    <w:rsid w:val="007B75BE"/>
    <w:rsid w:val="007B7A83"/>
    <w:rsid w:val="007B7AE8"/>
    <w:rsid w:val="007B7CC4"/>
    <w:rsid w:val="007B7D13"/>
    <w:rsid w:val="007C018E"/>
    <w:rsid w:val="007C0365"/>
    <w:rsid w:val="007C0682"/>
    <w:rsid w:val="007C06CC"/>
    <w:rsid w:val="007C07D3"/>
    <w:rsid w:val="007C0A7D"/>
    <w:rsid w:val="007C0BD6"/>
    <w:rsid w:val="007C0D63"/>
    <w:rsid w:val="007C10F3"/>
    <w:rsid w:val="007C146F"/>
    <w:rsid w:val="007C1566"/>
    <w:rsid w:val="007C15C0"/>
    <w:rsid w:val="007C15E7"/>
    <w:rsid w:val="007C17B5"/>
    <w:rsid w:val="007C1BBA"/>
    <w:rsid w:val="007C1BE5"/>
    <w:rsid w:val="007C1C2E"/>
    <w:rsid w:val="007C20E5"/>
    <w:rsid w:val="007C22C3"/>
    <w:rsid w:val="007C2484"/>
    <w:rsid w:val="007C25E9"/>
    <w:rsid w:val="007C28FF"/>
    <w:rsid w:val="007C2A32"/>
    <w:rsid w:val="007C2FBE"/>
    <w:rsid w:val="007C2FC7"/>
    <w:rsid w:val="007C2FDF"/>
    <w:rsid w:val="007C30C9"/>
    <w:rsid w:val="007C31E2"/>
    <w:rsid w:val="007C3286"/>
    <w:rsid w:val="007C3633"/>
    <w:rsid w:val="007C39B7"/>
    <w:rsid w:val="007C39EE"/>
    <w:rsid w:val="007C39F2"/>
    <w:rsid w:val="007C3A29"/>
    <w:rsid w:val="007C4037"/>
    <w:rsid w:val="007C407D"/>
    <w:rsid w:val="007C42E1"/>
    <w:rsid w:val="007C4460"/>
    <w:rsid w:val="007C4682"/>
    <w:rsid w:val="007C4BE0"/>
    <w:rsid w:val="007C4C1A"/>
    <w:rsid w:val="007C4CC2"/>
    <w:rsid w:val="007C4CCC"/>
    <w:rsid w:val="007C4F2B"/>
    <w:rsid w:val="007C52A9"/>
    <w:rsid w:val="007C52C0"/>
    <w:rsid w:val="007C53B9"/>
    <w:rsid w:val="007C5900"/>
    <w:rsid w:val="007C625F"/>
    <w:rsid w:val="007C63EF"/>
    <w:rsid w:val="007C653C"/>
    <w:rsid w:val="007C691F"/>
    <w:rsid w:val="007C698D"/>
    <w:rsid w:val="007C6F23"/>
    <w:rsid w:val="007C7423"/>
    <w:rsid w:val="007C7561"/>
    <w:rsid w:val="007C7562"/>
    <w:rsid w:val="007C7617"/>
    <w:rsid w:val="007C7964"/>
    <w:rsid w:val="007C7A36"/>
    <w:rsid w:val="007C7A9E"/>
    <w:rsid w:val="007C7B88"/>
    <w:rsid w:val="007C7C59"/>
    <w:rsid w:val="007C7CE6"/>
    <w:rsid w:val="007C7D48"/>
    <w:rsid w:val="007D0045"/>
    <w:rsid w:val="007D01A0"/>
    <w:rsid w:val="007D0323"/>
    <w:rsid w:val="007D04D4"/>
    <w:rsid w:val="007D058F"/>
    <w:rsid w:val="007D05A2"/>
    <w:rsid w:val="007D063E"/>
    <w:rsid w:val="007D06A2"/>
    <w:rsid w:val="007D070D"/>
    <w:rsid w:val="007D0DE7"/>
    <w:rsid w:val="007D0F29"/>
    <w:rsid w:val="007D0FD7"/>
    <w:rsid w:val="007D1062"/>
    <w:rsid w:val="007D15B9"/>
    <w:rsid w:val="007D186B"/>
    <w:rsid w:val="007D1A4F"/>
    <w:rsid w:val="007D1BD4"/>
    <w:rsid w:val="007D1BE3"/>
    <w:rsid w:val="007D1D30"/>
    <w:rsid w:val="007D1DF4"/>
    <w:rsid w:val="007D1F94"/>
    <w:rsid w:val="007D20A1"/>
    <w:rsid w:val="007D270E"/>
    <w:rsid w:val="007D2778"/>
    <w:rsid w:val="007D289A"/>
    <w:rsid w:val="007D29EE"/>
    <w:rsid w:val="007D2A14"/>
    <w:rsid w:val="007D2B14"/>
    <w:rsid w:val="007D2BBD"/>
    <w:rsid w:val="007D2C16"/>
    <w:rsid w:val="007D305C"/>
    <w:rsid w:val="007D30F4"/>
    <w:rsid w:val="007D31BD"/>
    <w:rsid w:val="007D344F"/>
    <w:rsid w:val="007D3494"/>
    <w:rsid w:val="007D3852"/>
    <w:rsid w:val="007D3891"/>
    <w:rsid w:val="007D3B4B"/>
    <w:rsid w:val="007D3B73"/>
    <w:rsid w:val="007D3C2C"/>
    <w:rsid w:val="007D3C32"/>
    <w:rsid w:val="007D418A"/>
    <w:rsid w:val="007D4563"/>
    <w:rsid w:val="007D46B6"/>
    <w:rsid w:val="007D46EA"/>
    <w:rsid w:val="007D48D2"/>
    <w:rsid w:val="007D4925"/>
    <w:rsid w:val="007D493B"/>
    <w:rsid w:val="007D4954"/>
    <w:rsid w:val="007D4962"/>
    <w:rsid w:val="007D4B15"/>
    <w:rsid w:val="007D4C2A"/>
    <w:rsid w:val="007D4DC1"/>
    <w:rsid w:val="007D50B2"/>
    <w:rsid w:val="007D50C6"/>
    <w:rsid w:val="007D517E"/>
    <w:rsid w:val="007D5244"/>
    <w:rsid w:val="007D550E"/>
    <w:rsid w:val="007D55F5"/>
    <w:rsid w:val="007D56DD"/>
    <w:rsid w:val="007D5790"/>
    <w:rsid w:val="007D5993"/>
    <w:rsid w:val="007D59E3"/>
    <w:rsid w:val="007D5A1A"/>
    <w:rsid w:val="007D5A87"/>
    <w:rsid w:val="007D5BB4"/>
    <w:rsid w:val="007D5CBC"/>
    <w:rsid w:val="007D5E0B"/>
    <w:rsid w:val="007D5E5A"/>
    <w:rsid w:val="007D6090"/>
    <w:rsid w:val="007D60DE"/>
    <w:rsid w:val="007D6279"/>
    <w:rsid w:val="007D6416"/>
    <w:rsid w:val="007D6476"/>
    <w:rsid w:val="007D64CD"/>
    <w:rsid w:val="007D65F7"/>
    <w:rsid w:val="007D694C"/>
    <w:rsid w:val="007D69F0"/>
    <w:rsid w:val="007D6A32"/>
    <w:rsid w:val="007D6A94"/>
    <w:rsid w:val="007D6ABD"/>
    <w:rsid w:val="007D6B3A"/>
    <w:rsid w:val="007D6FED"/>
    <w:rsid w:val="007D719E"/>
    <w:rsid w:val="007D71C2"/>
    <w:rsid w:val="007D73C5"/>
    <w:rsid w:val="007D7443"/>
    <w:rsid w:val="007D7707"/>
    <w:rsid w:val="007D7739"/>
    <w:rsid w:val="007D7AE5"/>
    <w:rsid w:val="007D7BBD"/>
    <w:rsid w:val="007D7C7A"/>
    <w:rsid w:val="007D7EA3"/>
    <w:rsid w:val="007E013A"/>
    <w:rsid w:val="007E01BE"/>
    <w:rsid w:val="007E032B"/>
    <w:rsid w:val="007E058C"/>
    <w:rsid w:val="007E0665"/>
    <w:rsid w:val="007E07EA"/>
    <w:rsid w:val="007E09F3"/>
    <w:rsid w:val="007E0AEA"/>
    <w:rsid w:val="007E0B7F"/>
    <w:rsid w:val="007E0C2D"/>
    <w:rsid w:val="007E0D72"/>
    <w:rsid w:val="007E0E8A"/>
    <w:rsid w:val="007E0F89"/>
    <w:rsid w:val="007E13F6"/>
    <w:rsid w:val="007E1475"/>
    <w:rsid w:val="007E14BB"/>
    <w:rsid w:val="007E17F4"/>
    <w:rsid w:val="007E1906"/>
    <w:rsid w:val="007E1B18"/>
    <w:rsid w:val="007E1D2A"/>
    <w:rsid w:val="007E1DAD"/>
    <w:rsid w:val="007E1E24"/>
    <w:rsid w:val="007E1E4E"/>
    <w:rsid w:val="007E1F20"/>
    <w:rsid w:val="007E1FDB"/>
    <w:rsid w:val="007E22B7"/>
    <w:rsid w:val="007E2310"/>
    <w:rsid w:val="007E2709"/>
    <w:rsid w:val="007E2C46"/>
    <w:rsid w:val="007E2E47"/>
    <w:rsid w:val="007E3182"/>
    <w:rsid w:val="007E3216"/>
    <w:rsid w:val="007E32F7"/>
    <w:rsid w:val="007E3404"/>
    <w:rsid w:val="007E343F"/>
    <w:rsid w:val="007E34EA"/>
    <w:rsid w:val="007E3A5A"/>
    <w:rsid w:val="007E3A6F"/>
    <w:rsid w:val="007E3C36"/>
    <w:rsid w:val="007E3D20"/>
    <w:rsid w:val="007E3D40"/>
    <w:rsid w:val="007E3DE7"/>
    <w:rsid w:val="007E4185"/>
    <w:rsid w:val="007E443B"/>
    <w:rsid w:val="007E4491"/>
    <w:rsid w:val="007E45B7"/>
    <w:rsid w:val="007E47DF"/>
    <w:rsid w:val="007E4AEE"/>
    <w:rsid w:val="007E4B69"/>
    <w:rsid w:val="007E4DB1"/>
    <w:rsid w:val="007E4DE7"/>
    <w:rsid w:val="007E4FF0"/>
    <w:rsid w:val="007E506C"/>
    <w:rsid w:val="007E531E"/>
    <w:rsid w:val="007E532C"/>
    <w:rsid w:val="007E546B"/>
    <w:rsid w:val="007E54BA"/>
    <w:rsid w:val="007E557C"/>
    <w:rsid w:val="007E5646"/>
    <w:rsid w:val="007E568C"/>
    <w:rsid w:val="007E58AC"/>
    <w:rsid w:val="007E598C"/>
    <w:rsid w:val="007E599F"/>
    <w:rsid w:val="007E59D7"/>
    <w:rsid w:val="007E59DF"/>
    <w:rsid w:val="007E5D45"/>
    <w:rsid w:val="007E5EE1"/>
    <w:rsid w:val="007E5F62"/>
    <w:rsid w:val="007E60BA"/>
    <w:rsid w:val="007E6189"/>
    <w:rsid w:val="007E625B"/>
    <w:rsid w:val="007E6271"/>
    <w:rsid w:val="007E68FD"/>
    <w:rsid w:val="007E6C39"/>
    <w:rsid w:val="007E6C4F"/>
    <w:rsid w:val="007E6D46"/>
    <w:rsid w:val="007E6FCE"/>
    <w:rsid w:val="007E705F"/>
    <w:rsid w:val="007E7100"/>
    <w:rsid w:val="007E7236"/>
    <w:rsid w:val="007E75F8"/>
    <w:rsid w:val="007E7642"/>
    <w:rsid w:val="007E7674"/>
    <w:rsid w:val="007E76E1"/>
    <w:rsid w:val="007E7D4A"/>
    <w:rsid w:val="007E7DE5"/>
    <w:rsid w:val="007E7FF8"/>
    <w:rsid w:val="007F0235"/>
    <w:rsid w:val="007F0523"/>
    <w:rsid w:val="007F0A7F"/>
    <w:rsid w:val="007F0DB5"/>
    <w:rsid w:val="007F0DC7"/>
    <w:rsid w:val="007F0E52"/>
    <w:rsid w:val="007F0E54"/>
    <w:rsid w:val="007F0FD3"/>
    <w:rsid w:val="007F11A2"/>
    <w:rsid w:val="007F1417"/>
    <w:rsid w:val="007F1423"/>
    <w:rsid w:val="007F169D"/>
    <w:rsid w:val="007F1904"/>
    <w:rsid w:val="007F194E"/>
    <w:rsid w:val="007F1ADB"/>
    <w:rsid w:val="007F1C31"/>
    <w:rsid w:val="007F1D04"/>
    <w:rsid w:val="007F1EC5"/>
    <w:rsid w:val="007F2081"/>
    <w:rsid w:val="007F2370"/>
    <w:rsid w:val="007F23FB"/>
    <w:rsid w:val="007F25C8"/>
    <w:rsid w:val="007F26AC"/>
    <w:rsid w:val="007F2ACA"/>
    <w:rsid w:val="007F2CBF"/>
    <w:rsid w:val="007F2D0C"/>
    <w:rsid w:val="007F2D3B"/>
    <w:rsid w:val="007F2DC7"/>
    <w:rsid w:val="007F305E"/>
    <w:rsid w:val="007F382E"/>
    <w:rsid w:val="007F3866"/>
    <w:rsid w:val="007F3A7D"/>
    <w:rsid w:val="007F3F3A"/>
    <w:rsid w:val="007F3FF1"/>
    <w:rsid w:val="007F406E"/>
    <w:rsid w:val="007F40F0"/>
    <w:rsid w:val="007F4185"/>
    <w:rsid w:val="007F430F"/>
    <w:rsid w:val="007F4509"/>
    <w:rsid w:val="007F45E6"/>
    <w:rsid w:val="007F472F"/>
    <w:rsid w:val="007F475C"/>
    <w:rsid w:val="007F4A8F"/>
    <w:rsid w:val="007F4F95"/>
    <w:rsid w:val="007F501C"/>
    <w:rsid w:val="007F5292"/>
    <w:rsid w:val="007F53CB"/>
    <w:rsid w:val="007F53D6"/>
    <w:rsid w:val="007F5454"/>
    <w:rsid w:val="007F548A"/>
    <w:rsid w:val="007F5627"/>
    <w:rsid w:val="007F5928"/>
    <w:rsid w:val="007F5D92"/>
    <w:rsid w:val="007F5E5F"/>
    <w:rsid w:val="007F6048"/>
    <w:rsid w:val="007F644C"/>
    <w:rsid w:val="007F657D"/>
    <w:rsid w:val="007F6672"/>
    <w:rsid w:val="007F6761"/>
    <w:rsid w:val="007F67A2"/>
    <w:rsid w:val="007F6AAF"/>
    <w:rsid w:val="007F6DBE"/>
    <w:rsid w:val="007F6FF0"/>
    <w:rsid w:val="007F71E6"/>
    <w:rsid w:val="007F7282"/>
    <w:rsid w:val="007F74E2"/>
    <w:rsid w:val="007F74EA"/>
    <w:rsid w:val="007F753F"/>
    <w:rsid w:val="007F75D0"/>
    <w:rsid w:val="007F7638"/>
    <w:rsid w:val="007F76D8"/>
    <w:rsid w:val="007F79B1"/>
    <w:rsid w:val="007F7B0C"/>
    <w:rsid w:val="007F7B80"/>
    <w:rsid w:val="007F7C02"/>
    <w:rsid w:val="007F7CA4"/>
    <w:rsid w:val="007F7FF1"/>
    <w:rsid w:val="00800109"/>
    <w:rsid w:val="00800199"/>
    <w:rsid w:val="0080086C"/>
    <w:rsid w:val="00800971"/>
    <w:rsid w:val="00800A73"/>
    <w:rsid w:val="00800B3F"/>
    <w:rsid w:val="00800C9F"/>
    <w:rsid w:val="00800F99"/>
    <w:rsid w:val="008019FC"/>
    <w:rsid w:val="00801DC6"/>
    <w:rsid w:val="00802211"/>
    <w:rsid w:val="0080238E"/>
    <w:rsid w:val="00802610"/>
    <w:rsid w:val="0080264A"/>
    <w:rsid w:val="008026D0"/>
    <w:rsid w:val="0080271E"/>
    <w:rsid w:val="00802982"/>
    <w:rsid w:val="008029E2"/>
    <w:rsid w:val="00802B3F"/>
    <w:rsid w:val="00802BCE"/>
    <w:rsid w:val="00802D50"/>
    <w:rsid w:val="00802F49"/>
    <w:rsid w:val="0080314E"/>
    <w:rsid w:val="008035D3"/>
    <w:rsid w:val="008036FB"/>
    <w:rsid w:val="008037C7"/>
    <w:rsid w:val="00803989"/>
    <w:rsid w:val="00803C01"/>
    <w:rsid w:val="00803C5C"/>
    <w:rsid w:val="00803CA1"/>
    <w:rsid w:val="00803CAA"/>
    <w:rsid w:val="00803D32"/>
    <w:rsid w:val="00803DD7"/>
    <w:rsid w:val="00804150"/>
    <w:rsid w:val="00804283"/>
    <w:rsid w:val="0080428A"/>
    <w:rsid w:val="008042BA"/>
    <w:rsid w:val="00804357"/>
    <w:rsid w:val="008043D8"/>
    <w:rsid w:val="00804480"/>
    <w:rsid w:val="008045B2"/>
    <w:rsid w:val="008046B1"/>
    <w:rsid w:val="008046C2"/>
    <w:rsid w:val="008046DC"/>
    <w:rsid w:val="00804771"/>
    <w:rsid w:val="00804B7A"/>
    <w:rsid w:val="00804DDB"/>
    <w:rsid w:val="00805088"/>
    <w:rsid w:val="008050A8"/>
    <w:rsid w:val="008050C2"/>
    <w:rsid w:val="0080529A"/>
    <w:rsid w:val="00805317"/>
    <w:rsid w:val="008054A2"/>
    <w:rsid w:val="0080557C"/>
    <w:rsid w:val="0080565B"/>
    <w:rsid w:val="00805840"/>
    <w:rsid w:val="00805B4E"/>
    <w:rsid w:val="00805D76"/>
    <w:rsid w:val="00805EEF"/>
    <w:rsid w:val="00805FB0"/>
    <w:rsid w:val="00805FF8"/>
    <w:rsid w:val="008065BB"/>
    <w:rsid w:val="00806683"/>
    <w:rsid w:val="008068D3"/>
    <w:rsid w:val="00806BDD"/>
    <w:rsid w:val="00806E09"/>
    <w:rsid w:val="0080713B"/>
    <w:rsid w:val="008071B9"/>
    <w:rsid w:val="00807379"/>
    <w:rsid w:val="008073DC"/>
    <w:rsid w:val="00807521"/>
    <w:rsid w:val="008077BB"/>
    <w:rsid w:val="00807878"/>
    <w:rsid w:val="00807A24"/>
    <w:rsid w:val="00807A80"/>
    <w:rsid w:val="00807EFD"/>
    <w:rsid w:val="00807F70"/>
    <w:rsid w:val="0081007C"/>
    <w:rsid w:val="0081016F"/>
    <w:rsid w:val="00810213"/>
    <w:rsid w:val="00810273"/>
    <w:rsid w:val="00810388"/>
    <w:rsid w:val="00810626"/>
    <w:rsid w:val="0081074B"/>
    <w:rsid w:val="00810CC4"/>
    <w:rsid w:val="00810D6E"/>
    <w:rsid w:val="00811356"/>
    <w:rsid w:val="008114B4"/>
    <w:rsid w:val="00811560"/>
    <w:rsid w:val="0081158E"/>
    <w:rsid w:val="0081172E"/>
    <w:rsid w:val="008118FC"/>
    <w:rsid w:val="00811D1F"/>
    <w:rsid w:val="00811E20"/>
    <w:rsid w:val="00811F87"/>
    <w:rsid w:val="00812077"/>
    <w:rsid w:val="008120CA"/>
    <w:rsid w:val="00812257"/>
    <w:rsid w:val="00812275"/>
    <w:rsid w:val="0081251C"/>
    <w:rsid w:val="008125C8"/>
    <w:rsid w:val="0081276D"/>
    <w:rsid w:val="008127C0"/>
    <w:rsid w:val="008127FF"/>
    <w:rsid w:val="0081289E"/>
    <w:rsid w:val="00812A84"/>
    <w:rsid w:val="00812B57"/>
    <w:rsid w:val="00812C3A"/>
    <w:rsid w:val="00812D92"/>
    <w:rsid w:val="00812E0B"/>
    <w:rsid w:val="00812F6F"/>
    <w:rsid w:val="00812FB5"/>
    <w:rsid w:val="008132AC"/>
    <w:rsid w:val="00813697"/>
    <w:rsid w:val="008137FD"/>
    <w:rsid w:val="00813A87"/>
    <w:rsid w:val="00813B5D"/>
    <w:rsid w:val="00813CFE"/>
    <w:rsid w:val="00813F9B"/>
    <w:rsid w:val="0081412F"/>
    <w:rsid w:val="0081444A"/>
    <w:rsid w:val="0081449F"/>
    <w:rsid w:val="008144AE"/>
    <w:rsid w:val="0081495D"/>
    <w:rsid w:val="00814991"/>
    <w:rsid w:val="00814A22"/>
    <w:rsid w:val="00814B6D"/>
    <w:rsid w:val="00814FCF"/>
    <w:rsid w:val="00815482"/>
    <w:rsid w:val="0081561E"/>
    <w:rsid w:val="008158E3"/>
    <w:rsid w:val="0081602F"/>
    <w:rsid w:val="00816263"/>
    <w:rsid w:val="00816265"/>
    <w:rsid w:val="00816279"/>
    <w:rsid w:val="00816709"/>
    <w:rsid w:val="008167BB"/>
    <w:rsid w:val="008167F2"/>
    <w:rsid w:val="00816D80"/>
    <w:rsid w:val="00817481"/>
    <w:rsid w:val="0081776D"/>
    <w:rsid w:val="0081777D"/>
    <w:rsid w:val="00817A83"/>
    <w:rsid w:val="00817EF3"/>
    <w:rsid w:val="00817F52"/>
    <w:rsid w:val="00820137"/>
    <w:rsid w:val="0082015D"/>
    <w:rsid w:val="00820564"/>
    <w:rsid w:val="008206FC"/>
    <w:rsid w:val="0082079D"/>
    <w:rsid w:val="0082087C"/>
    <w:rsid w:val="00820A9E"/>
    <w:rsid w:val="00820D58"/>
    <w:rsid w:val="00820D5C"/>
    <w:rsid w:val="00820DFF"/>
    <w:rsid w:val="00820E1B"/>
    <w:rsid w:val="00821279"/>
    <w:rsid w:val="00821298"/>
    <w:rsid w:val="008212DB"/>
    <w:rsid w:val="00821422"/>
    <w:rsid w:val="008214DC"/>
    <w:rsid w:val="008214F5"/>
    <w:rsid w:val="00821627"/>
    <w:rsid w:val="0082162B"/>
    <w:rsid w:val="008217AC"/>
    <w:rsid w:val="00821976"/>
    <w:rsid w:val="00821AE9"/>
    <w:rsid w:val="00821AF2"/>
    <w:rsid w:val="00821B25"/>
    <w:rsid w:val="00821DD6"/>
    <w:rsid w:val="00821DF4"/>
    <w:rsid w:val="0082207C"/>
    <w:rsid w:val="00822491"/>
    <w:rsid w:val="008224E8"/>
    <w:rsid w:val="00822564"/>
    <w:rsid w:val="008225E2"/>
    <w:rsid w:val="00822639"/>
    <w:rsid w:val="00822687"/>
    <w:rsid w:val="008226E3"/>
    <w:rsid w:val="008229CB"/>
    <w:rsid w:val="00822A38"/>
    <w:rsid w:val="00822AAE"/>
    <w:rsid w:val="00822B5A"/>
    <w:rsid w:val="00822C23"/>
    <w:rsid w:val="00822D1B"/>
    <w:rsid w:val="00822DCC"/>
    <w:rsid w:val="00822DCE"/>
    <w:rsid w:val="00822E76"/>
    <w:rsid w:val="00823822"/>
    <w:rsid w:val="00823945"/>
    <w:rsid w:val="00823BBB"/>
    <w:rsid w:val="00823CB2"/>
    <w:rsid w:val="00823DA2"/>
    <w:rsid w:val="00823EDC"/>
    <w:rsid w:val="0082412B"/>
    <w:rsid w:val="00824534"/>
    <w:rsid w:val="0082461A"/>
    <w:rsid w:val="008249F3"/>
    <w:rsid w:val="00824B5D"/>
    <w:rsid w:val="00824F0D"/>
    <w:rsid w:val="0082512B"/>
    <w:rsid w:val="00825132"/>
    <w:rsid w:val="00825410"/>
    <w:rsid w:val="0082555F"/>
    <w:rsid w:val="008259D9"/>
    <w:rsid w:val="00825A52"/>
    <w:rsid w:val="00825A9A"/>
    <w:rsid w:val="00825BA8"/>
    <w:rsid w:val="00825E0A"/>
    <w:rsid w:val="00825F37"/>
    <w:rsid w:val="00826042"/>
    <w:rsid w:val="00826119"/>
    <w:rsid w:val="008263BB"/>
    <w:rsid w:val="00826740"/>
    <w:rsid w:val="0082681C"/>
    <w:rsid w:val="00826C5D"/>
    <w:rsid w:val="00826DDF"/>
    <w:rsid w:val="00826E86"/>
    <w:rsid w:val="00826F6D"/>
    <w:rsid w:val="00827079"/>
    <w:rsid w:val="0082732A"/>
    <w:rsid w:val="00827788"/>
    <w:rsid w:val="00827E7A"/>
    <w:rsid w:val="00827E7E"/>
    <w:rsid w:val="0083005D"/>
    <w:rsid w:val="00830176"/>
    <w:rsid w:val="008304C7"/>
    <w:rsid w:val="008306FF"/>
    <w:rsid w:val="0083083E"/>
    <w:rsid w:val="0083088D"/>
    <w:rsid w:val="00830923"/>
    <w:rsid w:val="00830A32"/>
    <w:rsid w:val="00830A8C"/>
    <w:rsid w:val="00830B49"/>
    <w:rsid w:val="00830BC2"/>
    <w:rsid w:val="00830C62"/>
    <w:rsid w:val="00830E82"/>
    <w:rsid w:val="00830F55"/>
    <w:rsid w:val="008312B0"/>
    <w:rsid w:val="008314DB"/>
    <w:rsid w:val="008316AD"/>
    <w:rsid w:val="0083194A"/>
    <w:rsid w:val="0083198B"/>
    <w:rsid w:val="00831CEA"/>
    <w:rsid w:val="00831DFE"/>
    <w:rsid w:val="00831E1B"/>
    <w:rsid w:val="00831F09"/>
    <w:rsid w:val="0083201B"/>
    <w:rsid w:val="008320BB"/>
    <w:rsid w:val="008320FC"/>
    <w:rsid w:val="008327D6"/>
    <w:rsid w:val="00832858"/>
    <w:rsid w:val="00832C87"/>
    <w:rsid w:val="00832D26"/>
    <w:rsid w:val="00832D43"/>
    <w:rsid w:val="00833071"/>
    <w:rsid w:val="008332ED"/>
    <w:rsid w:val="00833708"/>
    <w:rsid w:val="008337AA"/>
    <w:rsid w:val="00833807"/>
    <w:rsid w:val="008338EA"/>
    <w:rsid w:val="00833971"/>
    <w:rsid w:val="00833B33"/>
    <w:rsid w:val="00833C3B"/>
    <w:rsid w:val="00833CF6"/>
    <w:rsid w:val="008340A4"/>
    <w:rsid w:val="00834309"/>
    <w:rsid w:val="008346A5"/>
    <w:rsid w:val="008346D6"/>
    <w:rsid w:val="008347A7"/>
    <w:rsid w:val="00834C5F"/>
    <w:rsid w:val="00834CAE"/>
    <w:rsid w:val="00834FD7"/>
    <w:rsid w:val="0083507B"/>
    <w:rsid w:val="008350A8"/>
    <w:rsid w:val="00835487"/>
    <w:rsid w:val="00835898"/>
    <w:rsid w:val="00835D74"/>
    <w:rsid w:val="00835D83"/>
    <w:rsid w:val="00835FCE"/>
    <w:rsid w:val="008360D8"/>
    <w:rsid w:val="0083626C"/>
    <w:rsid w:val="008362E7"/>
    <w:rsid w:val="008363F7"/>
    <w:rsid w:val="008366AA"/>
    <w:rsid w:val="0083684D"/>
    <w:rsid w:val="00836A60"/>
    <w:rsid w:val="00836CFD"/>
    <w:rsid w:val="00836F79"/>
    <w:rsid w:val="00836FEC"/>
    <w:rsid w:val="00837056"/>
    <w:rsid w:val="008375A7"/>
    <w:rsid w:val="00837609"/>
    <w:rsid w:val="0083760F"/>
    <w:rsid w:val="0083762F"/>
    <w:rsid w:val="0083775F"/>
    <w:rsid w:val="00837B82"/>
    <w:rsid w:val="00837E91"/>
    <w:rsid w:val="00837F2D"/>
    <w:rsid w:val="008402F8"/>
    <w:rsid w:val="008403A3"/>
    <w:rsid w:val="00840435"/>
    <w:rsid w:val="00840454"/>
    <w:rsid w:val="00840525"/>
    <w:rsid w:val="0084059C"/>
    <w:rsid w:val="008408B7"/>
    <w:rsid w:val="00840A61"/>
    <w:rsid w:val="00840C9D"/>
    <w:rsid w:val="00840F00"/>
    <w:rsid w:val="00840F23"/>
    <w:rsid w:val="0084139E"/>
    <w:rsid w:val="0084162E"/>
    <w:rsid w:val="00841913"/>
    <w:rsid w:val="00841C9E"/>
    <w:rsid w:val="008420C1"/>
    <w:rsid w:val="0084220D"/>
    <w:rsid w:val="008422EA"/>
    <w:rsid w:val="008423DD"/>
    <w:rsid w:val="00842529"/>
    <w:rsid w:val="0084255F"/>
    <w:rsid w:val="008426A3"/>
    <w:rsid w:val="008426D6"/>
    <w:rsid w:val="0084278B"/>
    <w:rsid w:val="0084279C"/>
    <w:rsid w:val="0084298E"/>
    <w:rsid w:val="008429AA"/>
    <w:rsid w:val="00842AB8"/>
    <w:rsid w:val="00842C23"/>
    <w:rsid w:val="00842EAF"/>
    <w:rsid w:val="008430DC"/>
    <w:rsid w:val="00843123"/>
    <w:rsid w:val="0084320C"/>
    <w:rsid w:val="0084366B"/>
    <w:rsid w:val="0084382F"/>
    <w:rsid w:val="00843843"/>
    <w:rsid w:val="00843925"/>
    <w:rsid w:val="00843931"/>
    <w:rsid w:val="008439B2"/>
    <w:rsid w:val="00843B7E"/>
    <w:rsid w:val="00843BC9"/>
    <w:rsid w:val="00843E80"/>
    <w:rsid w:val="00843FCF"/>
    <w:rsid w:val="0084412B"/>
    <w:rsid w:val="00844200"/>
    <w:rsid w:val="00844226"/>
    <w:rsid w:val="00844257"/>
    <w:rsid w:val="00844282"/>
    <w:rsid w:val="0084438A"/>
    <w:rsid w:val="00844650"/>
    <w:rsid w:val="00844807"/>
    <w:rsid w:val="00844A42"/>
    <w:rsid w:val="00844A97"/>
    <w:rsid w:val="0084502D"/>
    <w:rsid w:val="00845084"/>
    <w:rsid w:val="00845204"/>
    <w:rsid w:val="0084537C"/>
    <w:rsid w:val="008455FF"/>
    <w:rsid w:val="00845850"/>
    <w:rsid w:val="008458C3"/>
    <w:rsid w:val="00845B0F"/>
    <w:rsid w:val="00845EB5"/>
    <w:rsid w:val="00845EEB"/>
    <w:rsid w:val="00845F1D"/>
    <w:rsid w:val="00845FA1"/>
    <w:rsid w:val="00845FF5"/>
    <w:rsid w:val="00846200"/>
    <w:rsid w:val="00846462"/>
    <w:rsid w:val="008464A0"/>
    <w:rsid w:val="0084662F"/>
    <w:rsid w:val="00846633"/>
    <w:rsid w:val="00846773"/>
    <w:rsid w:val="008467E9"/>
    <w:rsid w:val="00846991"/>
    <w:rsid w:val="00846A11"/>
    <w:rsid w:val="00846A61"/>
    <w:rsid w:val="00846AAF"/>
    <w:rsid w:val="00846B35"/>
    <w:rsid w:val="00846C66"/>
    <w:rsid w:val="00846D79"/>
    <w:rsid w:val="00847037"/>
    <w:rsid w:val="00847289"/>
    <w:rsid w:val="0084728A"/>
    <w:rsid w:val="008472E2"/>
    <w:rsid w:val="0084738C"/>
    <w:rsid w:val="0084742E"/>
    <w:rsid w:val="008474EC"/>
    <w:rsid w:val="0084753E"/>
    <w:rsid w:val="008476D9"/>
    <w:rsid w:val="008479E5"/>
    <w:rsid w:val="00847C81"/>
    <w:rsid w:val="00850036"/>
    <w:rsid w:val="00850113"/>
    <w:rsid w:val="00850283"/>
    <w:rsid w:val="008502B1"/>
    <w:rsid w:val="00850523"/>
    <w:rsid w:val="008508C9"/>
    <w:rsid w:val="008510A6"/>
    <w:rsid w:val="0085123F"/>
    <w:rsid w:val="0085145C"/>
    <w:rsid w:val="00851477"/>
    <w:rsid w:val="00851666"/>
    <w:rsid w:val="008518BB"/>
    <w:rsid w:val="00851AC7"/>
    <w:rsid w:val="00851BF9"/>
    <w:rsid w:val="00851DB3"/>
    <w:rsid w:val="00852146"/>
    <w:rsid w:val="008522CC"/>
    <w:rsid w:val="00852803"/>
    <w:rsid w:val="00852A18"/>
    <w:rsid w:val="00852ABC"/>
    <w:rsid w:val="00852EA4"/>
    <w:rsid w:val="00853009"/>
    <w:rsid w:val="00853137"/>
    <w:rsid w:val="00853294"/>
    <w:rsid w:val="008532A1"/>
    <w:rsid w:val="008532B9"/>
    <w:rsid w:val="008534CE"/>
    <w:rsid w:val="008534F9"/>
    <w:rsid w:val="00853688"/>
    <w:rsid w:val="00853AE7"/>
    <w:rsid w:val="00853C89"/>
    <w:rsid w:val="00853DC1"/>
    <w:rsid w:val="0085402D"/>
    <w:rsid w:val="0085435D"/>
    <w:rsid w:val="0085450F"/>
    <w:rsid w:val="00854654"/>
    <w:rsid w:val="00854690"/>
    <w:rsid w:val="008547D0"/>
    <w:rsid w:val="00854AAF"/>
    <w:rsid w:val="00854ACB"/>
    <w:rsid w:val="00854E16"/>
    <w:rsid w:val="008553C3"/>
    <w:rsid w:val="0085541F"/>
    <w:rsid w:val="008554FE"/>
    <w:rsid w:val="00855579"/>
    <w:rsid w:val="00855672"/>
    <w:rsid w:val="0085569B"/>
    <w:rsid w:val="00855907"/>
    <w:rsid w:val="00855A91"/>
    <w:rsid w:val="00855D24"/>
    <w:rsid w:val="00855FDC"/>
    <w:rsid w:val="00856019"/>
    <w:rsid w:val="008560EF"/>
    <w:rsid w:val="00856104"/>
    <w:rsid w:val="00856331"/>
    <w:rsid w:val="0085673B"/>
    <w:rsid w:val="0085673F"/>
    <w:rsid w:val="008567A5"/>
    <w:rsid w:val="00856983"/>
    <w:rsid w:val="008569D2"/>
    <w:rsid w:val="008569FE"/>
    <w:rsid w:val="00856AE2"/>
    <w:rsid w:val="00856C0F"/>
    <w:rsid w:val="00856C9C"/>
    <w:rsid w:val="00856E0D"/>
    <w:rsid w:val="0085715E"/>
    <w:rsid w:val="00857264"/>
    <w:rsid w:val="0085726C"/>
    <w:rsid w:val="00857367"/>
    <w:rsid w:val="00857543"/>
    <w:rsid w:val="008575FB"/>
    <w:rsid w:val="0085764D"/>
    <w:rsid w:val="00857679"/>
    <w:rsid w:val="0085786D"/>
    <w:rsid w:val="00857C4A"/>
    <w:rsid w:val="00857D4D"/>
    <w:rsid w:val="00857F32"/>
    <w:rsid w:val="00857F43"/>
    <w:rsid w:val="00860131"/>
    <w:rsid w:val="0086030A"/>
    <w:rsid w:val="00860462"/>
    <w:rsid w:val="008605DD"/>
    <w:rsid w:val="008606FF"/>
    <w:rsid w:val="0086087D"/>
    <w:rsid w:val="00860887"/>
    <w:rsid w:val="0086089F"/>
    <w:rsid w:val="00860D33"/>
    <w:rsid w:val="00860D97"/>
    <w:rsid w:val="00860F6F"/>
    <w:rsid w:val="00861345"/>
    <w:rsid w:val="0086169E"/>
    <w:rsid w:val="008616CD"/>
    <w:rsid w:val="008618EB"/>
    <w:rsid w:val="00861C3D"/>
    <w:rsid w:val="00861CB2"/>
    <w:rsid w:val="00861F34"/>
    <w:rsid w:val="00861F75"/>
    <w:rsid w:val="00862119"/>
    <w:rsid w:val="0086214A"/>
    <w:rsid w:val="00862532"/>
    <w:rsid w:val="00862542"/>
    <w:rsid w:val="00862C0A"/>
    <w:rsid w:val="00862DC4"/>
    <w:rsid w:val="00863134"/>
    <w:rsid w:val="00863302"/>
    <w:rsid w:val="0086332A"/>
    <w:rsid w:val="00863416"/>
    <w:rsid w:val="008634ED"/>
    <w:rsid w:val="0086351E"/>
    <w:rsid w:val="00863526"/>
    <w:rsid w:val="00863687"/>
    <w:rsid w:val="008636F8"/>
    <w:rsid w:val="00863A03"/>
    <w:rsid w:val="00863C23"/>
    <w:rsid w:val="00863C83"/>
    <w:rsid w:val="00863D87"/>
    <w:rsid w:val="00863E09"/>
    <w:rsid w:val="00863E36"/>
    <w:rsid w:val="008644D5"/>
    <w:rsid w:val="0086473F"/>
    <w:rsid w:val="00864A0A"/>
    <w:rsid w:val="00864A2E"/>
    <w:rsid w:val="00864BBC"/>
    <w:rsid w:val="00864BE4"/>
    <w:rsid w:val="00864F15"/>
    <w:rsid w:val="00864FDB"/>
    <w:rsid w:val="0086505F"/>
    <w:rsid w:val="008654C4"/>
    <w:rsid w:val="00865B7F"/>
    <w:rsid w:val="00865B8F"/>
    <w:rsid w:val="00865DDA"/>
    <w:rsid w:val="00865E2D"/>
    <w:rsid w:val="008661A3"/>
    <w:rsid w:val="00866231"/>
    <w:rsid w:val="00866595"/>
    <w:rsid w:val="00866611"/>
    <w:rsid w:val="00866695"/>
    <w:rsid w:val="008667B7"/>
    <w:rsid w:val="008667F4"/>
    <w:rsid w:val="00866B51"/>
    <w:rsid w:val="00866C3B"/>
    <w:rsid w:val="00866C4D"/>
    <w:rsid w:val="00866CAE"/>
    <w:rsid w:val="00866E01"/>
    <w:rsid w:val="00866E14"/>
    <w:rsid w:val="00866F69"/>
    <w:rsid w:val="00867089"/>
    <w:rsid w:val="008673C4"/>
    <w:rsid w:val="0086741F"/>
    <w:rsid w:val="00867593"/>
    <w:rsid w:val="0086791E"/>
    <w:rsid w:val="00867A84"/>
    <w:rsid w:val="00867B82"/>
    <w:rsid w:val="00867BB3"/>
    <w:rsid w:val="00867E8F"/>
    <w:rsid w:val="00867FA3"/>
    <w:rsid w:val="00867FD6"/>
    <w:rsid w:val="00870064"/>
    <w:rsid w:val="00870070"/>
    <w:rsid w:val="008700DB"/>
    <w:rsid w:val="0087052E"/>
    <w:rsid w:val="00870601"/>
    <w:rsid w:val="008706BC"/>
    <w:rsid w:val="00870806"/>
    <w:rsid w:val="008709F6"/>
    <w:rsid w:val="00870A84"/>
    <w:rsid w:val="00870CB0"/>
    <w:rsid w:val="00870D5A"/>
    <w:rsid w:val="00870FC4"/>
    <w:rsid w:val="0087118A"/>
    <w:rsid w:val="0087133F"/>
    <w:rsid w:val="00871561"/>
    <w:rsid w:val="00871643"/>
    <w:rsid w:val="00871829"/>
    <w:rsid w:val="00871A78"/>
    <w:rsid w:val="00871A85"/>
    <w:rsid w:val="00871F18"/>
    <w:rsid w:val="00872015"/>
    <w:rsid w:val="00872057"/>
    <w:rsid w:val="008720CF"/>
    <w:rsid w:val="00872337"/>
    <w:rsid w:val="00872397"/>
    <w:rsid w:val="008723CC"/>
    <w:rsid w:val="0087250E"/>
    <w:rsid w:val="00872575"/>
    <w:rsid w:val="0087280F"/>
    <w:rsid w:val="00872894"/>
    <w:rsid w:val="00872B40"/>
    <w:rsid w:val="00872B6B"/>
    <w:rsid w:val="008730C0"/>
    <w:rsid w:val="008731C8"/>
    <w:rsid w:val="008732F3"/>
    <w:rsid w:val="008734BC"/>
    <w:rsid w:val="008735BC"/>
    <w:rsid w:val="00873877"/>
    <w:rsid w:val="00873D05"/>
    <w:rsid w:val="00873DEC"/>
    <w:rsid w:val="00873ECC"/>
    <w:rsid w:val="008740B5"/>
    <w:rsid w:val="0087432F"/>
    <w:rsid w:val="00874521"/>
    <w:rsid w:val="0087452F"/>
    <w:rsid w:val="008745F2"/>
    <w:rsid w:val="00874699"/>
    <w:rsid w:val="0087469C"/>
    <w:rsid w:val="00874754"/>
    <w:rsid w:val="00874824"/>
    <w:rsid w:val="0087492F"/>
    <w:rsid w:val="00874A0D"/>
    <w:rsid w:val="00874CC1"/>
    <w:rsid w:val="00874EAF"/>
    <w:rsid w:val="00874FA0"/>
    <w:rsid w:val="00875049"/>
    <w:rsid w:val="008751A8"/>
    <w:rsid w:val="0087572D"/>
    <w:rsid w:val="00875777"/>
    <w:rsid w:val="00875862"/>
    <w:rsid w:val="008758C8"/>
    <w:rsid w:val="00875948"/>
    <w:rsid w:val="00875A2D"/>
    <w:rsid w:val="00875B7A"/>
    <w:rsid w:val="00875CC3"/>
    <w:rsid w:val="00875EEC"/>
    <w:rsid w:val="00875F1C"/>
    <w:rsid w:val="008760A9"/>
    <w:rsid w:val="00876282"/>
    <w:rsid w:val="00876553"/>
    <w:rsid w:val="00876692"/>
    <w:rsid w:val="008769BE"/>
    <w:rsid w:val="008769F5"/>
    <w:rsid w:val="00876AE1"/>
    <w:rsid w:val="00876F82"/>
    <w:rsid w:val="00876FB2"/>
    <w:rsid w:val="008770E0"/>
    <w:rsid w:val="0087725C"/>
    <w:rsid w:val="008772BA"/>
    <w:rsid w:val="00877323"/>
    <w:rsid w:val="00877371"/>
    <w:rsid w:val="008776A3"/>
    <w:rsid w:val="00877754"/>
    <w:rsid w:val="00877822"/>
    <w:rsid w:val="00877E1E"/>
    <w:rsid w:val="00877FE6"/>
    <w:rsid w:val="00877FF0"/>
    <w:rsid w:val="00880000"/>
    <w:rsid w:val="0088002C"/>
    <w:rsid w:val="008803D3"/>
    <w:rsid w:val="008806EA"/>
    <w:rsid w:val="00880A55"/>
    <w:rsid w:val="00880CAB"/>
    <w:rsid w:val="00881081"/>
    <w:rsid w:val="008811D4"/>
    <w:rsid w:val="008813CA"/>
    <w:rsid w:val="008814E9"/>
    <w:rsid w:val="00881552"/>
    <w:rsid w:val="00881604"/>
    <w:rsid w:val="00881688"/>
    <w:rsid w:val="008817AE"/>
    <w:rsid w:val="008818D0"/>
    <w:rsid w:val="00881A78"/>
    <w:rsid w:val="00881C28"/>
    <w:rsid w:val="00881D70"/>
    <w:rsid w:val="00881E76"/>
    <w:rsid w:val="00881ED4"/>
    <w:rsid w:val="00881F6F"/>
    <w:rsid w:val="00881FCC"/>
    <w:rsid w:val="008820FD"/>
    <w:rsid w:val="0088224C"/>
    <w:rsid w:val="008822BC"/>
    <w:rsid w:val="008822CF"/>
    <w:rsid w:val="00882454"/>
    <w:rsid w:val="00882726"/>
    <w:rsid w:val="0088272A"/>
    <w:rsid w:val="00882736"/>
    <w:rsid w:val="00882A96"/>
    <w:rsid w:val="00882D44"/>
    <w:rsid w:val="00882D6B"/>
    <w:rsid w:val="008830E3"/>
    <w:rsid w:val="00883131"/>
    <w:rsid w:val="008832A2"/>
    <w:rsid w:val="0088345B"/>
    <w:rsid w:val="008835B3"/>
    <w:rsid w:val="008837A3"/>
    <w:rsid w:val="00883C48"/>
    <w:rsid w:val="008840C4"/>
    <w:rsid w:val="00884193"/>
    <w:rsid w:val="008841D3"/>
    <w:rsid w:val="00884237"/>
    <w:rsid w:val="00884312"/>
    <w:rsid w:val="00884359"/>
    <w:rsid w:val="008843BF"/>
    <w:rsid w:val="0088441A"/>
    <w:rsid w:val="0088448C"/>
    <w:rsid w:val="0088452A"/>
    <w:rsid w:val="00884606"/>
    <w:rsid w:val="0088461C"/>
    <w:rsid w:val="00884ACF"/>
    <w:rsid w:val="00884B11"/>
    <w:rsid w:val="00884B95"/>
    <w:rsid w:val="00884F62"/>
    <w:rsid w:val="00885012"/>
    <w:rsid w:val="0088546F"/>
    <w:rsid w:val="008856F9"/>
    <w:rsid w:val="00885723"/>
    <w:rsid w:val="008859C0"/>
    <w:rsid w:val="008859DF"/>
    <w:rsid w:val="00885A4E"/>
    <w:rsid w:val="00885BD9"/>
    <w:rsid w:val="00885DD2"/>
    <w:rsid w:val="00885EBD"/>
    <w:rsid w:val="00885FEC"/>
    <w:rsid w:val="00886182"/>
    <w:rsid w:val="008865B0"/>
    <w:rsid w:val="008866AA"/>
    <w:rsid w:val="00886857"/>
    <w:rsid w:val="00886957"/>
    <w:rsid w:val="0088699B"/>
    <w:rsid w:val="00886A09"/>
    <w:rsid w:val="00886AC9"/>
    <w:rsid w:val="00886E17"/>
    <w:rsid w:val="00886F55"/>
    <w:rsid w:val="00886FDE"/>
    <w:rsid w:val="00887109"/>
    <w:rsid w:val="00887260"/>
    <w:rsid w:val="008872D9"/>
    <w:rsid w:val="00887350"/>
    <w:rsid w:val="008876D1"/>
    <w:rsid w:val="00887A97"/>
    <w:rsid w:val="00887A9F"/>
    <w:rsid w:val="00890757"/>
    <w:rsid w:val="00890B24"/>
    <w:rsid w:val="00890BFD"/>
    <w:rsid w:val="00890C60"/>
    <w:rsid w:val="00890DF0"/>
    <w:rsid w:val="008911FD"/>
    <w:rsid w:val="0089126F"/>
    <w:rsid w:val="00891312"/>
    <w:rsid w:val="008913AB"/>
    <w:rsid w:val="008913EE"/>
    <w:rsid w:val="0089167C"/>
    <w:rsid w:val="008917DD"/>
    <w:rsid w:val="00891871"/>
    <w:rsid w:val="008918E3"/>
    <w:rsid w:val="008918EB"/>
    <w:rsid w:val="0089195D"/>
    <w:rsid w:val="00891B4E"/>
    <w:rsid w:val="00891BA3"/>
    <w:rsid w:val="00891BBD"/>
    <w:rsid w:val="00891DCA"/>
    <w:rsid w:val="00891E0C"/>
    <w:rsid w:val="00891F61"/>
    <w:rsid w:val="00892000"/>
    <w:rsid w:val="00892135"/>
    <w:rsid w:val="0089230E"/>
    <w:rsid w:val="0089242C"/>
    <w:rsid w:val="0089293C"/>
    <w:rsid w:val="0089295A"/>
    <w:rsid w:val="00892981"/>
    <w:rsid w:val="00892D04"/>
    <w:rsid w:val="00892DAB"/>
    <w:rsid w:val="00892EE9"/>
    <w:rsid w:val="0089303D"/>
    <w:rsid w:val="008931E0"/>
    <w:rsid w:val="008934BA"/>
    <w:rsid w:val="0089367F"/>
    <w:rsid w:val="008936ED"/>
    <w:rsid w:val="008937C7"/>
    <w:rsid w:val="00893845"/>
    <w:rsid w:val="00893919"/>
    <w:rsid w:val="00893D22"/>
    <w:rsid w:val="008940D8"/>
    <w:rsid w:val="00894310"/>
    <w:rsid w:val="008944D7"/>
    <w:rsid w:val="0089457B"/>
    <w:rsid w:val="0089461E"/>
    <w:rsid w:val="0089465A"/>
    <w:rsid w:val="008949BB"/>
    <w:rsid w:val="00894A18"/>
    <w:rsid w:val="00894A27"/>
    <w:rsid w:val="00894AB1"/>
    <w:rsid w:val="00894AE8"/>
    <w:rsid w:val="00894D8C"/>
    <w:rsid w:val="00894DEB"/>
    <w:rsid w:val="00894E17"/>
    <w:rsid w:val="00894F48"/>
    <w:rsid w:val="00894FE2"/>
    <w:rsid w:val="00895004"/>
    <w:rsid w:val="0089510A"/>
    <w:rsid w:val="00895320"/>
    <w:rsid w:val="0089536C"/>
    <w:rsid w:val="008953D5"/>
    <w:rsid w:val="00895554"/>
    <w:rsid w:val="00895624"/>
    <w:rsid w:val="008957B6"/>
    <w:rsid w:val="008958BC"/>
    <w:rsid w:val="00895A38"/>
    <w:rsid w:val="008962DD"/>
    <w:rsid w:val="008965FC"/>
    <w:rsid w:val="00896C3E"/>
    <w:rsid w:val="00896FB1"/>
    <w:rsid w:val="008972F7"/>
    <w:rsid w:val="00897355"/>
    <w:rsid w:val="00897CE2"/>
    <w:rsid w:val="00897F5F"/>
    <w:rsid w:val="00897FDF"/>
    <w:rsid w:val="00897FF6"/>
    <w:rsid w:val="008A000B"/>
    <w:rsid w:val="008A016C"/>
    <w:rsid w:val="008A03D5"/>
    <w:rsid w:val="008A0470"/>
    <w:rsid w:val="008A0875"/>
    <w:rsid w:val="008A0B5D"/>
    <w:rsid w:val="008A0BA6"/>
    <w:rsid w:val="008A1178"/>
    <w:rsid w:val="008A1373"/>
    <w:rsid w:val="008A13AB"/>
    <w:rsid w:val="008A160F"/>
    <w:rsid w:val="008A177F"/>
    <w:rsid w:val="008A17CF"/>
    <w:rsid w:val="008A1963"/>
    <w:rsid w:val="008A1B69"/>
    <w:rsid w:val="008A1E8D"/>
    <w:rsid w:val="008A2093"/>
    <w:rsid w:val="008A20CB"/>
    <w:rsid w:val="008A2118"/>
    <w:rsid w:val="008A21FA"/>
    <w:rsid w:val="008A2646"/>
    <w:rsid w:val="008A2649"/>
    <w:rsid w:val="008A2BEC"/>
    <w:rsid w:val="008A2D4E"/>
    <w:rsid w:val="008A2EF3"/>
    <w:rsid w:val="008A2F00"/>
    <w:rsid w:val="008A2F07"/>
    <w:rsid w:val="008A30DF"/>
    <w:rsid w:val="008A31F5"/>
    <w:rsid w:val="008A333B"/>
    <w:rsid w:val="008A3355"/>
    <w:rsid w:val="008A358E"/>
    <w:rsid w:val="008A37D7"/>
    <w:rsid w:val="008A3B2E"/>
    <w:rsid w:val="008A3BD9"/>
    <w:rsid w:val="008A3C11"/>
    <w:rsid w:val="008A3C5C"/>
    <w:rsid w:val="008A42AB"/>
    <w:rsid w:val="008A4459"/>
    <w:rsid w:val="008A4543"/>
    <w:rsid w:val="008A45C7"/>
    <w:rsid w:val="008A4776"/>
    <w:rsid w:val="008A488A"/>
    <w:rsid w:val="008A4AF8"/>
    <w:rsid w:val="008A4C67"/>
    <w:rsid w:val="008A4D94"/>
    <w:rsid w:val="008A51B4"/>
    <w:rsid w:val="008A5319"/>
    <w:rsid w:val="008A549A"/>
    <w:rsid w:val="008A54F2"/>
    <w:rsid w:val="008A5882"/>
    <w:rsid w:val="008A5A92"/>
    <w:rsid w:val="008A5E2E"/>
    <w:rsid w:val="008A5E3C"/>
    <w:rsid w:val="008A5FAF"/>
    <w:rsid w:val="008A61F5"/>
    <w:rsid w:val="008A6349"/>
    <w:rsid w:val="008A64CF"/>
    <w:rsid w:val="008A651B"/>
    <w:rsid w:val="008A6640"/>
    <w:rsid w:val="008A664D"/>
    <w:rsid w:val="008A66B0"/>
    <w:rsid w:val="008A6716"/>
    <w:rsid w:val="008A68A1"/>
    <w:rsid w:val="008A6C06"/>
    <w:rsid w:val="008A6C15"/>
    <w:rsid w:val="008A6EAA"/>
    <w:rsid w:val="008A6EFB"/>
    <w:rsid w:val="008A6F24"/>
    <w:rsid w:val="008A6F9B"/>
    <w:rsid w:val="008A704E"/>
    <w:rsid w:val="008A76FC"/>
    <w:rsid w:val="008A7D43"/>
    <w:rsid w:val="008A7E25"/>
    <w:rsid w:val="008A7E3A"/>
    <w:rsid w:val="008B01C6"/>
    <w:rsid w:val="008B038E"/>
    <w:rsid w:val="008B03B9"/>
    <w:rsid w:val="008B0485"/>
    <w:rsid w:val="008B04ED"/>
    <w:rsid w:val="008B069A"/>
    <w:rsid w:val="008B0931"/>
    <w:rsid w:val="008B09BB"/>
    <w:rsid w:val="008B09CF"/>
    <w:rsid w:val="008B0ADE"/>
    <w:rsid w:val="008B0D3B"/>
    <w:rsid w:val="008B11B8"/>
    <w:rsid w:val="008B1531"/>
    <w:rsid w:val="008B1708"/>
    <w:rsid w:val="008B17EC"/>
    <w:rsid w:val="008B1B3C"/>
    <w:rsid w:val="008B1BCF"/>
    <w:rsid w:val="008B1C8F"/>
    <w:rsid w:val="008B1C96"/>
    <w:rsid w:val="008B1DFD"/>
    <w:rsid w:val="008B1E81"/>
    <w:rsid w:val="008B1F89"/>
    <w:rsid w:val="008B20D8"/>
    <w:rsid w:val="008B2195"/>
    <w:rsid w:val="008B22A1"/>
    <w:rsid w:val="008B2B0B"/>
    <w:rsid w:val="008B2BC4"/>
    <w:rsid w:val="008B2EB2"/>
    <w:rsid w:val="008B3010"/>
    <w:rsid w:val="008B3373"/>
    <w:rsid w:val="008B33A8"/>
    <w:rsid w:val="008B397C"/>
    <w:rsid w:val="008B3A16"/>
    <w:rsid w:val="008B3C4F"/>
    <w:rsid w:val="008B3EFC"/>
    <w:rsid w:val="008B3FE5"/>
    <w:rsid w:val="008B4069"/>
    <w:rsid w:val="008B48DE"/>
    <w:rsid w:val="008B4A74"/>
    <w:rsid w:val="008B5039"/>
    <w:rsid w:val="008B504B"/>
    <w:rsid w:val="008B5230"/>
    <w:rsid w:val="008B547B"/>
    <w:rsid w:val="008B55CF"/>
    <w:rsid w:val="008B5748"/>
    <w:rsid w:val="008B57E8"/>
    <w:rsid w:val="008B585E"/>
    <w:rsid w:val="008B5AF1"/>
    <w:rsid w:val="008B6534"/>
    <w:rsid w:val="008B690B"/>
    <w:rsid w:val="008B6920"/>
    <w:rsid w:val="008B6D3D"/>
    <w:rsid w:val="008B6D93"/>
    <w:rsid w:val="008B7115"/>
    <w:rsid w:val="008B7385"/>
    <w:rsid w:val="008B75CA"/>
    <w:rsid w:val="008B761C"/>
    <w:rsid w:val="008B770F"/>
    <w:rsid w:val="008B7ABD"/>
    <w:rsid w:val="008B7B5D"/>
    <w:rsid w:val="008B7DE1"/>
    <w:rsid w:val="008B7EE1"/>
    <w:rsid w:val="008B7EE5"/>
    <w:rsid w:val="008B7EF0"/>
    <w:rsid w:val="008C011D"/>
    <w:rsid w:val="008C0194"/>
    <w:rsid w:val="008C01E5"/>
    <w:rsid w:val="008C0842"/>
    <w:rsid w:val="008C087A"/>
    <w:rsid w:val="008C0929"/>
    <w:rsid w:val="008C0AB6"/>
    <w:rsid w:val="008C0B31"/>
    <w:rsid w:val="008C0CEF"/>
    <w:rsid w:val="008C0D27"/>
    <w:rsid w:val="008C0D8F"/>
    <w:rsid w:val="008C100D"/>
    <w:rsid w:val="008C117E"/>
    <w:rsid w:val="008C1483"/>
    <w:rsid w:val="008C1569"/>
    <w:rsid w:val="008C1680"/>
    <w:rsid w:val="008C17A6"/>
    <w:rsid w:val="008C18C9"/>
    <w:rsid w:val="008C19B6"/>
    <w:rsid w:val="008C1BA8"/>
    <w:rsid w:val="008C1D2E"/>
    <w:rsid w:val="008C1E16"/>
    <w:rsid w:val="008C1E80"/>
    <w:rsid w:val="008C203E"/>
    <w:rsid w:val="008C227E"/>
    <w:rsid w:val="008C23A3"/>
    <w:rsid w:val="008C23F2"/>
    <w:rsid w:val="008C2632"/>
    <w:rsid w:val="008C27B0"/>
    <w:rsid w:val="008C27D6"/>
    <w:rsid w:val="008C2CC3"/>
    <w:rsid w:val="008C2E48"/>
    <w:rsid w:val="008C2F56"/>
    <w:rsid w:val="008C3016"/>
    <w:rsid w:val="008C3038"/>
    <w:rsid w:val="008C3166"/>
    <w:rsid w:val="008C3473"/>
    <w:rsid w:val="008C3599"/>
    <w:rsid w:val="008C3601"/>
    <w:rsid w:val="008C3671"/>
    <w:rsid w:val="008C37BF"/>
    <w:rsid w:val="008C396F"/>
    <w:rsid w:val="008C3B9D"/>
    <w:rsid w:val="008C3DE8"/>
    <w:rsid w:val="008C3DED"/>
    <w:rsid w:val="008C40C7"/>
    <w:rsid w:val="008C40C8"/>
    <w:rsid w:val="008C4237"/>
    <w:rsid w:val="008C4244"/>
    <w:rsid w:val="008C4415"/>
    <w:rsid w:val="008C4595"/>
    <w:rsid w:val="008C45CC"/>
    <w:rsid w:val="008C4859"/>
    <w:rsid w:val="008C4A56"/>
    <w:rsid w:val="008C4BC9"/>
    <w:rsid w:val="008C4BEC"/>
    <w:rsid w:val="008C4C28"/>
    <w:rsid w:val="008C4F9A"/>
    <w:rsid w:val="008C5179"/>
    <w:rsid w:val="008C524C"/>
    <w:rsid w:val="008C5314"/>
    <w:rsid w:val="008C539F"/>
    <w:rsid w:val="008C54F6"/>
    <w:rsid w:val="008C5509"/>
    <w:rsid w:val="008C5678"/>
    <w:rsid w:val="008C570B"/>
    <w:rsid w:val="008C5718"/>
    <w:rsid w:val="008C5775"/>
    <w:rsid w:val="008C5957"/>
    <w:rsid w:val="008C5FDD"/>
    <w:rsid w:val="008C6006"/>
    <w:rsid w:val="008C6055"/>
    <w:rsid w:val="008C6193"/>
    <w:rsid w:val="008C622E"/>
    <w:rsid w:val="008C6692"/>
    <w:rsid w:val="008C6780"/>
    <w:rsid w:val="008C67FD"/>
    <w:rsid w:val="008C6C28"/>
    <w:rsid w:val="008C6C95"/>
    <w:rsid w:val="008C6CCC"/>
    <w:rsid w:val="008C6CE2"/>
    <w:rsid w:val="008C6E7C"/>
    <w:rsid w:val="008C74FB"/>
    <w:rsid w:val="008C7500"/>
    <w:rsid w:val="008C767E"/>
    <w:rsid w:val="008C77B0"/>
    <w:rsid w:val="008C7845"/>
    <w:rsid w:val="008C79E8"/>
    <w:rsid w:val="008C7AE3"/>
    <w:rsid w:val="008C7B4D"/>
    <w:rsid w:val="008C7BF6"/>
    <w:rsid w:val="008C7FE5"/>
    <w:rsid w:val="008D013D"/>
    <w:rsid w:val="008D05E3"/>
    <w:rsid w:val="008D072B"/>
    <w:rsid w:val="008D0788"/>
    <w:rsid w:val="008D0838"/>
    <w:rsid w:val="008D0845"/>
    <w:rsid w:val="008D0C2D"/>
    <w:rsid w:val="008D0CCF"/>
    <w:rsid w:val="008D0D77"/>
    <w:rsid w:val="008D0EB3"/>
    <w:rsid w:val="008D0F62"/>
    <w:rsid w:val="008D1001"/>
    <w:rsid w:val="008D14B8"/>
    <w:rsid w:val="008D1A62"/>
    <w:rsid w:val="008D1BB7"/>
    <w:rsid w:val="008D1D90"/>
    <w:rsid w:val="008D1F16"/>
    <w:rsid w:val="008D2056"/>
    <w:rsid w:val="008D2691"/>
    <w:rsid w:val="008D273E"/>
    <w:rsid w:val="008D2907"/>
    <w:rsid w:val="008D297C"/>
    <w:rsid w:val="008D2CDC"/>
    <w:rsid w:val="008D2CE5"/>
    <w:rsid w:val="008D2F2C"/>
    <w:rsid w:val="008D32E7"/>
    <w:rsid w:val="008D3405"/>
    <w:rsid w:val="008D3574"/>
    <w:rsid w:val="008D3581"/>
    <w:rsid w:val="008D36E7"/>
    <w:rsid w:val="008D3774"/>
    <w:rsid w:val="008D3A7B"/>
    <w:rsid w:val="008D3C0E"/>
    <w:rsid w:val="008D415A"/>
    <w:rsid w:val="008D439A"/>
    <w:rsid w:val="008D48B9"/>
    <w:rsid w:val="008D4999"/>
    <w:rsid w:val="008D4A74"/>
    <w:rsid w:val="008D4D89"/>
    <w:rsid w:val="008D51EB"/>
    <w:rsid w:val="008D5A06"/>
    <w:rsid w:val="008D5B19"/>
    <w:rsid w:val="008D5D61"/>
    <w:rsid w:val="008D5DB7"/>
    <w:rsid w:val="008D62C1"/>
    <w:rsid w:val="008D6A54"/>
    <w:rsid w:val="008D6AC3"/>
    <w:rsid w:val="008D6DFA"/>
    <w:rsid w:val="008D6EA1"/>
    <w:rsid w:val="008D6F90"/>
    <w:rsid w:val="008D6FCD"/>
    <w:rsid w:val="008D71B5"/>
    <w:rsid w:val="008D74CB"/>
    <w:rsid w:val="008D7876"/>
    <w:rsid w:val="008D79E1"/>
    <w:rsid w:val="008D7B79"/>
    <w:rsid w:val="008D7C2A"/>
    <w:rsid w:val="008D7D82"/>
    <w:rsid w:val="008D7FCB"/>
    <w:rsid w:val="008E01A6"/>
    <w:rsid w:val="008E0232"/>
    <w:rsid w:val="008E0264"/>
    <w:rsid w:val="008E0317"/>
    <w:rsid w:val="008E070E"/>
    <w:rsid w:val="008E0786"/>
    <w:rsid w:val="008E0867"/>
    <w:rsid w:val="008E0AA6"/>
    <w:rsid w:val="008E0C88"/>
    <w:rsid w:val="008E0CEF"/>
    <w:rsid w:val="008E0CFF"/>
    <w:rsid w:val="008E0FE5"/>
    <w:rsid w:val="008E117C"/>
    <w:rsid w:val="008E1388"/>
    <w:rsid w:val="008E1990"/>
    <w:rsid w:val="008E19F3"/>
    <w:rsid w:val="008E1E17"/>
    <w:rsid w:val="008E1E2A"/>
    <w:rsid w:val="008E2777"/>
    <w:rsid w:val="008E277D"/>
    <w:rsid w:val="008E29EA"/>
    <w:rsid w:val="008E29F2"/>
    <w:rsid w:val="008E2A0A"/>
    <w:rsid w:val="008E2D2A"/>
    <w:rsid w:val="008E36F9"/>
    <w:rsid w:val="008E37D9"/>
    <w:rsid w:val="008E37EA"/>
    <w:rsid w:val="008E3941"/>
    <w:rsid w:val="008E3984"/>
    <w:rsid w:val="008E3A21"/>
    <w:rsid w:val="008E4023"/>
    <w:rsid w:val="008E40BE"/>
    <w:rsid w:val="008E4191"/>
    <w:rsid w:val="008E4661"/>
    <w:rsid w:val="008E49A4"/>
    <w:rsid w:val="008E49F5"/>
    <w:rsid w:val="008E4B50"/>
    <w:rsid w:val="008E52CC"/>
    <w:rsid w:val="008E54A9"/>
    <w:rsid w:val="008E560B"/>
    <w:rsid w:val="008E5809"/>
    <w:rsid w:val="008E6186"/>
    <w:rsid w:val="008E6188"/>
    <w:rsid w:val="008E6193"/>
    <w:rsid w:val="008E640C"/>
    <w:rsid w:val="008E645A"/>
    <w:rsid w:val="008E649C"/>
    <w:rsid w:val="008E655D"/>
    <w:rsid w:val="008E660E"/>
    <w:rsid w:val="008E6611"/>
    <w:rsid w:val="008E67B6"/>
    <w:rsid w:val="008E6B1D"/>
    <w:rsid w:val="008E6BB7"/>
    <w:rsid w:val="008E6F19"/>
    <w:rsid w:val="008E706A"/>
    <w:rsid w:val="008E70B8"/>
    <w:rsid w:val="008E72A9"/>
    <w:rsid w:val="008E77C6"/>
    <w:rsid w:val="008E7987"/>
    <w:rsid w:val="008E7D5B"/>
    <w:rsid w:val="008E7ECF"/>
    <w:rsid w:val="008F03FC"/>
    <w:rsid w:val="008F043D"/>
    <w:rsid w:val="008F0612"/>
    <w:rsid w:val="008F07D0"/>
    <w:rsid w:val="008F0975"/>
    <w:rsid w:val="008F0C73"/>
    <w:rsid w:val="008F0DA7"/>
    <w:rsid w:val="008F0E31"/>
    <w:rsid w:val="008F0F6F"/>
    <w:rsid w:val="008F115D"/>
    <w:rsid w:val="008F11BC"/>
    <w:rsid w:val="008F171A"/>
    <w:rsid w:val="008F18E5"/>
    <w:rsid w:val="008F1C67"/>
    <w:rsid w:val="008F1CF4"/>
    <w:rsid w:val="008F1EE6"/>
    <w:rsid w:val="008F1FE6"/>
    <w:rsid w:val="008F2096"/>
    <w:rsid w:val="008F21B4"/>
    <w:rsid w:val="008F23A8"/>
    <w:rsid w:val="008F2402"/>
    <w:rsid w:val="008F2560"/>
    <w:rsid w:val="008F2638"/>
    <w:rsid w:val="008F288C"/>
    <w:rsid w:val="008F2F22"/>
    <w:rsid w:val="008F2F8E"/>
    <w:rsid w:val="008F2F9C"/>
    <w:rsid w:val="008F3249"/>
    <w:rsid w:val="008F3592"/>
    <w:rsid w:val="008F35F2"/>
    <w:rsid w:val="008F36B8"/>
    <w:rsid w:val="008F3919"/>
    <w:rsid w:val="008F39FA"/>
    <w:rsid w:val="008F3B2A"/>
    <w:rsid w:val="008F3D33"/>
    <w:rsid w:val="008F3E00"/>
    <w:rsid w:val="008F3EFB"/>
    <w:rsid w:val="008F4002"/>
    <w:rsid w:val="008F4155"/>
    <w:rsid w:val="008F421F"/>
    <w:rsid w:val="008F44D3"/>
    <w:rsid w:val="008F4687"/>
    <w:rsid w:val="008F4764"/>
    <w:rsid w:val="008F4A6F"/>
    <w:rsid w:val="008F4FA3"/>
    <w:rsid w:val="008F51ED"/>
    <w:rsid w:val="008F523D"/>
    <w:rsid w:val="008F525F"/>
    <w:rsid w:val="008F57DC"/>
    <w:rsid w:val="008F598B"/>
    <w:rsid w:val="008F5B2B"/>
    <w:rsid w:val="008F5C61"/>
    <w:rsid w:val="008F5C70"/>
    <w:rsid w:val="008F5E27"/>
    <w:rsid w:val="008F5E81"/>
    <w:rsid w:val="008F6139"/>
    <w:rsid w:val="008F61D8"/>
    <w:rsid w:val="008F61F8"/>
    <w:rsid w:val="008F6367"/>
    <w:rsid w:val="008F64BF"/>
    <w:rsid w:val="008F6553"/>
    <w:rsid w:val="008F661F"/>
    <w:rsid w:val="008F68BB"/>
    <w:rsid w:val="008F68EE"/>
    <w:rsid w:val="008F69CC"/>
    <w:rsid w:val="008F6C39"/>
    <w:rsid w:val="008F6C48"/>
    <w:rsid w:val="008F6CF4"/>
    <w:rsid w:val="008F7156"/>
    <w:rsid w:val="008F7246"/>
    <w:rsid w:val="008F72DC"/>
    <w:rsid w:val="008F75F1"/>
    <w:rsid w:val="008F766D"/>
    <w:rsid w:val="008F7682"/>
    <w:rsid w:val="008F7784"/>
    <w:rsid w:val="008F7871"/>
    <w:rsid w:val="008F7E2D"/>
    <w:rsid w:val="008F7EF7"/>
    <w:rsid w:val="008F7FAB"/>
    <w:rsid w:val="008F7FBC"/>
    <w:rsid w:val="008F7FFB"/>
    <w:rsid w:val="0090020F"/>
    <w:rsid w:val="0090023D"/>
    <w:rsid w:val="0090024D"/>
    <w:rsid w:val="0090051A"/>
    <w:rsid w:val="0090065A"/>
    <w:rsid w:val="0090078E"/>
    <w:rsid w:val="00900B8D"/>
    <w:rsid w:val="00900F1E"/>
    <w:rsid w:val="00900F23"/>
    <w:rsid w:val="0090139A"/>
    <w:rsid w:val="009016CE"/>
    <w:rsid w:val="00901780"/>
    <w:rsid w:val="009019E3"/>
    <w:rsid w:val="00901B3A"/>
    <w:rsid w:val="00901B52"/>
    <w:rsid w:val="00901C05"/>
    <w:rsid w:val="00901E11"/>
    <w:rsid w:val="00902189"/>
    <w:rsid w:val="009021A7"/>
    <w:rsid w:val="0090241C"/>
    <w:rsid w:val="00902421"/>
    <w:rsid w:val="00902554"/>
    <w:rsid w:val="00902609"/>
    <w:rsid w:val="00902720"/>
    <w:rsid w:val="00902A87"/>
    <w:rsid w:val="00902C80"/>
    <w:rsid w:val="00902EB2"/>
    <w:rsid w:val="00902EE9"/>
    <w:rsid w:val="00902FAF"/>
    <w:rsid w:val="00903015"/>
    <w:rsid w:val="0090305D"/>
    <w:rsid w:val="009031AE"/>
    <w:rsid w:val="009032FF"/>
    <w:rsid w:val="009033DE"/>
    <w:rsid w:val="0090344B"/>
    <w:rsid w:val="009034C2"/>
    <w:rsid w:val="00903504"/>
    <w:rsid w:val="0090358F"/>
    <w:rsid w:val="00903BA8"/>
    <w:rsid w:val="00903C0F"/>
    <w:rsid w:val="00903C9B"/>
    <w:rsid w:val="00903E91"/>
    <w:rsid w:val="00904347"/>
    <w:rsid w:val="0090439A"/>
    <w:rsid w:val="0090440D"/>
    <w:rsid w:val="0090446A"/>
    <w:rsid w:val="0090453F"/>
    <w:rsid w:val="00904554"/>
    <w:rsid w:val="00904609"/>
    <w:rsid w:val="00904839"/>
    <w:rsid w:val="00904AA1"/>
    <w:rsid w:val="00904F8E"/>
    <w:rsid w:val="00905077"/>
    <w:rsid w:val="0090509C"/>
    <w:rsid w:val="0090517B"/>
    <w:rsid w:val="00905298"/>
    <w:rsid w:val="009052ED"/>
    <w:rsid w:val="00905A6C"/>
    <w:rsid w:val="00905D9F"/>
    <w:rsid w:val="00905F24"/>
    <w:rsid w:val="00906020"/>
    <w:rsid w:val="00906188"/>
    <w:rsid w:val="009061A7"/>
    <w:rsid w:val="009062A1"/>
    <w:rsid w:val="00906403"/>
    <w:rsid w:val="00906499"/>
    <w:rsid w:val="009065B3"/>
    <w:rsid w:val="00906775"/>
    <w:rsid w:val="0090679F"/>
    <w:rsid w:val="00906DE0"/>
    <w:rsid w:val="00906E9A"/>
    <w:rsid w:val="0090718C"/>
    <w:rsid w:val="0090723D"/>
    <w:rsid w:val="009072EB"/>
    <w:rsid w:val="0090743E"/>
    <w:rsid w:val="009075D0"/>
    <w:rsid w:val="009078C8"/>
    <w:rsid w:val="009079CA"/>
    <w:rsid w:val="00907D08"/>
    <w:rsid w:val="00907E50"/>
    <w:rsid w:val="00910199"/>
    <w:rsid w:val="00910239"/>
    <w:rsid w:val="00910382"/>
    <w:rsid w:val="009107B6"/>
    <w:rsid w:val="009107D4"/>
    <w:rsid w:val="00910811"/>
    <w:rsid w:val="00910BF5"/>
    <w:rsid w:val="00910D43"/>
    <w:rsid w:val="00910D5D"/>
    <w:rsid w:val="00910FD1"/>
    <w:rsid w:val="00910FFF"/>
    <w:rsid w:val="0091103A"/>
    <w:rsid w:val="009111AE"/>
    <w:rsid w:val="009111D8"/>
    <w:rsid w:val="009112B4"/>
    <w:rsid w:val="009112FC"/>
    <w:rsid w:val="009112FF"/>
    <w:rsid w:val="009115AD"/>
    <w:rsid w:val="00911734"/>
    <w:rsid w:val="0091175E"/>
    <w:rsid w:val="009119D5"/>
    <w:rsid w:val="00911BF3"/>
    <w:rsid w:val="00911C1C"/>
    <w:rsid w:val="00911DE5"/>
    <w:rsid w:val="00911F76"/>
    <w:rsid w:val="009120E3"/>
    <w:rsid w:val="00912449"/>
    <w:rsid w:val="00912575"/>
    <w:rsid w:val="00912591"/>
    <w:rsid w:val="0091259E"/>
    <w:rsid w:val="0091265D"/>
    <w:rsid w:val="00912747"/>
    <w:rsid w:val="0091284E"/>
    <w:rsid w:val="009128CB"/>
    <w:rsid w:val="0091296E"/>
    <w:rsid w:val="009129CB"/>
    <w:rsid w:val="00912A4D"/>
    <w:rsid w:val="00912A88"/>
    <w:rsid w:val="00912B5C"/>
    <w:rsid w:val="00912D06"/>
    <w:rsid w:val="00912F80"/>
    <w:rsid w:val="00912F9F"/>
    <w:rsid w:val="009130C3"/>
    <w:rsid w:val="009131F9"/>
    <w:rsid w:val="009132E7"/>
    <w:rsid w:val="009134C6"/>
    <w:rsid w:val="0091364D"/>
    <w:rsid w:val="0091377C"/>
    <w:rsid w:val="00913A04"/>
    <w:rsid w:val="00913AE8"/>
    <w:rsid w:val="00913D75"/>
    <w:rsid w:val="00913E55"/>
    <w:rsid w:val="00913EDE"/>
    <w:rsid w:val="00913FED"/>
    <w:rsid w:val="009141EA"/>
    <w:rsid w:val="0091435A"/>
    <w:rsid w:val="009143AD"/>
    <w:rsid w:val="009144E0"/>
    <w:rsid w:val="0091451C"/>
    <w:rsid w:val="00914778"/>
    <w:rsid w:val="0091490A"/>
    <w:rsid w:val="00914913"/>
    <w:rsid w:val="00914A9B"/>
    <w:rsid w:val="00914BA8"/>
    <w:rsid w:val="00914BA9"/>
    <w:rsid w:val="00914C5B"/>
    <w:rsid w:val="00915114"/>
    <w:rsid w:val="0091558C"/>
    <w:rsid w:val="00915764"/>
    <w:rsid w:val="00915ADC"/>
    <w:rsid w:val="00915B9D"/>
    <w:rsid w:val="00915CFE"/>
    <w:rsid w:val="00915F0C"/>
    <w:rsid w:val="00916822"/>
    <w:rsid w:val="0091684D"/>
    <w:rsid w:val="0091685D"/>
    <w:rsid w:val="009168F9"/>
    <w:rsid w:val="00916AC7"/>
    <w:rsid w:val="00916AE6"/>
    <w:rsid w:val="00916BE8"/>
    <w:rsid w:val="009171AC"/>
    <w:rsid w:val="0091759B"/>
    <w:rsid w:val="00917A27"/>
    <w:rsid w:val="00917A5E"/>
    <w:rsid w:val="00917A93"/>
    <w:rsid w:val="00917E2C"/>
    <w:rsid w:val="00917E6B"/>
    <w:rsid w:val="00917EC5"/>
    <w:rsid w:val="00920032"/>
    <w:rsid w:val="0092007A"/>
    <w:rsid w:val="009200F7"/>
    <w:rsid w:val="00920239"/>
    <w:rsid w:val="0092024A"/>
    <w:rsid w:val="009202D1"/>
    <w:rsid w:val="009202D4"/>
    <w:rsid w:val="009202F2"/>
    <w:rsid w:val="00920312"/>
    <w:rsid w:val="009203A1"/>
    <w:rsid w:val="00920583"/>
    <w:rsid w:val="009206B2"/>
    <w:rsid w:val="00920930"/>
    <w:rsid w:val="00920DA6"/>
    <w:rsid w:val="00920FA8"/>
    <w:rsid w:val="00921098"/>
    <w:rsid w:val="0092120A"/>
    <w:rsid w:val="00921404"/>
    <w:rsid w:val="00921577"/>
    <w:rsid w:val="0092184C"/>
    <w:rsid w:val="00921C11"/>
    <w:rsid w:val="0092211A"/>
    <w:rsid w:val="009222B7"/>
    <w:rsid w:val="00922318"/>
    <w:rsid w:val="0092260A"/>
    <w:rsid w:val="009229DB"/>
    <w:rsid w:val="00922B02"/>
    <w:rsid w:val="00922B19"/>
    <w:rsid w:val="00922B29"/>
    <w:rsid w:val="00922B67"/>
    <w:rsid w:val="00923067"/>
    <w:rsid w:val="00923158"/>
    <w:rsid w:val="0092329F"/>
    <w:rsid w:val="009234D9"/>
    <w:rsid w:val="009234E3"/>
    <w:rsid w:val="009235FA"/>
    <w:rsid w:val="00923773"/>
    <w:rsid w:val="009237FA"/>
    <w:rsid w:val="00923A96"/>
    <w:rsid w:val="00924127"/>
    <w:rsid w:val="00924678"/>
    <w:rsid w:val="00924C29"/>
    <w:rsid w:val="00924C85"/>
    <w:rsid w:val="00924D1D"/>
    <w:rsid w:val="00924D41"/>
    <w:rsid w:val="009251B6"/>
    <w:rsid w:val="009251C2"/>
    <w:rsid w:val="0092524A"/>
    <w:rsid w:val="009252AD"/>
    <w:rsid w:val="00925321"/>
    <w:rsid w:val="0092571B"/>
    <w:rsid w:val="009258C8"/>
    <w:rsid w:val="00925A0D"/>
    <w:rsid w:val="00925C5D"/>
    <w:rsid w:val="00925C91"/>
    <w:rsid w:val="00925D1A"/>
    <w:rsid w:val="00925F9E"/>
    <w:rsid w:val="00926006"/>
    <w:rsid w:val="009261B5"/>
    <w:rsid w:val="00926577"/>
    <w:rsid w:val="00926592"/>
    <w:rsid w:val="009265FA"/>
    <w:rsid w:val="00926629"/>
    <w:rsid w:val="0092678C"/>
    <w:rsid w:val="009268D2"/>
    <w:rsid w:val="00926A32"/>
    <w:rsid w:val="00926DEA"/>
    <w:rsid w:val="00926E77"/>
    <w:rsid w:val="00926EEA"/>
    <w:rsid w:val="00926F0B"/>
    <w:rsid w:val="00927043"/>
    <w:rsid w:val="00927314"/>
    <w:rsid w:val="00927742"/>
    <w:rsid w:val="00927C9D"/>
    <w:rsid w:val="00927CA2"/>
    <w:rsid w:val="0093015E"/>
    <w:rsid w:val="00930221"/>
    <w:rsid w:val="00930331"/>
    <w:rsid w:val="0093049D"/>
    <w:rsid w:val="0093050B"/>
    <w:rsid w:val="009305D2"/>
    <w:rsid w:val="00930995"/>
    <w:rsid w:val="00930B3C"/>
    <w:rsid w:val="00930CB8"/>
    <w:rsid w:val="00930DD1"/>
    <w:rsid w:val="00930DEB"/>
    <w:rsid w:val="00930E52"/>
    <w:rsid w:val="0093145C"/>
    <w:rsid w:val="0093147F"/>
    <w:rsid w:val="00931515"/>
    <w:rsid w:val="009315A9"/>
    <w:rsid w:val="00931683"/>
    <w:rsid w:val="0093175D"/>
    <w:rsid w:val="00931A55"/>
    <w:rsid w:val="00931A92"/>
    <w:rsid w:val="00931AE6"/>
    <w:rsid w:val="00931CD2"/>
    <w:rsid w:val="00931CD8"/>
    <w:rsid w:val="00931EBB"/>
    <w:rsid w:val="00931F55"/>
    <w:rsid w:val="00931FA0"/>
    <w:rsid w:val="00931FEF"/>
    <w:rsid w:val="0093211A"/>
    <w:rsid w:val="009322E1"/>
    <w:rsid w:val="009323D9"/>
    <w:rsid w:val="00932639"/>
    <w:rsid w:val="0093264F"/>
    <w:rsid w:val="00932B0E"/>
    <w:rsid w:val="00932B36"/>
    <w:rsid w:val="00932C97"/>
    <w:rsid w:val="00932EFB"/>
    <w:rsid w:val="00933573"/>
    <w:rsid w:val="009336F3"/>
    <w:rsid w:val="0093377D"/>
    <w:rsid w:val="00933822"/>
    <w:rsid w:val="00933ACB"/>
    <w:rsid w:val="00933C32"/>
    <w:rsid w:val="00933CE3"/>
    <w:rsid w:val="00933D9A"/>
    <w:rsid w:val="00933E30"/>
    <w:rsid w:val="00933E87"/>
    <w:rsid w:val="00933EAD"/>
    <w:rsid w:val="00934193"/>
    <w:rsid w:val="009342E4"/>
    <w:rsid w:val="009344A0"/>
    <w:rsid w:val="00934AC2"/>
    <w:rsid w:val="00934BFC"/>
    <w:rsid w:val="00934F6B"/>
    <w:rsid w:val="009355D8"/>
    <w:rsid w:val="009358F9"/>
    <w:rsid w:val="00935E41"/>
    <w:rsid w:val="00935F48"/>
    <w:rsid w:val="009362F1"/>
    <w:rsid w:val="009366F2"/>
    <w:rsid w:val="00936703"/>
    <w:rsid w:val="00936B86"/>
    <w:rsid w:val="0093700D"/>
    <w:rsid w:val="00937076"/>
    <w:rsid w:val="009372B7"/>
    <w:rsid w:val="00937343"/>
    <w:rsid w:val="009373D1"/>
    <w:rsid w:val="009378B3"/>
    <w:rsid w:val="00937A4D"/>
    <w:rsid w:val="00937C69"/>
    <w:rsid w:val="00937EC2"/>
    <w:rsid w:val="0094038A"/>
    <w:rsid w:val="009409A4"/>
    <w:rsid w:val="00940A42"/>
    <w:rsid w:val="00940BF1"/>
    <w:rsid w:val="00940D23"/>
    <w:rsid w:val="0094110F"/>
    <w:rsid w:val="00941139"/>
    <w:rsid w:val="00941255"/>
    <w:rsid w:val="00941472"/>
    <w:rsid w:val="00941584"/>
    <w:rsid w:val="00941694"/>
    <w:rsid w:val="0094171D"/>
    <w:rsid w:val="009417A4"/>
    <w:rsid w:val="009419CF"/>
    <w:rsid w:val="00941B29"/>
    <w:rsid w:val="00941C1F"/>
    <w:rsid w:val="00941EC9"/>
    <w:rsid w:val="00941F3C"/>
    <w:rsid w:val="00942081"/>
    <w:rsid w:val="00942217"/>
    <w:rsid w:val="00942683"/>
    <w:rsid w:val="00942BAD"/>
    <w:rsid w:val="00942DD5"/>
    <w:rsid w:val="00942E19"/>
    <w:rsid w:val="00942EBB"/>
    <w:rsid w:val="00942F2D"/>
    <w:rsid w:val="00943003"/>
    <w:rsid w:val="009431C3"/>
    <w:rsid w:val="009433C5"/>
    <w:rsid w:val="00943470"/>
    <w:rsid w:val="0094356D"/>
    <w:rsid w:val="0094391F"/>
    <w:rsid w:val="009439DC"/>
    <w:rsid w:val="00943CA7"/>
    <w:rsid w:val="00943DDA"/>
    <w:rsid w:val="00943F0C"/>
    <w:rsid w:val="009440B9"/>
    <w:rsid w:val="009441A8"/>
    <w:rsid w:val="00944275"/>
    <w:rsid w:val="00944382"/>
    <w:rsid w:val="009444A1"/>
    <w:rsid w:val="00944633"/>
    <w:rsid w:val="00944847"/>
    <w:rsid w:val="00944B4E"/>
    <w:rsid w:val="00944B6F"/>
    <w:rsid w:val="00944BE6"/>
    <w:rsid w:val="00944E86"/>
    <w:rsid w:val="00944ECE"/>
    <w:rsid w:val="00944F8D"/>
    <w:rsid w:val="00944FD0"/>
    <w:rsid w:val="009451E3"/>
    <w:rsid w:val="009452F6"/>
    <w:rsid w:val="00945559"/>
    <w:rsid w:val="00945597"/>
    <w:rsid w:val="00945684"/>
    <w:rsid w:val="009456A8"/>
    <w:rsid w:val="0094577B"/>
    <w:rsid w:val="0094578E"/>
    <w:rsid w:val="00945A34"/>
    <w:rsid w:val="00945B8C"/>
    <w:rsid w:val="00945C1F"/>
    <w:rsid w:val="00945F2D"/>
    <w:rsid w:val="00945FBF"/>
    <w:rsid w:val="00945FF0"/>
    <w:rsid w:val="009463D3"/>
    <w:rsid w:val="009463DB"/>
    <w:rsid w:val="009463EF"/>
    <w:rsid w:val="00946404"/>
    <w:rsid w:val="00946774"/>
    <w:rsid w:val="00946800"/>
    <w:rsid w:val="0094689F"/>
    <w:rsid w:val="009468A5"/>
    <w:rsid w:val="0094698D"/>
    <w:rsid w:val="00946AC0"/>
    <w:rsid w:val="00946B06"/>
    <w:rsid w:val="00946D44"/>
    <w:rsid w:val="00946E5F"/>
    <w:rsid w:val="00947044"/>
    <w:rsid w:val="00947182"/>
    <w:rsid w:val="0094725F"/>
    <w:rsid w:val="009474F8"/>
    <w:rsid w:val="0094757F"/>
    <w:rsid w:val="00947733"/>
    <w:rsid w:val="009477C9"/>
    <w:rsid w:val="009478A4"/>
    <w:rsid w:val="00947B06"/>
    <w:rsid w:val="00947D3B"/>
    <w:rsid w:val="00947D78"/>
    <w:rsid w:val="00947DB7"/>
    <w:rsid w:val="00947E62"/>
    <w:rsid w:val="00950052"/>
    <w:rsid w:val="009502FD"/>
    <w:rsid w:val="009504F4"/>
    <w:rsid w:val="009505F3"/>
    <w:rsid w:val="00950814"/>
    <w:rsid w:val="00950A97"/>
    <w:rsid w:val="00950D95"/>
    <w:rsid w:val="00950DA4"/>
    <w:rsid w:val="00950EAD"/>
    <w:rsid w:val="00950EE5"/>
    <w:rsid w:val="009512D3"/>
    <w:rsid w:val="009515BD"/>
    <w:rsid w:val="0095178D"/>
    <w:rsid w:val="009519FF"/>
    <w:rsid w:val="00951A34"/>
    <w:rsid w:val="00951C03"/>
    <w:rsid w:val="00951CE6"/>
    <w:rsid w:val="00951E44"/>
    <w:rsid w:val="0095226C"/>
    <w:rsid w:val="00952580"/>
    <w:rsid w:val="00952598"/>
    <w:rsid w:val="00952689"/>
    <w:rsid w:val="009527E6"/>
    <w:rsid w:val="0095284D"/>
    <w:rsid w:val="00952B2A"/>
    <w:rsid w:val="00952D3D"/>
    <w:rsid w:val="00952F93"/>
    <w:rsid w:val="00952FE0"/>
    <w:rsid w:val="00953064"/>
    <w:rsid w:val="009530A5"/>
    <w:rsid w:val="009530E2"/>
    <w:rsid w:val="00953112"/>
    <w:rsid w:val="0095338C"/>
    <w:rsid w:val="0095342C"/>
    <w:rsid w:val="0095344E"/>
    <w:rsid w:val="009538C0"/>
    <w:rsid w:val="00953960"/>
    <w:rsid w:val="009539A4"/>
    <w:rsid w:val="00953AAB"/>
    <w:rsid w:val="00953AD3"/>
    <w:rsid w:val="00953BA7"/>
    <w:rsid w:val="00953BF0"/>
    <w:rsid w:val="00953D19"/>
    <w:rsid w:val="0095404C"/>
    <w:rsid w:val="00954135"/>
    <w:rsid w:val="0095413C"/>
    <w:rsid w:val="009542CC"/>
    <w:rsid w:val="009543C4"/>
    <w:rsid w:val="00954791"/>
    <w:rsid w:val="0095488B"/>
    <w:rsid w:val="009549FE"/>
    <w:rsid w:val="00954FAC"/>
    <w:rsid w:val="0095510D"/>
    <w:rsid w:val="00955187"/>
    <w:rsid w:val="009553D4"/>
    <w:rsid w:val="009553F7"/>
    <w:rsid w:val="00955541"/>
    <w:rsid w:val="00955628"/>
    <w:rsid w:val="00955721"/>
    <w:rsid w:val="00955737"/>
    <w:rsid w:val="00955810"/>
    <w:rsid w:val="00955852"/>
    <w:rsid w:val="00955904"/>
    <w:rsid w:val="00955CB7"/>
    <w:rsid w:val="00955D55"/>
    <w:rsid w:val="00955E23"/>
    <w:rsid w:val="00955FC1"/>
    <w:rsid w:val="0095603B"/>
    <w:rsid w:val="00956141"/>
    <w:rsid w:val="009561D3"/>
    <w:rsid w:val="00956566"/>
    <w:rsid w:val="009565C4"/>
    <w:rsid w:val="009568D6"/>
    <w:rsid w:val="00956B90"/>
    <w:rsid w:val="00956C71"/>
    <w:rsid w:val="00957335"/>
    <w:rsid w:val="0095763A"/>
    <w:rsid w:val="009577D7"/>
    <w:rsid w:val="0095788F"/>
    <w:rsid w:val="009579C4"/>
    <w:rsid w:val="00957A9A"/>
    <w:rsid w:val="009603C2"/>
    <w:rsid w:val="00960607"/>
    <w:rsid w:val="0096086A"/>
    <w:rsid w:val="00960D26"/>
    <w:rsid w:val="00960F52"/>
    <w:rsid w:val="0096107F"/>
    <w:rsid w:val="0096122A"/>
    <w:rsid w:val="009612EB"/>
    <w:rsid w:val="009616FE"/>
    <w:rsid w:val="009617C5"/>
    <w:rsid w:val="009618D8"/>
    <w:rsid w:val="00961B79"/>
    <w:rsid w:val="00961D13"/>
    <w:rsid w:val="00961E52"/>
    <w:rsid w:val="0096215F"/>
    <w:rsid w:val="009625D1"/>
    <w:rsid w:val="0096270C"/>
    <w:rsid w:val="00962861"/>
    <w:rsid w:val="00962BF5"/>
    <w:rsid w:val="00962E12"/>
    <w:rsid w:val="00962FA9"/>
    <w:rsid w:val="0096324D"/>
    <w:rsid w:val="00963329"/>
    <w:rsid w:val="0096343B"/>
    <w:rsid w:val="00963525"/>
    <w:rsid w:val="009637BF"/>
    <w:rsid w:val="00963865"/>
    <w:rsid w:val="009639A1"/>
    <w:rsid w:val="00963A04"/>
    <w:rsid w:val="00963A7D"/>
    <w:rsid w:val="00963AA3"/>
    <w:rsid w:val="00963B61"/>
    <w:rsid w:val="00963BDD"/>
    <w:rsid w:val="00963C56"/>
    <w:rsid w:val="00964240"/>
    <w:rsid w:val="009642A5"/>
    <w:rsid w:val="00964343"/>
    <w:rsid w:val="00964385"/>
    <w:rsid w:val="009643A5"/>
    <w:rsid w:val="009647B9"/>
    <w:rsid w:val="00964827"/>
    <w:rsid w:val="00964AF3"/>
    <w:rsid w:val="00964B45"/>
    <w:rsid w:val="00964C5C"/>
    <w:rsid w:val="00964CBE"/>
    <w:rsid w:val="00964D5C"/>
    <w:rsid w:val="00964EAA"/>
    <w:rsid w:val="009651F1"/>
    <w:rsid w:val="0096529A"/>
    <w:rsid w:val="00965318"/>
    <w:rsid w:val="009654E9"/>
    <w:rsid w:val="00965670"/>
    <w:rsid w:val="00965745"/>
    <w:rsid w:val="00965931"/>
    <w:rsid w:val="0096595D"/>
    <w:rsid w:val="00965A4E"/>
    <w:rsid w:val="00965B9D"/>
    <w:rsid w:val="00965CEB"/>
    <w:rsid w:val="00965D32"/>
    <w:rsid w:val="00965D66"/>
    <w:rsid w:val="00965FB0"/>
    <w:rsid w:val="00966309"/>
    <w:rsid w:val="0096662C"/>
    <w:rsid w:val="00966673"/>
    <w:rsid w:val="0096670B"/>
    <w:rsid w:val="0096670E"/>
    <w:rsid w:val="00966756"/>
    <w:rsid w:val="0096688F"/>
    <w:rsid w:val="00966A98"/>
    <w:rsid w:val="00966D67"/>
    <w:rsid w:val="00966E5F"/>
    <w:rsid w:val="0096712F"/>
    <w:rsid w:val="0096727A"/>
    <w:rsid w:val="00967703"/>
    <w:rsid w:val="0096772B"/>
    <w:rsid w:val="0096777E"/>
    <w:rsid w:val="00967B07"/>
    <w:rsid w:val="00967B7A"/>
    <w:rsid w:val="00967E4D"/>
    <w:rsid w:val="009700B1"/>
    <w:rsid w:val="00970750"/>
    <w:rsid w:val="00970C52"/>
    <w:rsid w:val="00970C91"/>
    <w:rsid w:val="00971263"/>
    <w:rsid w:val="00971967"/>
    <w:rsid w:val="00971ED3"/>
    <w:rsid w:val="0097223F"/>
    <w:rsid w:val="00972256"/>
    <w:rsid w:val="009722F2"/>
    <w:rsid w:val="0097239F"/>
    <w:rsid w:val="00972580"/>
    <w:rsid w:val="009726F0"/>
    <w:rsid w:val="0097286D"/>
    <w:rsid w:val="00972A43"/>
    <w:rsid w:val="00973006"/>
    <w:rsid w:val="0097318C"/>
    <w:rsid w:val="0097319D"/>
    <w:rsid w:val="00973358"/>
    <w:rsid w:val="00973523"/>
    <w:rsid w:val="009735DA"/>
    <w:rsid w:val="00973A7F"/>
    <w:rsid w:val="00973AB3"/>
    <w:rsid w:val="00973E2D"/>
    <w:rsid w:val="00973F51"/>
    <w:rsid w:val="00973F99"/>
    <w:rsid w:val="009740D3"/>
    <w:rsid w:val="009740E6"/>
    <w:rsid w:val="00974323"/>
    <w:rsid w:val="0097434D"/>
    <w:rsid w:val="009744E6"/>
    <w:rsid w:val="009746CD"/>
    <w:rsid w:val="0097497B"/>
    <w:rsid w:val="00974A34"/>
    <w:rsid w:val="00974A95"/>
    <w:rsid w:val="00974AAE"/>
    <w:rsid w:val="00974AC0"/>
    <w:rsid w:val="00974D76"/>
    <w:rsid w:val="00974E13"/>
    <w:rsid w:val="009750F9"/>
    <w:rsid w:val="009753D2"/>
    <w:rsid w:val="00975414"/>
    <w:rsid w:val="00975532"/>
    <w:rsid w:val="0097583C"/>
    <w:rsid w:val="00975CFB"/>
    <w:rsid w:val="00975D73"/>
    <w:rsid w:val="00975DD5"/>
    <w:rsid w:val="00975E61"/>
    <w:rsid w:val="00976069"/>
    <w:rsid w:val="009760D5"/>
    <w:rsid w:val="00976163"/>
    <w:rsid w:val="0097619A"/>
    <w:rsid w:val="009762A3"/>
    <w:rsid w:val="009763C2"/>
    <w:rsid w:val="009765EA"/>
    <w:rsid w:val="00976982"/>
    <w:rsid w:val="00976A09"/>
    <w:rsid w:val="00976B90"/>
    <w:rsid w:val="00976C6D"/>
    <w:rsid w:val="00976CE8"/>
    <w:rsid w:val="00976D8B"/>
    <w:rsid w:val="00976DAB"/>
    <w:rsid w:val="00976EFC"/>
    <w:rsid w:val="00976F98"/>
    <w:rsid w:val="00976FC6"/>
    <w:rsid w:val="009770B9"/>
    <w:rsid w:val="00977107"/>
    <w:rsid w:val="00977428"/>
    <w:rsid w:val="009774AD"/>
    <w:rsid w:val="009774F5"/>
    <w:rsid w:val="009775C9"/>
    <w:rsid w:val="0097776E"/>
    <w:rsid w:val="009778F8"/>
    <w:rsid w:val="00977AC3"/>
    <w:rsid w:val="009800F4"/>
    <w:rsid w:val="0098037F"/>
    <w:rsid w:val="009804DC"/>
    <w:rsid w:val="00980A35"/>
    <w:rsid w:val="00980DCE"/>
    <w:rsid w:val="00980E33"/>
    <w:rsid w:val="00980F9E"/>
    <w:rsid w:val="0098108A"/>
    <w:rsid w:val="009810E5"/>
    <w:rsid w:val="0098111C"/>
    <w:rsid w:val="009811B9"/>
    <w:rsid w:val="0098123B"/>
    <w:rsid w:val="009812D8"/>
    <w:rsid w:val="009815CB"/>
    <w:rsid w:val="00981609"/>
    <w:rsid w:val="0098170A"/>
    <w:rsid w:val="009817D6"/>
    <w:rsid w:val="00981B4E"/>
    <w:rsid w:val="00981C01"/>
    <w:rsid w:val="00981EA3"/>
    <w:rsid w:val="00981FD6"/>
    <w:rsid w:val="0098217E"/>
    <w:rsid w:val="009821FB"/>
    <w:rsid w:val="009822FB"/>
    <w:rsid w:val="009823DF"/>
    <w:rsid w:val="00982439"/>
    <w:rsid w:val="00982879"/>
    <w:rsid w:val="00982C50"/>
    <w:rsid w:val="00982C9B"/>
    <w:rsid w:val="00983156"/>
    <w:rsid w:val="009832DA"/>
    <w:rsid w:val="009832E2"/>
    <w:rsid w:val="009835E1"/>
    <w:rsid w:val="00983672"/>
    <w:rsid w:val="00983689"/>
    <w:rsid w:val="009837A0"/>
    <w:rsid w:val="00983992"/>
    <w:rsid w:val="009839B5"/>
    <w:rsid w:val="00983C5C"/>
    <w:rsid w:val="00983F84"/>
    <w:rsid w:val="009840BC"/>
    <w:rsid w:val="00984146"/>
    <w:rsid w:val="009844AB"/>
    <w:rsid w:val="009845A2"/>
    <w:rsid w:val="00984B6D"/>
    <w:rsid w:val="00984CA5"/>
    <w:rsid w:val="00984DF0"/>
    <w:rsid w:val="00985158"/>
    <w:rsid w:val="00985275"/>
    <w:rsid w:val="00985345"/>
    <w:rsid w:val="0098556B"/>
    <w:rsid w:val="00985705"/>
    <w:rsid w:val="00985A39"/>
    <w:rsid w:val="00985A66"/>
    <w:rsid w:val="00985AB6"/>
    <w:rsid w:val="00985E2F"/>
    <w:rsid w:val="00985EDD"/>
    <w:rsid w:val="0098627C"/>
    <w:rsid w:val="00986826"/>
    <w:rsid w:val="009868DA"/>
    <w:rsid w:val="00986994"/>
    <w:rsid w:val="00986C51"/>
    <w:rsid w:val="00986D2B"/>
    <w:rsid w:val="00986D49"/>
    <w:rsid w:val="00986E1D"/>
    <w:rsid w:val="00986E7D"/>
    <w:rsid w:val="00986EE2"/>
    <w:rsid w:val="00986EF7"/>
    <w:rsid w:val="00987007"/>
    <w:rsid w:val="009871AF"/>
    <w:rsid w:val="0098726F"/>
    <w:rsid w:val="009872CC"/>
    <w:rsid w:val="009872F0"/>
    <w:rsid w:val="00987457"/>
    <w:rsid w:val="009874A1"/>
    <w:rsid w:val="0098780C"/>
    <w:rsid w:val="00987A1C"/>
    <w:rsid w:val="00987E8F"/>
    <w:rsid w:val="00987E94"/>
    <w:rsid w:val="00987F2F"/>
    <w:rsid w:val="00987FD9"/>
    <w:rsid w:val="00987FFA"/>
    <w:rsid w:val="0099000B"/>
    <w:rsid w:val="009901C4"/>
    <w:rsid w:val="00990269"/>
    <w:rsid w:val="009902BC"/>
    <w:rsid w:val="00990370"/>
    <w:rsid w:val="00990469"/>
    <w:rsid w:val="0099070A"/>
    <w:rsid w:val="00990770"/>
    <w:rsid w:val="00990908"/>
    <w:rsid w:val="0099098A"/>
    <w:rsid w:val="00990D56"/>
    <w:rsid w:val="00991388"/>
    <w:rsid w:val="00991586"/>
    <w:rsid w:val="00991994"/>
    <w:rsid w:val="00991C01"/>
    <w:rsid w:val="00992285"/>
    <w:rsid w:val="00992417"/>
    <w:rsid w:val="009926A1"/>
    <w:rsid w:val="00992769"/>
    <w:rsid w:val="00992876"/>
    <w:rsid w:val="009929A4"/>
    <w:rsid w:val="00992CAD"/>
    <w:rsid w:val="0099302A"/>
    <w:rsid w:val="0099311D"/>
    <w:rsid w:val="009932FA"/>
    <w:rsid w:val="0099334D"/>
    <w:rsid w:val="00993373"/>
    <w:rsid w:val="009935C7"/>
    <w:rsid w:val="009935F7"/>
    <w:rsid w:val="00993B6D"/>
    <w:rsid w:val="00993BCA"/>
    <w:rsid w:val="00993E43"/>
    <w:rsid w:val="00993F93"/>
    <w:rsid w:val="00994256"/>
    <w:rsid w:val="00994285"/>
    <w:rsid w:val="00994452"/>
    <w:rsid w:val="00994666"/>
    <w:rsid w:val="009949AF"/>
    <w:rsid w:val="00994BC4"/>
    <w:rsid w:val="00995038"/>
    <w:rsid w:val="00995041"/>
    <w:rsid w:val="00995258"/>
    <w:rsid w:val="00995359"/>
    <w:rsid w:val="009953C6"/>
    <w:rsid w:val="00995413"/>
    <w:rsid w:val="009956F7"/>
    <w:rsid w:val="00995807"/>
    <w:rsid w:val="009959BF"/>
    <w:rsid w:val="00995CEB"/>
    <w:rsid w:val="00995D0C"/>
    <w:rsid w:val="00995F0D"/>
    <w:rsid w:val="009962D0"/>
    <w:rsid w:val="0099641B"/>
    <w:rsid w:val="00996421"/>
    <w:rsid w:val="0099649F"/>
    <w:rsid w:val="00996600"/>
    <w:rsid w:val="0099671E"/>
    <w:rsid w:val="00996878"/>
    <w:rsid w:val="00996C07"/>
    <w:rsid w:val="00996C17"/>
    <w:rsid w:val="00997473"/>
    <w:rsid w:val="0099760E"/>
    <w:rsid w:val="00997644"/>
    <w:rsid w:val="00997C67"/>
    <w:rsid w:val="00997CFE"/>
    <w:rsid w:val="00997D06"/>
    <w:rsid w:val="00997E37"/>
    <w:rsid w:val="009A0316"/>
    <w:rsid w:val="009A04BC"/>
    <w:rsid w:val="009A0676"/>
    <w:rsid w:val="009A0749"/>
    <w:rsid w:val="009A092F"/>
    <w:rsid w:val="009A09DB"/>
    <w:rsid w:val="009A0A6E"/>
    <w:rsid w:val="009A0AE9"/>
    <w:rsid w:val="009A0C4E"/>
    <w:rsid w:val="009A0D14"/>
    <w:rsid w:val="009A0E7D"/>
    <w:rsid w:val="009A0F3E"/>
    <w:rsid w:val="009A100B"/>
    <w:rsid w:val="009A1367"/>
    <w:rsid w:val="009A13CE"/>
    <w:rsid w:val="009A146F"/>
    <w:rsid w:val="009A1618"/>
    <w:rsid w:val="009A1788"/>
    <w:rsid w:val="009A17A6"/>
    <w:rsid w:val="009A1BC2"/>
    <w:rsid w:val="009A1DD5"/>
    <w:rsid w:val="009A1EE0"/>
    <w:rsid w:val="009A1F47"/>
    <w:rsid w:val="009A2316"/>
    <w:rsid w:val="009A25BA"/>
    <w:rsid w:val="009A2876"/>
    <w:rsid w:val="009A290B"/>
    <w:rsid w:val="009A29E4"/>
    <w:rsid w:val="009A2CE9"/>
    <w:rsid w:val="009A2CEF"/>
    <w:rsid w:val="009A2E08"/>
    <w:rsid w:val="009A385F"/>
    <w:rsid w:val="009A3A26"/>
    <w:rsid w:val="009A3B70"/>
    <w:rsid w:val="009A3C56"/>
    <w:rsid w:val="009A3C64"/>
    <w:rsid w:val="009A3DB4"/>
    <w:rsid w:val="009A3E92"/>
    <w:rsid w:val="009A3EF6"/>
    <w:rsid w:val="009A3FE7"/>
    <w:rsid w:val="009A4038"/>
    <w:rsid w:val="009A4187"/>
    <w:rsid w:val="009A41E2"/>
    <w:rsid w:val="009A4273"/>
    <w:rsid w:val="009A431A"/>
    <w:rsid w:val="009A4432"/>
    <w:rsid w:val="009A45B6"/>
    <w:rsid w:val="009A45E0"/>
    <w:rsid w:val="009A48CC"/>
    <w:rsid w:val="009A49E9"/>
    <w:rsid w:val="009A49EE"/>
    <w:rsid w:val="009A4ACD"/>
    <w:rsid w:val="009A4BFD"/>
    <w:rsid w:val="009A4D2C"/>
    <w:rsid w:val="009A4DD6"/>
    <w:rsid w:val="009A4DFA"/>
    <w:rsid w:val="009A5153"/>
    <w:rsid w:val="009A51DC"/>
    <w:rsid w:val="009A5501"/>
    <w:rsid w:val="009A5831"/>
    <w:rsid w:val="009A58ED"/>
    <w:rsid w:val="009A5B2E"/>
    <w:rsid w:val="009A5C60"/>
    <w:rsid w:val="009A5FC7"/>
    <w:rsid w:val="009A644F"/>
    <w:rsid w:val="009A64EE"/>
    <w:rsid w:val="009A65A1"/>
    <w:rsid w:val="009A6B24"/>
    <w:rsid w:val="009A6C78"/>
    <w:rsid w:val="009A6CB9"/>
    <w:rsid w:val="009A6D12"/>
    <w:rsid w:val="009A6F0E"/>
    <w:rsid w:val="009A6F20"/>
    <w:rsid w:val="009A74DC"/>
    <w:rsid w:val="009A7585"/>
    <w:rsid w:val="009A772A"/>
    <w:rsid w:val="009A7A7C"/>
    <w:rsid w:val="009A7B9B"/>
    <w:rsid w:val="009A7EE9"/>
    <w:rsid w:val="009B02FB"/>
    <w:rsid w:val="009B03D0"/>
    <w:rsid w:val="009B085D"/>
    <w:rsid w:val="009B08ED"/>
    <w:rsid w:val="009B0925"/>
    <w:rsid w:val="009B09D5"/>
    <w:rsid w:val="009B0A53"/>
    <w:rsid w:val="009B0A95"/>
    <w:rsid w:val="009B0BA6"/>
    <w:rsid w:val="009B0EAE"/>
    <w:rsid w:val="009B1012"/>
    <w:rsid w:val="009B1254"/>
    <w:rsid w:val="009B1363"/>
    <w:rsid w:val="009B13CC"/>
    <w:rsid w:val="009B14C7"/>
    <w:rsid w:val="009B1833"/>
    <w:rsid w:val="009B1BB7"/>
    <w:rsid w:val="009B1C73"/>
    <w:rsid w:val="009B1DC1"/>
    <w:rsid w:val="009B1FDB"/>
    <w:rsid w:val="009B2090"/>
    <w:rsid w:val="009B21DE"/>
    <w:rsid w:val="009B22D4"/>
    <w:rsid w:val="009B23C0"/>
    <w:rsid w:val="009B2531"/>
    <w:rsid w:val="009B258C"/>
    <w:rsid w:val="009B2842"/>
    <w:rsid w:val="009B2CC0"/>
    <w:rsid w:val="009B2CE6"/>
    <w:rsid w:val="009B2EA6"/>
    <w:rsid w:val="009B2FD9"/>
    <w:rsid w:val="009B36BA"/>
    <w:rsid w:val="009B397A"/>
    <w:rsid w:val="009B3B9C"/>
    <w:rsid w:val="009B3BA5"/>
    <w:rsid w:val="009B3CA2"/>
    <w:rsid w:val="009B3D76"/>
    <w:rsid w:val="009B3E5D"/>
    <w:rsid w:val="009B3F06"/>
    <w:rsid w:val="009B3F7D"/>
    <w:rsid w:val="009B416D"/>
    <w:rsid w:val="009B42D3"/>
    <w:rsid w:val="009B43D6"/>
    <w:rsid w:val="009B4640"/>
    <w:rsid w:val="009B46DD"/>
    <w:rsid w:val="009B4704"/>
    <w:rsid w:val="009B4A57"/>
    <w:rsid w:val="009B4ADF"/>
    <w:rsid w:val="009B4B1B"/>
    <w:rsid w:val="009B4C26"/>
    <w:rsid w:val="009B4CDC"/>
    <w:rsid w:val="009B4D8B"/>
    <w:rsid w:val="009B4FAC"/>
    <w:rsid w:val="009B50A0"/>
    <w:rsid w:val="009B5326"/>
    <w:rsid w:val="009B5465"/>
    <w:rsid w:val="009B5471"/>
    <w:rsid w:val="009B588F"/>
    <w:rsid w:val="009B58CB"/>
    <w:rsid w:val="009B5C9A"/>
    <w:rsid w:val="009B5E80"/>
    <w:rsid w:val="009B5F62"/>
    <w:rsid w:val="009B6366"/>
    <w:rsid w:val="009B636F"/>
    <w:rsid w:val="009B63C9"/>
    <w:rsid w:val="009B699A"/>
    <w:rsid w:val="009B6DAB"/>
    <w:rsid w:val="009B6E4C"/>
    <w:rsid w:val="009B7030"/>
    <w:rsid w:val="009B71DE"/>
    <w:rsid w:val="009B71FE"/>
    <w:rsid w:val="009B72B8"/>
    <w:rsid w:val="009B74F0"/>
    <w:rsid w:val="009B7502"/>
    <w:rsid w:val="009B771B"/>
    <w:rsid w:val="009B7BAA"/>
    <w:rsid w:val="009B7C3D"/>
    <w:rsid w:val="009B7CB3"/>
    <w:rsid w:val="009B7CBF"/>
    <w:rsid w:val="009B7FC7"/>
    <w:rsid w:val="009C0528"/>
    <w:rsid w:val="009C08E3"/>
    <w:rsid w:val="009C095D"/>
    <w:rsid w:val="009C0AAB"/>
    <w:rsid w:val="009C0B03"/>
    <w:rsid w:val="009C0BE6"/>
    <w:rsid w:val="009C0FDC"/>
    <w:rsid w:val="009C101F"/>
    <w:rsid w:val="009C1299"/>
    <w:rsid w:val="009C13CD"/>
    <w:rsid w:val="009C165A"/>
    <w:rsid w:val="009C18CD"/>
    <w:rsid w:val="009C198C"/>
    <w:rsid w:val="009C1A27"/>
    <w:rsid w:val="009C1D28"/>
    <w:rsid w:val="009C1DD8"/>
    <w:rsid w:val="009C1F85"/>
    <w:rsid w:val="009C21A6"/>
    <w:rsid w:val="009C22D1"/>
    <w:rsid w:val="009C24A5"/>
    <w:rsid w:val="009C276B"/>
    <w:rsid w:val="009C2879"/>
    <w:rsid w:val="009C28B5"/>
    <w:rsid w:val="009C2917"/>
    <w:rsid w:val="009C2A5B"/>
    <w:rsid w:val="009C2B58"/>
    <w:rsid w:val="009C2CC5"/>
    <w:rsid w:val="009C2CE5"/>
    <w:rsid w:val="009C2DA1"/>
    <w:rsid w:val="009C2F85"/>
    <w:rsid w:val="009C3431"/>
    <w:rsid w:val="009C349E"/>
    <w:rsid w:val="009C34A2"/>
    <w:rsid w:val="009C3524"/>
    <w:rsid w:val="009C40A4"/>
    <w:rsid w:val="009C437F"/>
    <w:rsid w:val="009C479D"/>
    <w:rsid w:val="009C4D10"/>
    <w:rsid w:val="009C504D"/>
    <w:rsid w:val="009C5082"/>
    <w:rsid w:val="009C50BB"/>
    <w:rsid w:val="009C50EA"/>
    <w:rsid w:val="009C5324"/>
    <w:rsid w:val="009C5390"/>
    <w:rsid w:val="009C556A"/>
    <w:rsid w:val="009C58EF"/>
    <w:rsid w:val="009C599F"/>
    <w:rsid w:val="009C5A62"/>
    <w:rsid w:val="009C5DB0"/>
    <w:rsid w:val="009C5E92"/>
    <w:rsid w:val="009C5F97"/>
    <w:rsid w:val="009C6033"/>
    <w:rsid w:val="009C6142"/>
    <w:rsid w:val="009C659B"/>
    <w:rsid w:val="009C65E5"/>
    <w:rsid w:val="009C6813"/>
    <w:rsid w:val="009C6A1C"/>
    <w:rsid w:val="009C6A50"/>
    <w:rsid w:val="009C6EB5"/>
    <w:rsid w:val="009C7000"/>
    <w:rsid w:val="009C707C"/>
    <w:rsid w:val="009C7174"/>
    <w:rsid w:val="009C733F"/>
    <w:rsid w:val="009C74E7"/>
    <w:rsid w:val="009C7773"/>
    <w:rsid w:val="009C7867"/>
    <w:rsid w:val="009C793F"/>
    <w:rsid w:val="009C7AB7"/>
    <w:rsid w:val="009C7B91"/>
    <w:rsid w:val="009C7C0F"/>
    <w:rsid w:val="009C7C4B"/>
    <w:rsid w:val="009C7E2C"/>
    <w:rsid w:val="009D015E"/>
    <w:rsid w:val="009D0211"/>
    <w:rsid w:val="009D0228"/>
    <w:rsid w:val="009D02DC"/>
    <w:rsid w:val="009D0512"/>
    <w:rsid w:val="009D0AE9"/>
    <w:rsid w:val="009D0C9F"/>
    <w:rsid w:val="009D0D62"/>
    <w:rsid w:val="009D0E23"/>
    <w:rsid w:val="009D0F6D"/>
    <w:rsid w:val="009D1055"/>
    <w:rsid w:val="009D110D"/>
    <w:rsid w:val="009D11B0"/>
    <w:rsid w:val="009D1224"/>
    <w:rsid w:val="009D147D"/>
    <w:rsid w:val="009D165E"/>
    <w:rsid w:val="009D1780"/>
    <w:rsid w:val="009D1857"/>
    <w:rsid w:val="009D1C51"/>
    <w:rsid w:val="009D1C8A"/>
    <w:rsid w:val="009D1D70"/>
    <w:rsid w:val="009D1FE6"/>
    <w:rsid w:val="009D2069"/>
    <w:rsid w:val="009D2081"/>
    <w:rsid w:val="009D22B2"/>
    <w:rsid w:val="009D237F"/>
    <w:rsid w:val="009D23A9"/>
    <w:rsid w:val="009D2726"/>
    <w:rsid w:val="009D276D"/>
    <w:rsid w:val="009D28F2"/>
    <w:rsid w:val="009D2963"/>
    <w:rsid w:val="009D2C62"/>
    <w:rsid w:val="009D2D55"/>
    <w:rsid w:val="009D2D6C"/>
    <w:rsid w:val="009D3062"/>
    <w:rsid w:val="009D30B6"/>
    <w:rsid w:val="009D33DE"/>
    <w:rsid w:val="009D35DB"/>
    <w:rsid w:val="009D3656"/>
    <w:rsid w:val="009D37EA"/>
    <w:rsid w:val="009D3938"/>
    <w:rsid w:val="009D3953"/>
    <w:rsid w:val="009D3960"/>
    <w:rsid w:val="009D39D9"/>
    <w:rsid w:val="009D3AA2"/>
    <w:rsid w:val="009D3B18"/>
    <w:rsid w:val="009D3C27"/>
    <w:rsid w:val="009D3CC0"/>
    <w:rsid w:val="009D4112"/>
    <w:rsid w:val="009D416D"/>
    <w:rsid w:val="009D43C5"/>
    <w:rsid w:val="009D45A8"/>
    <w:rsid w:val="009D471E"/>
    <w:rsid w:val="009D475D"/>
    <w:rsid w:val="009D4851"/>
    <w:rsid w:val="009D49B8"/>
    <w:rsid w:val="009D4C1A"/>
    <w:rsid w:val="009D4C71"/>
    <w:rsid w:val="009D4F82"/>
    <w:rsid w:val="009D52B0"/>
    <w:rsid w:val="009D5441"/>
    <w:rsid w:val="009D54AF"/>
    <w:rsid w:val="009D568B"/>
    <w:rsid w:val="009D5704"/>
    <w:rsid w:val="009D5A1C"/>
    <w:rsid w:val="009D5ADF"/>
    <w:rsid w:val="009D5B59"/>
    <w:rsid w:val="009D5B69"/>
    <w:rsid w:val="009D5D82"/>
    <w:rsid w:val="009D5DF5"/>
    <w:rsid w:val="009D5E55"/>
    <w:rsid w:val="009D5F47"/>
    <w:rsid w:val="009D60D0"/>
    <w:rsid w:val="009D6275"/>
    <w:rsid w:val="009D63A4"/>
    <w:rsid w:val="009D65D2"/>
    <w:rsid w:val="009D66E6"/>
    <w:rsid w:val="009D6706"/>
    <w:rsid w:val="009D68E8"/>
    <w:rsid w:val="009D68F5"/>
    <w:rsid w:val="009D6C6A"/>
    <w:rsid w:val="009D6E0D"/>
    <w:rsid w:val="009D71A3"/>
    <w:rsid w:val="009D74AE"/>
    <w:rsid w:val="009D7585"/>
    <w:rsid w:val="009D75D8"/>
    <w:rsid w:val="009D7946"/>
    <w:rsid w:val="009D7AB9"/>
    <w:rsid w:val="009D7AC8"/>
    <w:rsid w:val="009D7DEB"/>
    <w:rsid w:val="009D7E47"/>
    <w:rsid w:val="009D7EB1"/>
    <w:rsid w:val="009D7FE9"/>
    <w:rsid w:val="009E0051"/>
    <w:rsid w:val="009E01D8"/>
    <w:rsid w:val="009E022B"/>
    <w:rsid w:val="009E02AA"/>
    <w:rsid w:val="009E0422"/>
    <w:rsid w:val="009E04EB"/>
    <w:rsid w:val="009E04EF"/>
    <w:rsid w:val="009E091E"/>
    <w:rsid w:val="009E0AA8"/>
    <w:rsid w:val="009E0ADB"/>
    <w:rsid w:val="009E0CBF"/>
    <w:rsid w:val="009E0D70"/>
    <w:rsid w:val="009E0DAA"/>
    <w:rsid w:val="009E1228"/>
    <w:rsid w:val="009E130B"/>
    <w:rsid w:val="009E1382"/>
    <w:rsid w:val="009E13AD"/>
    <w:rsid w:val="009E15F8"/>
    <w:rsid w:val="009E1609"/>
    <w:rsid w:val="009E176A"/>
    <w:rsid w:val="009E181C"/>
    <w:rsid w:val="009E182D"/>
    <w:rsid w:val="009E1862"/>
    <w:rsid w:val="009E193A"/>
    <w:rsid w:val="009E1A1C"/>
    <w:rsid w:val="009E260C"/>
    <w:rsid w:val="009E263E"/>
    <w:rsid w:val="009E2958"/>
    <w:rsid w:val="009E2988"/>
    <w:rsid w:val="009E2A9B"/>
    <w:rsid w:val="009E2F99"/>
    <w:rsid w:val="009E3560"/>
    <w:rsid w:val="009E3B38"/>
    <w:rsid w:val="009E3BAD"/>
    <w:rsid w:val="009E3BD7"/>
    <w:rsid w:val="009E3CAD"/>
    <w:rsid w:val="009E3DFB"/>
    <w:rsid w:val="009E4498"/>
    <w:rsid w:val="009E45FC"/>
    <w:rsid w:val="009E4612"/>
    <w:rsid w:val="009E473B"/>
    <w:rsid w:val="009E490E"/>
    <w:rsid w:val="009E49AF"/>
    <w:rsid w:val="009E4B1B"/>
    <w:rsid w:val="009E4D25"/>
    <w:rsid w:val="009E4E15"/>
    <w:rsid w:val="009E5346"/>
    <w:rsid w:val="009E5796"/>
    <w:rsid w:val="009E57A2"/>
    <w:rsid w:val="009E5830"/>
    <w:rsid w:val="009E5A82"/>
    <w:rsid w:val="009E6236"/>
    <w:rsid w:val="009E62E3"/>
    <w:rsid w:val="009E6317"/>
    <w:rsid w:val="009E6B7C"/>
    <w:rsid w:val="009E6E25"/>
    <w:rsid w:val="009E7367"/>
    <w:rsid w:val="009E7780"/>
    <w:rsid w:val="009E7C2C"/>
    <w:rsid w:val="009F0199"/>
    <w:rsid w:val="009F02D7"/>
    <w:rsid w:val="009F0479"/>
    <w:rsid w:val="009F0583"/>
    <w:rsid w:val="009F09F1"/>
    <w:rsid w:val="009F0C13"/>
    <w:rsid w:val="009F0E80"/>
    <w:rsid w:val="009F11AA"/>
    <w:rsid w:val="009F11B3"/>
    <w:rsid w:val="009F11EA"/>
    <w:rsid w:val="009F1243"/>
    <w:rsid w:val="009F1371"/>
    <w:rsid w:val="009F14A8"/>
    <w:rsid w:val="009F153F"/>
    <w:rsid w:val="009F1629"/>
    <w:rsid w:val="009F163D"/>
    <w:rsid w:val="009F186C"/>
    <w:rsid w:val="009F1AC5"/>
    <w:rsid w:val="009F1BC0"/>
    <w:rsid w:val="009F1D48"/>
    <w:rsid w:val="009F1DA8"/>
    <w:rsid w:val="009F1DB8"/>
    <w:rsid w:val="009F1F04"/>
    <w:rsid w:val="009F204D"/>
    <w:rsid w:val="009F20D3"/>
    <w:rsid w:val="009F212A"/>
    <w:rsid w:val="009F2145"/>
    <w:rsid w:val="009F23FA"/>
    <w:rsid w:val="009F24FD"/>
    <w:rsid w:val="009F25D3"/>
    <w:rsid w:val="009F26FE"/>
    <w:rsid w:val="009F2937"/>
    <w:rsid w:val="009F2C07"/>
    <w:rsid w:val="009F2DB9"/>
    <w:rsid w:val="009F3101"/>
    <w:rsid w:val="009F31FC"/>
    <w:rsid w:val="009F351E"/>
    <w:rsid w:val="009F35AE"/>
    <w:rsid w:val="009F3639"/>
    <w:rsid w:val="009F37B2"/>
    <w:rsid w:val="009F37FF"/>
    <w:rsid w:val="009F3B5A"/>
    <w:rsid w:val="009F3CC6"/>
    <w:rsid w:val="009F3DC0"/>
    <w:rsid w:val="009F3E67"/>
    <w:rsid w:val="009F3FCB"/>
    <w:rsid w:val="009F4094"/>
    <w:rsid w:val="009F409C"/>
    <w:rsid w:val="009F4271"/>
    <w:rsid w:val="009F44D6"/>
    <w:rsid w:val="009F4DC9"/>
    <w:rsid w:val="009F4EE0"/>
    <w:rsid w:val="009F4F99"/>
    <w:rsid w:val="009F4FB2"/>
    <w:rsid w:val="009F51C1"/>
    <w:rsid w:val="009F5351"/>
    <w:rsid w:val="009F5383"/>
    <w:rsid w:val="009F5422"/>
    <w:rsid w:val="009F54E7"/>
    <w:rsid w:val="009F58C5"/>
    <w:rsid w:val="009F5AE4"/>
    <w:rsid w:val="009F5ECC"/>
    <w:rsid w:val="009F5FF9"/>
    <w:rsid w:val="009F6013"/>
    <w:rsid w:val="009F612A"/>
    <w:rsid w:val="009F6200"/>
    <w:rsid w:val="009F6357"/>
    <w:rsid w:val="009F64A1"/>
    <w:rsid w:val="009F6889"/>
    <w:rsid w:val="009F68FB"/>
    <w:rsid w:val="009F6908"/>
    <w:rsid w:val="009F6EB0"/>
    <w:rsid w:val="009F70BE"/>
    <w:rsid w:val="009F7165"/>
    <w:rsid w:val="009F71D9"/>
    <w:rsid w:val="009F74B1"/>
    <w:rsid w:val="009F78D2"/>
    <w:rsid w:val="009F78FE"/>
    <w:rsid w:val="009F7BF8"/>
    <w:rsid w:val="009F7BFD"/>
    <w:rsid w:val="009F7DE8"/>
    <w:rsid w:val="00A000B2"/>
    <w:rsid w:val="00A00127"/>
    <w:rsid w:val="00A00187"/>
    <w:rsid w:val="00A00319"/>
    <w:rsid w:val="00A0047E"/>
    <w:rsid w:val="00A00637"/>
    <w:rsid w:val="00A0065E"/>
    <w:rsid w:val="00A00A14"/>
    <w:rsid w:val="00A00D1D"/>
    <w:rsid w:val="00A00E66"/>
    <w:rsid w:val="00A01057"/>
    <w:rsid w:val="00A0123A"/>
    <w:rsid w:val="00A01291"/>
    <w:rsid w:val="00A01344"/>
    <w:rsid w:val="00A015E0"/>
    <w:rsid w:val="00A01A80"/>
    <w:rsid w:val="00A01BEA"/>
    <w:rsid w:val="00A01DBA"/>
    <w:rsid w:val="00A020D6"/>
    <w:rsid w:val="00A0218E"/>
    <w:rsid w:val="00A024AD"/>
    <w:rsid w:val="00A025F4"/>
    <w:rsid w:val="00A02799"/>
    <w:rsid w:val="00A02CE9"/>
    <w:rsid w:val="00A02D45"/>
    <w:rsid w:val="00A02F31"/>
    <w:rsid w:val="00A02F6A"/>
    <w:rsid w:val="00A02FB3"/>
    <w:rsid w:val="00A03014"/>
    <w:rsid w:val="00A03063"/>
    <w:rsid w:val="00A030B9"/>
    <w:rsid w:val="00A031B4"/>
    <w:rsid w:val="00A0331F"/>
    <w:rsid w:val="00A033FA"/>
    <w:rsid w:val="00A0340F"/>
    <w:rsid w:val="00A0365F"/>
    <w:rsid w:val="00A036C3"/>
    <w:rsid w:val="00A039FC"/>
    <w:rsid w:val="00A03A8F"/>
    <w:rsid w:val="00A03A9E"/>
    <w:rsid w:val="00A03AD6"/>
    <w:rsid w:val="00A03D1F"/>
    <w:rsid w:val="00A03E39"/>
    <w:rsid w:val="00A0400C"/>
    <w:rsid w:val="00A04338"/>
    <w:rsid w:val="00A04531"/>
    <w:rsid w:val="00A04938"/>
    <w:rsid w:val="00A04A09"/>
    <w:rsid w:val="00A04A65"/>
    <w:rsid w:val="00A04BF0"/>
    <w:rsid w:val="00A04C23"/>
    <w:rsid w:val="00A04CB7"/>
    <w:rsid w:val="00A04F79"/>
    <w:rsid w:val="00A04FAF"/>
    <w:rsid w:val="00A05095"/>
    <w:rsid w:val="00A050BA"/>
    <w:rsid w:val="00A0519B"/>
    <w:rsid w:val="00A051E2"/>
    <w:rsid w:val="00A05219"/>
    <w:rsid w:val="00A05283"/>
    <w:rsid w:val="00A052D1"/>
    <w:rsid w:val="00A052FB"/>
    <w:rsid w:val="00A0532E"/>
    <w:rsid w:val="00A056C8"/>
    <w:rsid w:val="00A056ED"/>
    <w:rsid w:val="00A05B2D"/>
    <w:rsid w:val="00A05D57"/>
    <w:rsid w:val="00A05D67"/>
    <w:rsid w:val="00A05E85"/>
    <w:rsid w:val="00A060F9"/>
    <w:rsid w:val="00A06689"/>
    <w:rsid w:val="00A06790"/>
    <w:rsid w:val="00A068EC"/>
    <w:rsid w:val="00A069F7"/>
    <w:rsid w:val="00A06C6C"/>
    <w:rsid w:val="00A06E76"/>
    <w:rsid w:val="00A071E3"/>
    <w:rsid w:val="00A07384"/>
    <w:rsid w:val="00A076EB"/>
    <w:rsid w:val="00A0777F"/>
    <w:rsid w:val="00A077C3"/>
    <w:rsid w:val="00A07A75"/>
    <w:rsid w:val="00A07B43"/>
    <w:rsid w:val="00A07B54"/>
    <w:rsid w:val="00A07D3D"/>
    <w:rsid w:val="00A07DF7"/>
    <w:rsid w:val="00A101FD"/>
    <w:rsid w:val="00A1023D"/>
    <w:rsid w:val="00A1035E"/>
    <w:rsid w:val="00A10ADE"/>
    <w:rsid w:val="00A10F38"/>
    <w:rsid w:val="00A11005"/>
    <w:rsid w:val="00A11058"/>
    <w:rsid w:val="00A11085"/>
    <w:rsid w:val="00A110AB"/>
    <w:rsid w:val="00A11283"/>
    <w:rsid w:val="00A112E8"/>
    <w:rsid w:val="00A11322"/>
    <w:rsid w:val="00A1133F"/>
    <w:rsid w:val="00A11579"/>
    <w:rsid w:val="00A1163E"/>
    <w:rsid w:val="00A116AA"/>
    <w:rsid w:val="00A116B0"/>
    <w:rsid w:val="00A116DC"/>
    <w:rsid w:val="00A118FA"/>
    <w:rsid w:val="00A11967"/>
    <w:rsid w:val="00A11A06"/>
    <w:rsid w:val="00A11C38"/>
    <w:rsid w:val="00A11CFE"/>
    <w:rsid w:val="00A12019"/>
    <w:rsid w:val="00A121AF"/>
    <w:rsid w:val="00A12427"/>
    <w:rsid w:val="00A12601"/>
    <w:rsid w:val="00A1271B"/>
    <w:rsid w:val="00A12DD0"/>
    <w:rsid w:val="00A12FAE"/>
    <w:rsid w:val="00A12FF9"/>
    <w:rsid w:val="00A13038"/>
    <w:rsid w:val="00A13093"/>
    <w:rsid w:val="00A131A9"/>
    <w:rsid w:val="00A138CD"/>
    <w:rsid w:val="00A13961"/>
    <w:rsid w:val="00A13988"/>
    <w:rsid w:val="00A13A68"/>
    <w:rsid w:val="00A13F82"/>
    <w:rsid w:val="00A142DE"/>
    <w:rsid w:val="00A143ED"/>
    <w:rsid w:val="00A148E1"/>
    <w:rsid w:val="00A148FD"/>
    <w:rsid w:val="00A14988"/>
    <w:rsid w:val="00A14B24"/>
    <w:rsid w:val="00A1521B"/>
    <w:rsid w:val="00A15275"/>
    <w:rsid w:val="00A1531F"/>
    <w:rsid w:val="00A15321"/>
    <w:rsid w:val="00A153E9"/>
    <w:rsid w:val="00A1548C"/>
    <w:rsid w:val="00A154C7"/>
    <w:rsid w:val="00A155C1"/>
    <w:rsid w:val="00A15779"/>
    <w:rsid w:val="00A15914"/>
    <w:rsid w:val="00A159AA"/>
    <w:rsid w:val="00A15A07"/>
    <w:rsid w:val="00A15ADD"/>
    <w:rsid w:val="00A15EBB"/>
    <w:rsid w:val="00A15EC5"/>
    <w:rsid w:val="00A15F5D"/>
    <w:rsid w:val="00A15FCE"/>
    <w:rsid w:val="00A16189"/>
    <w:rsid w:val="00A16198"/>
    <w:rsid w:val="00A161E8"/>
    <w:rsid w:val="00A165A2"/>
    <w:rsid w:val="00A1676D"/>
    <w:rsid w:val="00A1679B"/>
    <w:rsid w:val="00A168B7"/>
    <w:rsid w:val="00A1696F"/>
    <w:rsid w:val="00A16B23"/>
    <w:rsid w:val="00A16BAA"/>
    <w:rsid w:val="00A16C0F"/>
    <w:rsid w:val="00A16D2E"/>
    <w:rsid w:val="00A16EFF"/>
    <w:rsid w:val="00A16F3A"/>
    <w:rsid w:val="00A16FCA"/>
    <w:rsid w:val="00A172BC"/>
    <w:rsid w:val="00A17303"/>
    <w:rsid w:val="00A17328"/>
    <w:rsid w:val="00A1749C"/>
    <w:rsid w:val="00A177F0"/>
    <w:rsid w:val="00A17A56"/>
    <w:rsid w:val="00A17A62"/>
    <w:rsid w:val="00A17C67"/>
    <w:rsid w:val="00A17F2F"/>
    <w:rsid w:val="00A20330"/>
    <w:rsid w:val="00A203F7"/>
    <w:rsid w:val="00A2048A"/>
    <w:rsid w:val="00A2066F"/>
    <w:rsid w:val="00A2068D"/>
    <w:rsid w:val="00A206C9"/>
    <w:rsid w:val="00A20835"/>
    <w:rsid w:val="00A208F8"/>
    <w:rsid w:val="00A20ADD"/>
    <w:rsid w:val="00A20C4D"/>
    <w:rsid w:val="00A21354"/>
    <w:rsid w:val="00A21633"/>
    <w:rsid w:val="00A2170C"/>
    <w:rsid w:val="00A2173D"/>
    <w:rsid w:val="00A218F2"/>
    <w:rsid w:val="00A219A9"/>
    <w:rsid w:val="00A21A34"/>
    <w:rsid w:val="00A21D1E"/>
    <w:rsid w:val="00A21E2B"/>
    <w:rsid w:val="00A22027"/>
    <w:rsid w:val="00A2220F"/>
    <w:rsid w:val="00A22385"/>
    <w:rsid w:val="00A224D2"/>
    <w:rsid w:val="00A22618"/>
    <w:rsid w:val="00A229F8"/>
    <w:rsid w:val="00A22D1C"/>
    <w:rsid w:val="00A22DB6"/>
    <w:rsid w:val="00A2321B"/>
    <w:rsid w:val="00A232A3"/>
    <w:rsid w:val="00A23746"/>
    <w:rsid w:val="00A237C8"/>
    <w:rsid w:val="00A23970"/>
    <w:rsid w:val="00A23A6F"/>
    <w:rsid w:val="00A23B8B"/>
    <w:rsid w:val="00A23C0B"/>
    <w:rsid w:val="00A23C94"/>
    <w:rsid w:val="00A23FF5"/>
    <w:rsid w:val="00A240AD"/>
    <w:rsid w:val="00A241BD"/>
    <w:rsid w:val="00A24297"/>
    <w:rsid w:val="00A244C7"/>
    <w:rsid w:val="00A24A6B"/>
    <w:rsid w:val="00A24BE9"/>
    <w:rsid w:val="00A24C8A"/>
    <w:rsid w:val="00A24E28"/>
    <w:rsid w:val="00A24E39"/>
    <w:rsid w:val="00A24F29"/>
    <w:rsid w:val="00A24FBC"/>
    <w:rsid w:val="00A25292"/>
    <w:rsid w:val="00A25550"/>
    <w:rsid w:val="00A2562D"/>
    <w:rsid w:val="00A25896"/>
    <w:rsid w:val="00A25930"/>
    <w:rsid w:val="00A259C0"/>
    <w:rsid w:val="00A25D94"/>
    <w:rsid w:val="00A260FB"/>
    <w:rsid w:val="00A261E5"/>
    <w:rsid w:val="00A26399"/>
    <w:rsid w:val="00A2639E"/>
    <w:rsid w:val="00A26433"/>
    <w:rsid w:val="00A2650F"/>
    <w:rsid w:val="00A26611"/>
    <w:rsid w:val="00A270F8"/>
    <w:rsid w:val="00A2785B"/>
    <w:rsid w:val="00A27925"/>
    <w:rsid w:val="00A27928"/>
    <w:rsid w:val="00A27A3D"/>
    <w:rsid w:val="00A27B13"/>
    <w:rsid w:val="00A27D8A"/>
    <w:rsid w:val="00A27EB4"/>
    <w:rsid w:val="00A300C1"/>
    <w:rsid w:val="00A302AA"/>
    <w:rsid w:val="00A30447"/>
    <w:rsid w:val="00A30820"/>
    <w:rsid w:val="00A3089D"/>
    <w:rsid w:val="00A309E6"/>
    <w:rsid w:val="00A30A4C"/>
    <w:rsid w:val="00A30EC7"/>
    <w:rsid w:val="00A30F5C"/>
    <w:rsid w:val="00A31281"/>
    <w:rsid w:val="00A3150E"/>
    <w:rsid w:val="00A315F6"/>
    <w:rsid w:val="00A3187B"/>
    <w:rsid w:val="00A3192E"/>
    <w:rsid w:val="00A31A3A"/>
    <w:rsid w:val="00A31F0F"/>
    <w:rsid w:val="00A32136"/>
    <w:rsid w:val="00A3215B"/>
    <w:rsid w:val="00A323CF"/>
    <w:rsid w:val="00A32624"/>
    <w:rsid w:val="00A32781"/>
    <w:rsid w:val="00A32875"/>
    <w:rsid w:val="00A32A73"/>
    <w:rsid w:val="00A32CBB"/>
    <w:rsid w:val="00A32E32"/>
    <w:rsid w:val="00A32F45"/>
    <w:rsid w:val="00A32FA5"/>
    <w:rsid w:val="00A33000"/>
    <w:rsid w:val="00A33245"/>
    <w:rsid w:val="00A332AA"/>
    <w:rsid w:val="00A33438"/>
    <w:rsid w:val="00A33D33"/>
    <w:rsid w:val="00A34106"/>
    <w:rsid w:val="00A34120"/>
    <w:rsid w:val="00A34146"/>
    <w:rsid w:val="00A342E9"/>
    <w:rsid w:val="00A3448F"/>
    <w:rsid w:val="00A34752"/>
    <w:rsid w:val="00A347CF"/>
    <w:rsid w:val="00A34ABC"/>
    <w:rsid w:val="00A34BE9"/>
    <w:rsid w:val="00A34C26"/>
    <w:rsid w:val="00A34F96"/>
    <w:rsid w:val="00A35179"/>
    <w:rsid w:val="00A351BD"/>
    <w:rsid w:val="00A35530"/>
    <w:rsid w:val="00A357AC"/>
    <w:rsid w:val="00A35C57"/>
    <w:rsid w:val="00A35C8F"/>
    <w:rsid w:val="00A35F5C"/>
    <w:rsid w:val="00A36062"/>
    <w:rsid w:val="00A36192"/>
    <w:rsid w:val="00A3633E"/>
    <w:rsid w:val="00A36402"/>
    <w:rsid w:val="00A3664B"/>
    <w:rsid w:val="00A367F1"/>
    <w:rsid w:val="00A36819"/>
    <w:rsid w:val="00A368B9"/>
    <w:rsid w:val="00A369B3"/>
    <w:rsid w:val="00A36AF0"/>
    <w:rsid w:val="00A36B88"/>
    <w:rsid w:val="00A36C97"/>
    <w:rsid w:val="00A36D71"/>
    <w:rsid w:val="00A37527"/>
    <w:rsid w:val="00A3776E"/>
    <w:rsid w:val="00A378B8"/>
    <w:rsid w:val="00A379C3"/>
    <w:rsid w:val="00A37E66"/>
    <w:rsid w:val="00A37F01"/>
    <w:rsid w:val="00A37FD3"/>
    <w:rsid w:val="00A37FE9"/>
    <w:rsid w:val="00A40194"/>
    <w:rsid w:val="00A4024E"/>
    <w:rsid w:val="00A4047C"/>
    <w:rsid w:val="00A40716"/>
    <w:rsid w:val="00A40944"/>
    <w:rsid w:val="00A409FA"/>
    <w:rsid w:val="00A40C11"/>
    <w:rsid w:val="00A40C14"/>
    <w:rsid w:val="00A40E36"/>
    <w:rsid w:val="00A40FFB"/>
    <w:rsid w:val="00A412CB"/>
    <w:rsid w:val="00A419F1"/>
    <w:rsid w:val="00A41CDF"/>
    <w:rsid w:val="00A41D9A"/>
    <w:rsid w:val="00A42467"/>
    <w:rsid w:val="00A426D5"/>
    <w:rsid w:val="00A42830"/>
    <w:rsid w:val="00A42F08"/>
    <w:rsid w:val="00A42FDC"/>
    <w:rsid w:val="00A430BD"/>
    <w:rsid w:val="00A432BD"/>
    <w:rsid w:val="00A4357B"/>
    <w:rsid w:val="00A4357C"/>
    <w:rsid w:val="00A43722"/>
    <w:rsid w:val="00A437DF"/>
    <w:rsid w:val="00A43864"/>
    <w:rsid w:val="00A43C78"/>
    <w:rsid w:val="00A43F7E"/>
    <w:rsid w:val="00A44108"/>
    <w:rsid w:val="00A4436E"/>
    <w:rsid w:val="00A44625"/>
    <w:rsid w:val="00A447F9"/>
    <w:rsid w:val="00A448E6"/>
    <w:rsid w:val="00A4496D"/>
    <w:rsid w:val="00A44BE5"/>
    <w:rsid w:val="00A44C3F"/>
    <w:rsid w:val="00A44D02"/>
    <w:rsid w:val="00A44FF3"/>
    <w:rsid w:val="00A45049"/>
    <w:rsid w:val="00A450D4"/>
    <w:rsid w:val="00A4515B"/>
    <w:rsid w:val="00A45465"/>
    <w:rsid w:val="00A454C6"/>
    <w:rsid w:val="00A45577"/>
    <w:rsid w:val="00A458CC"/>
    <w:rsid w:val="00A45A91"/>
    <w:rsid w:val="00A45A95"/>
    <w:rsid w:val="00A45CA1"/>
    <w:rsid w:val="00A45DBB"/>
    <w:rsid w:val="00A463E9"/>
    <w:rsid w:val="00A46417"/>
    <w:rsid w:val="00A46517"/>
    <w:rsid w:val="00A4654C"/>
    <w:rsid w:val="00A46719"/>
    <w:rsid w:val="00A468EA"/>
    <w:rsid w:val="00A46B09"/>
    <w:rsid w:val="00A46D76"/>
    <w:rsid w:val="00A46DB0"/>
    <w:rsid w:val="00A46E39"/>
    <w:rsid w:val="00A46E60"/>
    <w:rsid w:val="00A4733E"/>
    <w:rsid w:val="00A476BA"/>
    <w:rsid w:val="00A4787B"/>
    <w:rsid w:val="00A47BBB"/>
    <w:rsid w:val="00A500D6"/>
    <w:rsid w:val="00A5049F"/>
    <w:rsid w:val="00A5054D"/>
    <w:rsid w:val="00A505C0"/>
    <w:rsid w:val="00A506BB"/>
    <w:rsid w:val="00A5082A"/>
    <w:rsid w:val="00A50A2B"/>
    <w:rsid w:val="00A50B19"/>
    <w:rsid w:val="00A50B25"/>
    <w:rsid w:val="00A50D1F"/>
    <w:rsid w:val="00A50DA3"/>
    <w:rsid w:val="00A50DBD"/>
    <w:rsid w:val="00A50DBE"/>
    <w:rsid w:val="00A50E63"/>
    <w:rsid w:val="00A51600"/>
    <w:rsid w:val="00A5160A"/>
    <w:rsid w:val="00A517AC"/>
    <w:rsid w:val="00A5190B"/>
    <w:rsid w:val="00A51979"/>
    <w:rsid w:val="00A51F56"/>
    <w:rsid w:val="00A52161"/>
    <w:rsid w:val="00A52245"/>
    <w:rsid w:val="00A5227B"/>
    <w:rsid w:val="00A5243C"/>
    <w:rsid w:val="00A524D6"/>
    <w:rsid w:val="00A52533"/>
    <w:rsid w:val="00A527D1"/>
    <w:rsid w:val="00A52A03"/>
    <w:rsid w:val="00A52A07"/>
    <w:rsid w:val="00A52AD0"/>
    <w:rsid w:val="00A52AD2"/>
    <w:rsid w:val="00A52ADC"/>
    <w:rsid w:val="00A52B8E"/>
    <w:rsid w:val="00A52CF0"/>
    <w:rsid w:val="00A52D44"/>
    <w:rsid w:val="00A532A3"/>
    <w:rsid w:val="00A53744"/>
    <w:rsid w:val="00A53847"/>
    <w:rsid w:val="00A54136"/>
    <w:rsid w:val="00A546F2"/>
    <w:rsid w:val="00A547AB"/>
    <w:rsid w:val="00A54D9A"/>
    <w:rsid w:val="00A54E9C"/>
    <w:rsid w:val="00A54FED"/>
    <w:rsid w:val="00A551C2"/>
    <w:rsid w:val="00A551D4"/>
    <w:rsid w:val="00A55330"/>
    <w:rsid w:val="00A554BD"/>
    <w:rsid w:val="00A55845"/>
    <w:rsid w:val="00A5588A"/>
    <w:rsid w:val="00A55891"/>
    <w:rsid w:val="00A55B6E"/>
    <w:rsid w:val="00A55BAD"/>
    <w:rsid w:val="00A55E64"/>
    <w:rsid w:val="00A56001"/>
    <w:rsid w:val="00A560B8"/>
    <w:rsid w:val="00A56461"/>
    <w:rsid w:val="00A564AA"/>
    <w:rsid w:val="00A564C6"/>
    <w:rsid w:val="00A566D1"/>
    <w:rsid w:val="00A567D4"/>
    <w:rsid w:val="00A56969"/>
    <w:rsid w:val="00A56A87"/>
    <w:rsid w:val="00A56B1C"/>
    <w:rsid w:val="00A56CB9"/>
    <w:rsid w:val="00A56CC8"/>
    <w:rsid w:val="00A56F0E"/>
    <w:rsid w:val="00A570CB"/>
    <w:rsid w:val="00A571A9"/>
    <w:rsid w:val="00A57245"/>
    <w:rsid w:val="00A5733C"/>
    <w:rsid w:val="00A573B4"/>
    <w:rsid w:val="00A57633"/>
    <w:rsid w:val="00A576A5"/>
    <w:rsid w:val="00A57906"/>
    <w:rsid w:val="00A57A18"/>
    <w:rsid w:val="00A57E13"/>
    <w:rsid w:val="00A57E1B"/>
    <w:rsid w:val="00A57F37"/>
    <w:rsid w:val="00A60051"/>
    <w:rsid w:val="00A600B9"/>
    <w:rsid w:val="00A601AC"/>
    <w:rsid w:val="00A60238"/>
    <w:rsid w:val="00A60281"/>
    <w:rsid w:val="00A603D0"/>
    <w:rsid w:val="00A60582"/>
    <w:rsid w:val="00A60A64"/>
    <w:rsid w:val="00A60D5C"/>
    <w:rsid w:val="00A60DED"/>
    <w:rsid w:val="00A60ED3"/>
    <w:rsid w:val="00A610ED"/>
    <w:rsid w:val="00A6134C"/>
    <w:rsid w:val="00A6187D"/>
    <w:rsid w:val="00A619B4"/>
    <w:rsid w:val="00A62085"/>
    <w:rsid w:val="00A623F5"/>
    <w:rsid w:val="00A62563"/>
    <w:rsid w:val="00A62614"/>
    <w:rsid w:val="00A62996"/>
    <w:rsid w:val="00A62A1D"/>
    <w:rsid w:val="00A62ADC"/>
    <w:rsid w:val="00A62B3A"/>
    <w:rsid w:val="00A62C8F"/>
    <w:rsid w:val="00A62E8F"/>
    <w:rsid w:val="00A62F5F"/>
    <w:rsid w:val="00A62FE5"/>
    <w:rsid w:val="00A62FEF"/>
    <w:rsid w:val="00A63197"/>
    <w:rsid w:val="00A63234"/>
    <w:rsid w:val="00A63580"/>
    <w:rsid w:val="00A638F0"/>
    <w:rsid w:val="00A63E64"/>
    <w:rsid w:val="00A642F6"/>
    <w:rsid w:val="00A64300"/>
    <w:rsid w:val="00A6445E"/>
    <w:rsid w:val="00A64638"/>
    <w:rsid w:val="00A64666"/>
    <w:rsid w:val="00A646BE"/>
    <w:rsid w:val="00A64B2B"/>
    <w:rsid w:val="00A64B5A"/>
    <w:rsid w:val="00A64BFD"/>
    <w:rsid w:val="00A64C80"/>
    <w:rsid w:val="00A65640"/>
    <w:rsid w:val="00A65763"/>
    <w:rsid w:val="00A6589F"/>
    <w:rsid w:val="00A65BA0"/>
    <w:rsid w:val="00A65D70"/>
    <w:rsid w:val="00A65D97"/>
    <w:rsid w:val="00A65F99"/>
    <w:rsid w:val="00A6657D"/>
    <w:rsid w:val="00A66598"/>
    <w:rsid w:val="00A665BB"/>
    <w:rsid w:val="00A6664C"/>
    <w:rsid w:val="00A66C0A"/>
    <w:rsid w:val="00A66F3D"/>
    <w:rsid w:val="00A6783F"/>
    <w:rsid w:val="00A678C4"/>
    <w:rsid w:val="00A6797D"/>
    <w:rsid w:val="00A67981"/>
    <w:rsid w:val="00A67A10"/>
    <w:rsid w:val="00A67B61"/>
    <w:rsid w:val="00A70069"/>
    <w:rsid w:val="00A70296"/>
    <w:rsid w:val="00A70574"/>
    <w:rsid w:val="00A70890"/>
    <w:rsid w:val="00A709B3"/>
    <w:rsid w:val="00A709FA"/>
    <w:rsid w:val="00A70BE2"/>
    <w:rsid w:val="00A70C7D"/>
    <w:rsid w:val="00A70CF4"/>
    <w:rsid w:val="00A70D61"/>
    <w:rsid w:val="00A70EC9"/>
    <w:rsid w:val="00A70F4D"/>
    <w:rsid w:val="00A71124"/>
    <w:rsid w:val="00A71155"/>
    <w:rsid w:val="00A71241"/>
    <w:rsid w:val="00A71254"/>
    <w:rsid w:val="00A71267"/>
    <w:rsid w:val="00A715C9"/>
    <w:rsid w:val="00A7167D"/>
    <w:rsid w:val="00A71800"/>
    <w:rsid w:val="00A71862"/>
    <w:rsid w:val="00A71978"/>
    <w:rsid w:val="00A71A90"/>
    <w:rsid w:val="00A71BD7"/>
    <w:rsid w:val="00A71DD2"/>
    <w:rsid w:val="00A71EA1"/>
    <w:rsid w:val="00A72094"/>
    <w:rsid w:val="00A72310"/>
    <w:rsid w:val="00A7233F"/>
    <w:rsid w:val="00A7254B"/>
    <w:rsid w:val="00A7261D"/>
    <w:rsid w:val="00A7262E"/>
    <w:rsid w:val="00A72685"/>
    <w:rsid w:val="00A729DB"/>
    <w:rsid w:val="00A72A3A"/>
    <w:rsid w:val="00A72CAD"/>
    <w:rsid w:val="00A72D79"/>
    <w:rsid w:val="00A72F68"/>
    <w:rsid w:val="00A72F8D"/>
    <w:rsid w:val="00A73067"/>
    <w:rsid w:val="00A73360"/>
    <w:rsid w:val="00A73857"/>
    <w:rsid w:val="00A73862"/>
    <w:rsid w:val="00A73E60"/>
    <w:rsid w:val="00A740DE"/>
    <w:rsid w:val="00A746E7"/>
    <w:rsid w:val="00A747F8"/>
    <w:rsid w:val="00A7495D"/>
    <w:rsid w:val="00A749DA"/>
    <w:rsid w:val="00A74C39"/>
    <w:rsid w:val="00A74D15"/>
    <w:rsid w:val="00A74D23"/>
    <w:rsid w:val="00A74E03"/>
    <w:rsid w:val="00A74E67"/>
    <w:rsid w:val="00A74FE2"/>
    <w:rsid w:val="00A7503C"/>
    <w:rsid w:val="00A75BE7"/>
    <w:rsid w:val="00A75C83"/>
    <w:rsid w:val="00A75DF8"/>
    <w:rsid w:val="00A75F1C"/>
    <w:rsid w:val="00A75F38"/>
    <w:rsid w:val="00A75F99"/>
    <w:rsid w:val="00A7601E"/>
    <w:rsid w:val="00A7602E"/>
    <w:rsid w:val="00A76109"/>
    <w:rsid w:val="00A7625B"/>
    <w:rsid w:val="00A76652"/>
    <w:rsid w:val="00A7666F"/>
    <w:rsid w:val="00A7672F"/>
    <w:rsid w:val="00A7685A"/>
    <w:rsid w:val="00A76961"/>
    <w:rsid w:val="00A76A0A"/>
    <w:rsid w:val="00A76A4E"/>
    <w:rsid w:val="00A76E55"/>
    <w:rsid w:val="00A76FDD"/>
    <w:rsid w:val="00A7710B"/>
    <w:rsid w:val="00A771B5"/>
    <w:rsid w:val="00A774D7"/>
    <w:rsid w:val="00A7755C"/>
    <w:rsid w:val="00A77729"/>
    <w:rsid w:val="00A77753"/>
    <w:rsid w:val="00A778FD"/>
    <w:rsid w:val="00A77BA2"/>
    <w:rsid w:val="00A8013E"/>
    <w:rsid w:val="00A80460"/>
    <w:rsid w:val="00A8055B"/>
    <w:rsid w:val="00A807D2"/>
    <w:rsid w:val="00A80912"/>
    <w:rsid w:val="00A80942"/>
    <w:rsid w:val="00A80D48"/>
    <w:rsid w:val="00A80D96"/>
    <w:rsid w:val="00A80E0D"/>
    <w:rsid w:val="00A813D3"/>
    <w:rsid w:val="00A8153E"/>
    <w:rsid w:val="00A8191D"/>
    <w:rsid w:val="00A8196E"/>
    <w:rsid w:val="00A81A70"/>
    <w:rsid w:val="00A81BCF"/>
    <w:rsid w:val="00A8209F"/>
    <w:rsid w:val="00A820AF"/>
    <w:rsid w:val="00A8211E"/>
    <w:rsid w:val="00A82189"/>
    <w:rsid w:val="00A822E4"/>
    <w:rsid w:val="00A82352"/>
    <w:rsid w:val="00A82478"/>
    <w:rsid w:val="00A82780"/>
    <w:rsid w:val="00A82807"/>
    <w:rsid w:val="00A82A2C"/>
    <w:rsid w:val="00A82F2E"/>
    <w:rsid w:val="00A82F5C"/>
    <w:rsid w:val="00A82F66"/>
    <w:rsid w:val="00A830B8"/>
    <w:rsid w:val="00A830FD"/>
    <w:rsid w:val="00A8318E"/>
    <w:rsid w:val="00A8325A"/>
    <w:rsid w:val="00A8344F"/>
    <w:rsid w:val="00A834A2"/>
    <w:rsid w:val="00A83598"/>
    <w:rsid w:val="00A83647"/>
    <w:rsid w:val="00A83713"/>
    <w:rsid w:val="00A839DD"/>
    <w:rsid w:val="00A83CD7"/>
    <w:rsid w:val="00A84088"/>
    <w:rsid w:val="00A845A5"/>
    <w:rsid w:val="00A84629"/>
    <w:rsid w:val="00A84654"/>
    <w:rsid w:val="00A846AB"/>
    <w:rsid w:val="00A84B75"/>
    <w:rsid w:val="00A84CFA"/>
    <w:rsid w:val="00A84E04"/>
    <w:rsid w:val="00A84E35"/>
    <w:rsid w:val="00A84E9F"/>
    <w:rsid w:val="00A84FBD"/>
    <w:rsid w:val="00A85221"/>
    <w:rsid w:val="00A852C1"/>
    <w:rsid w:val="00A852D5"/>
    <w:rsid w:val="00A852EA"/>
    <w:rsid w:val="00A853F4"/>
    <w:rsid w:val="00A8572C"/>
    <w:rsid w:val="00A85824"/>
    <w:rsid w:val="00A85850"/>
    <w:rsid w:val="00A85BDC"/>
    <w:rsid w:val="00A85BF3"/>
    <w:rsid w:val="00A85D9B"/>
    <w:rsid w:val="00A86068"/>
    <w:rsid w:val="00A8618C"/>
    <w:rsid w:val="00A86314"/>
    <w:rsid w:val="00A86351"/>
    <w:rsid w:val="00A86455"/>
    <w:rsid w:val="00A8645F"/>
    <w:rsid w:val="00A86482"/>
    <w:rsid w:val="00A864F4"/>
    <w:rsid w:val="00A865A3"/>
    <w:rsid w:val="00A86762"/>
    <w:rsid w:val="00A868DE"/>
    <w:rsid w:val="00A86A6E"/>
    <w:rsid w:val="00A86A90"/>
    <w:rsid w:val="00A86B95"/>
    <w:rsid w:val="00A86C31"/>
    <w:rsid w:val="00A86FFB"/>
    <w:rsid w:val="00A871C3"/>
    <w:rsid w:val="00A87447"/>
    <w:rsid w:val="00A87469"/>
    <w:rsid w:val="00A87486"/>
    <w:rsid w:val="00A877D0"/>
    <w:rsid w:val="00A87899"/>
    <w:rsid w:val="00A87C00"/>
    <w:rsid w:val="00A87C10"/>
    <w:rsid w:val="00A90033"/>
    <w:rsid w:val="00A9008D"/>
    <w:rsid w:val="00A90113"/>
    <w:rsid w:val="00A902FB"/>
    <w:rsid w:val="00A90451"/>
    <w:rsid w:val="00A908D9"/>
    <w:rsid w:val="00A9095B"/>
    <w:rsid w:val="00A91007"/>
    <w:rsid w:val="00A9118C"/>
    <w:rsid w:val="00A9124D"/>
    <w:rsid w:val="00A91377"/>
    <w:rsid w:val="00A9145F"/>
    <w:rsid w:val="00A91770"/>
    <w:rsid w:val="00A919B2"/>
    <w:rsid w:val="00A91A03"/>
    <w:rsid w:val="00A91AFD"/>
    <w:rsid w:val="00A91B17"/>
    <w:rsid w:val="00A91BAB"/>
    <w:rsid w:val="00A91D8F"/>
    <w:rsid w:val="00A92027"/>
    <w:rsid w:val="00A92367"/>
    <w:rsid w:val="00A92840"/>
    <w:rsid w:val="00A92AC0"/>
    <w:rsid w:val="00A92B3F"/>
    <w:rsid w:val="00A92BB4"/>
    <w:rsid w:val="00A92BE1"/>
    <w:rsid w:val="00A92C33"/>
    <w:rsid w:val="00A92C42"/>
    <w:rsid w:val="00A92E5E"/>
    <w:rsid w:val="00A92F55"/>
    <w:rsid w:val="00A931C5"/>
    <w:rsid w:val="00A9369B"/>
    <w:rsid w:val="00A936BB"/>
    <w:rsid w:val="00A9393D"/>
    <w:rsid w:val="00A93949"/>
    <w:rsid w:val="00A939EB"/>
    <w:rsid w:val="00A93A99"/>
    <w:rsid w:val="00A93AAB"/>
    <w:rsid w:val="00A93D46"/>
    <w:rsid w:val="00A93E51"/>
    <w:rsid w:val="00A93F15"/>
    <w:rsid w:val="00A9400E"/>
    <w:rsid w:val="00A94251"/>
    <w:rsid w:val="00A94282"/>
    <w:rsid w:val="00A943DD"/>
    <w:rsid w:val="00A94417"/>
    <w:rsid w:val="00A94457"/>
    <w:rsid w:val="00A94463"/>
    <w:rsid w:val="00A9448D"/>
    <w:rsid w:val="00A94515"/>
    <w:rsid w:val="00A946C1"/>
    <w:rsid w:val="00A946F2"/>
    <w:rsid w:val="00A94812"/>
    <w:rsid w:val="00A9488A"/>
    <w:rsid w:val="00A94C21"/>
    <w:rsid w:val="00A94EA6"/>
    <w:rsid w:val="00A95138"/>
    <w:rsid w:val="00A9536B"/>
    <w:rsid w:val="00A953AE"/>
    <w:rsid w:val="00A954B5"/>
    <w:rsid w:val="00A954C3"/>
    <w:rsid w:val="00A95657"/>
    <w:rsid w:val="00A959C8"/>
    <w:rsid w:val="00A95A0C"/>
    <w:rsid w:val="00A95AA9"/>
    <w:rsid w:val="00A95B36"/>
    <w:rsid w:val="00A95D87"/>
    <w:rsid w:val="00A95EDE"/>
    <w:rsid w:val="00A96317"/>
    <w:rsid w:val="00A96355"/>
    <w:rsid w:val="00A967B1"/>
    <w:rsid w:val="00A96893"/>
    <w:rsid w:val="00A96B2C"/>
    <w:rsid w:val="00A96C51"/>
    <w:rsid w:val="00A96DCB"/>
    <w:rsid w:val="00A97173"/>
    <w:rsid w:val="00A9736E"/>
    <w:rsid w:val="00A9741C"/>
    <w:rsid w:val="00A97460"/>
    <w:rsid w:val="00A974CB"/>
    <w:rsid w:val="00A97529"/>
    <w:rsid w:val="00A97638"/>
    <w:rsid w:val="00A97752"/>
    <w:rsid w:val="00A978F2"/>
    <w:rsid w:val="00A97994"/>
    <w:rsid w:val="00A97BAF"/>
    <w:rsid w:val="00A97BC3"/>
    <w:rsid w:val="00A97C61"/>
    <w:rsid w:val="00A97EC5"/>
    <w:rsid w:val="00AA0476"/>
    <w:rsid w:val="00AA059B"/>
    <w:rsid w:val="00AA061B"/>
    <w:rsid w:val="00AA06ED"/>
    <w:rsid w:val="00AA0716"/>
    <w:rsid w:val="00AA0C47"/>
    <w:rsid w:val="00AA0CC0"/>
    <w:rsid w:val="00AA1128"/>
    <w:rsid w:val="00AA13BA"/>
    <w:rsid w:val="00AA1540"/>
    <w:rsid w:val="00AA1598"/>
    <w:rsid w:val="00AA1705"/>
    <w:rsid w:val="00AA19AF"/>
    <w:rsid w:val="00AA1B25"/>
    <w:rsid w:val="00AA1B33"/>
    <w:rsid w:val="00AA1BF6"/>
    <w:rsid w:val="00AA1CB1"/>
    <w:rsid w:val="00AA1F6A"/>
    <w:rsid w:val="00AA20CD"/>
    <w:rsid w:val="00AA213E"/>
    <w:rsid w:val="00AA24DF"/>
    <w:rsid w:val="00AA2566"/>
    <w:rsid w:val="00AA2570"/>
    <w:rsid w:val="00AA2576"/>
    <w:rsid w:val="00AA2C8C"/>
    <w:rsid w:val="00AA2D84"/>
    <w:rsid w:val="00AA3133"/>
    <w:rsid w:val="00AA3152"/>
    <w:rsid w:val="00AA33EB"/>
    <w:rsid w:val="00AA33F2"/>
    <w:rsid w:val="00AA357C"/>
    <w:rsid w:val="00AA35AD"/>
    <w:rsid w:val="00AA3748"/>
    <w:rsid w:val="00AA3754"/>
    <w:rsid w:val="00AA392B"/>
    <w:rsid w:val="00AA394A"/>
    <w:rsid w:val="00AA3C93"/>
    <w:rsid w:val="00AA3D2A"/>
    <w:rsid w:val="00AA424E"/>
    <w:rsid w:val="00AA45C0"/>
    <w:rsid w:val="00AA46D1"/>
    <w:rsid w:val="00AA482B"/>
    <w:rsid w:val="00AA4897"/>
    <w:rsid w:val="00AA4A4E"/>
    <w:rsid w:val="00AA50BB"/>
    <w:rsid w:val="00AA5400"/>
    <w:rsid w:val="00AA5581"/>
    <w:rsid w:val="00AA559D"/>
    <w:rsid w:val="00AA569E"/>
    <w:rsid w:val="00AA5752"/>
    <w:rsid w:val="00AA5BB9"/>
    <w:rsid w:val="00AA5CE0"/>
    <w:rsid w:val="00AA5E93"/>
    <w:rsid w:val="00AA62AB"/>
    <w:rsid w:val="00AA6305"/>
    <w:rsid w:val="00AA6368"/>
    <w:rsid w:val="00AA65B9"/>
    <w:rsid w:val="00AA65D6"/>
    <w:rsid w:val="00AA65E3"/>
    <w:rsid w:val="00AA65EC"/>
    <w:rsid w:val="00AA6887"/>
    <w:rsid w:val="00AA6AEA"/>
    <w:rsid w:val="00AA6F30"/>
    <w:rsid w:val="00AA6F51"/>
    <w:rsid w:val="00AA6FDD"/>
    <w:rsid w:val="00AA7144"/>
    <w:rsid w:val="00AA73BC"/>
    <w:rsid w:val="00AA753C"/>
    <w:rsid w:val="00AA78AB"/>
    <w:rsid w:val="00AA795A"/>
    <w:rsid w:val="00AA79B2"/>
    <w:rsid w:val="00AA7B90"/>
    <w:rsid w:val="00AA7EAA"/>
    <w:rsid w:val="00AA7EE8"/>
    <w:rsid w:val="00AA7EF3"/>
    <w:rsid w:val="00AA7F4B"/>
    <w:rsid w:val="00AB01B1"/>
    <w:rsid w:val="00AB0423"/>
    <w:rsid w:val="00AB07BE"/>
    <w:rsid w:val="00AB0A22"/>
    <w:rsid w:val="00AB0ACE"/>
    <w:rsid w:val="00AB0D0C"/>
    <w:rsid w:val="00AB0FB1"/>
    <w:rsid w:val="00AB1134"/>
    <w:rsid w:val="00AB1858"/>
    <w:rsid w:val="00AB19EE"/>
    <w:rsid w:val="00AB1B44"/>
    <w:rsid w:val="00AB1EC3"/>
    <w:rsid w:val="00AB213C"/>
    <w:rsid w:val="00AB2169"/>
    <w:rsid w:val="00AB22F3"/>
    <w:rsid w:val="00AB237C"/>
    <w:rsid w:val="00AB256A"/>
    <w:rsid w:val="00AB25C1"/>
    <w:rsid w:val="00AB2821"/>
    <w:rsid w:val="00AB287D"/>
    <w:rsid w:val="00AB28CC"/>
    <w:rsid w:val="00AB2B0A"/>
    <w:rsid w:val="00AB2D5E"/>
    <w:rsid w:val="00AB31FD"/>
    <w:rsid w:val="00AB36CF"/>
    <w:rsid w:val="00AB3701"/>
    <w:rsid w:val="00AB3762"/>
    <w:rsid w:val="00AB39FC"/>
    <w:rsid w:val="00AB3CCC"/>
    <w:rsid w:val="00AB4033"/>
    <w:rsid w:val="00AB41DD"/>
    <w:rsid w:val="00AB442A"/>
    <w:rsid w:val="00AB4665"/>
    <w:rsid w:val="00AB4923"/>
    <w:rsid w:val="00AB4957"/>
    <w:rsid w:val="00AB4C13"/>
    <w:rsid w:val="00AB4CB0"/>
    <w:rsid w:val="00AB5015"/>
    <w:rsid w:val="00AB5090"/>
    <w:rsid w:val="00AB5357"/>
    <w:rsid w:val="00AB5982"/>
    <w:rsid w:val="00AB5CD5"/>
    <w:rsid w:val="00AB5EFD"/>
    <w:rsid w:val="00AB5F95"/>
    <w:rsid w:val="00AB606B"/>
    <w:rsid w:val="00AB623C"/>
    <w:rsid w:val="00AB62D5"/>
    <w:rsid w:val="00AB6352"/>
    <w:rsid w:val="00AB63A0"/>
    <w:rsid w:val="00AB6509"/>
    <w:rsid w:val="00AB6510"/>
    <w:rsid w:val="00AB66BB"/>
    <w:rsid w:val="00AB6921"/>
    <w:rsid w:val="00AB693A"/>
    <w:rsid w:val="00AB6993"/>
    <w:rsid w:val="00AB6D11"/>
    <w:rsid w:val="00AB6D31"/>
    <w:rsid w:val="00AB6ED5"/>
    <w:rsid w:val="00AB6FC2"/>
    <w:rsid w:val="00AB7029"/>
    <w:rsid w:val="00AB729F"/>
    <w:rsid w:val="00AB72C2"/>
    <w:rsid w:val="00AB72E2"/>
    <w:rsid w:val="00AB7597"/>
    <w:rsid w:val="00AB7980"/>
    <w:rsid w:val="00AB7A95"/>
    <w:rsid w:val="00AB7B15"/>
    <w:rsid w:val="00AB7E3F"/>
    <w:rsid w:val="00AC00D7"/>
    <w:rsid w:val="00AC027E"/>
    <w:rsid w:val="00AC04C2"/>
    <w:rsid w:val="00AC061F"/>
    <w:rsid w:val="00AC11B4"/>
    <w:rsid w:val="00AC1416"/>
    <w:rsid w:val="00AC151C"/>
    <w:rsid w:val="00AC1523"/>
    <w:rsid w:val="00AC15A4"/>
    <w:rsid w:val="00AC17B2"/>
    <w:rsid w:val="00AC1A3A"/>
    <w:rsid w:val="00AC1BDF"/>
    <w:rsid w:val="00AC1F26"/>
    <w:rsid w:val="00AC1F80"/>
    <w:rsid w:val="00AC23E7"/>
    <w:rsid w:val="00AC2447"/>
    <w:rsid w:val="00AC2507"/>
    <w:rsid w:val="00AC250A"/>
    <w:rsid w:val="00AC2514"/>
    <w:rsid w:val="00AC278B"/>
    <w:rsid w:val="00AC2A3E"/>
    <w:rsid w:val="00AC2B3B"/>
    <w:rsid w:val="00AC2B3C"/>
    <w:rsid w:val="00AC2BF4"/>
    <w:rsid w:val="00AC2FBA"/>
    <w:rsid w:val="00AC30EA"/>
    <w:rsid w:val="00AC3184"/>
    <w:rsid w:val="00AC35A9"/>
    <w:rsid w:val="00AC36C6"/>
    <w:rsid w:val="00AC38BA"/>
    <w:rsid w:val="00AC3A39"/>
    <w:rsid w:val="00AC3F70"/>
    <w:rsid w:val="00AC4023"/>
    <w:rsid w:val="00AC419F"/>
    <w:rsid w:val="00AC41EC"/>
    <w:rsid w:val="00AC43A1"/>
    <w:rsid w:val="00AC451A"/>
    <w:rsid w:val="00AC45A5"/>
    <w:rsid w:val="00AC45F6"/>
    <w:rsid w:val="00AC4C62"/>
    <w:rsid w:val="00AC4CAC"/>
    <w:rsid w:val="00AC4CE3"/>
    <w:rsid w:val="00AC4D9B"/>
    <w:rsid w:val="00AC4E61"/>
    <w:rsid w:val="00AC4F43"/>
    <w:rsid w:val="00AC510C"/>
    <w:rsid w:val="00AC516F"/>
    <w:rsid w:val="00AC543F"/>
    <w:rsid w:val="00AC565F"/>
    <w:rsid w:val="00AC56A8"/>
    <w:rsid w:val="00AC570F"/>
    <w:rsid w:val="00AC5898"/>
    <w:rsid w:val="00AC58E3"/>
    <w:rsid w:val="00AC59A6"/>
    <w:rsid w:val="00AC5C16"/>
    <w:rsid w:val="00AC62BC"/>
    <w:rsid w:val="00AC6437"/>
    <w:rsid w:val="00AC65B3"/>
    <w:rsid w:val="00AC69C8"/>
    <w:rsid w:val="00AC6B6E"/>
    <w:rsid w:val="00AC6F6E"/>
    <w:rsid w:val="00AC7498"/>
    <w:rsid w:val="00AC76F2"/>
    <w:rsid w:val="00AC7719"/>
    <w:rsid w:val="00AC77A8"/>
    <w:rsid w:val="00AC788D"/>
    <w:rsid w:val="00AC7E7C"/>
    <w:rsid w:val="00AC7E93"/>
    <w:rsid w:val="00AC7F22"/>
    <w:rsid w:val="00AC7FF7"/>
    <w:rsid w:val="00AD012C"/>
    <w:rsid w:val="00AD01D6"/>
    <w:rsid w:val="00AD0299"/>
    <w:rsid w:val="00AD034B"/>
    <w:rsid w:val="00AD03BB"/>
    <w:rsid w:val="00AD0475"/>
    <w:rsid w:val="00AD05A0"/>
    <w:rsid w:val="00AD0783"/>
    <w:rsid w:val="00AD0957"/>
    <w:rsid w:val="00AD0971"/>
    <w:rsid w:val="00AD0AF0"/>
    <w:rsid w:val="00AD0CCE"/>
    <w:rsid w:val="00AD0E5D"/>
    <w:rsid w:val="00AD0F2E"/>
    <w:rsid w:val="00AD10EC"/>
    <w:rsid w:val="00AD13AB"/>
    <w:rsid w:val="00AD1459"/>
    <w:rsid w:val="00AD16B9"/>
    <w:rsid w:val="00AD1772"/>
    <w:rsid w:val="00AD17BD"/>
    <w:rsid w:val="00AD1845"/>
    <w:rsid w:val="00AD1AA5"/>
    <w:rsid w:val="00AD1C13"/>
    <w:rsid w:val="00AD1C3C"/>
    <w:rsid w:val="00AD1D6E"/>
    <w:rsid w:val="00AD1DAF"/>
    <w:rsid w:val="00AD1ECD"/>
    <w:rsid w:val="00AD20BD"/>
    <w:rsid w:val="00AD217D"/>
    <w:rsid w:val="00AD21E7"/>
    <w:rsid w:val="00AD225A"/>
    <w:rsid w:val="00AD22EC"/>
    <w:rsid w:val="00AD2325"/>
    <w:rsid w:val="00AD2409"/>
    <w:rsid w:val="00AD24F1"/>
    <w:rsid w:val="00AD2A7E"/>
    <w:rsid w:val="00AD2B24"/>
    <w:rsid w:val="00AD2C40"/>
    <w:rsid w:val="00AD2E40"/>
    <w:rsid w:val="00AD2EC9"/>
    <w:rsid w:val="00AD3016"/>
    <w:rsid w:val="00AD328D"/>
    <w:rsid w:val="00AD3467"/>
    <w:rsid w:val="00AD3859"/>
    <w:rsid w:val="00AD3928"/>
    <w:rsid w:val="00AD3952"/>
    <w:rsid w:val="00AD3C5F"/>
    <w:rsid w:val="00AD3CB5"/>
    <w:rsid w:val="00AD3E70"/>
    <w:rsid w:val="00AD3E91"/>
    <w:rsid w:val="00AD4035"/>
    <w:rsid w:val="00AD4065"/>
    <w:rsid w:val="00AD416F"/>
    <w:rsid w:val="00AD4181"/>
    <w:rsid w:val="00AD4256"/>
    <w:rsid w:val="00AD434C"/>
    <w:rsid w:val="00AD4650"/>
    <w:rsid w:val="00AD475E"/>
    <w:rsid w:val="00AD496E"/>
    <w:rsid w:val="00AD4A99"/>
    <w:rsid w:val="00AD4BE3"/>
    <w:rsid w:val="00AD4D42"/>
    <w:rsid w:val="00AD4E4D"/>
    <w:rsid w:val="00AD4F0D"/>
    <w:rsid w:val="00AD5230"/>
    <w:rsid w:val="00AD52FF"/>
    <w:rsid w:val="00AD538A"/>
    <w:rsid w:val="00AD53BD"/>
    <w:rsid w:val="00AD5420"/>
    <w:rsid w:val="00AD5634"/>
    <w:rsid w:val="00AD564A"/>
    <w:rsid w:val="00AD572E"/>
    <w:rsid w:val="00AD590F"/>
    <w:rsid w:val="00AD5B37"/>
    <w:rsid w:val="00AD5B8C"/>
    <w:rsid w:val="00AD5DF6"/>
    <w:rsid w:val="00AD5FF1"/>
    <w:rsid w:val="00AD60F1"/>
    <w:rsid w:val="00AD616E"/>
    <w:rsid w:val="00AD648A"/>
    <w:rsid w:val="00AD659F"/>
    <w:rsid w:val="00AD65ED"/>
    <w:rsid w:val="00AD695B"/>
    <w:rsid w:val="00AD696C"/>
    <w:rsid w:val="00AD6A39"/>
    <w:rsid w:val="00AD6B0B"/>
    <w:rsid w:val="00AD6C92"/>
    <w:rsid w:val="00AD6D3C"/>
    <w:rsid w:val="00AD6E25"/>
    <w:rsid w:val="00AD6F2F"/>
    <w:rsid w:val="00AD70E1"/>
    <w:rsid w:val="00AD72DA"/>
    <w:rsid w:val="00AD758C"/>
    <w:rsid w:val="00AD761F"/>
    <w:rsid w:val="00AD7A50"/>
    <w:rsid w:val="00AD7B87"/>
    <w:rsid w:val="00AD7BE1"/>
    <w:rsid w:val="00AD7D22"/>
    <w:rsid w:val="00AE026F"/>
    <w:rsid w:val="00AE02F6"/>
    <w:rsid w:val="00AE0384"/>
    <w:rsid w:val="00AE04D1"/>
    <w:rsid w:val="00AE04D5"/>
    <w:rsid w:val="00AE06C1"/>
    <w:rsid w:val="00AE0707"/>
    <w:rsid w:val="00AE079F"/>
    <w:rsid w:val="00AE0996"/>
    <w:rsid w:val="00AE0999"/>
    <w:rsid w:val="00AE0DF3"/>
    <w:rsid w:val="00AE1157"/>
    <w:rsid w:val="00AE11FB"/>
    <w:rsid w:val="00AE1274"/>
    <w:rsid w:val="00AE157A"/>
    <w:rsid w:val="00AE178B"/>
    <w:rsid w:val="00AE1807"/>
    <w:rsid w:val="00AE1C19"/>
    <w:rsid w:val="00AE1DAB"/>
    <w:rsid w:val="00AE1E32"/>
    <w:rsid w:val="00AE1FD0"/>
    <w:rsid w:val="00AE211C"/>
    <w:rsid w:val="00AE2679"/>
    <w:rsid w:val="00AE26A1"/>
    <w:rsid w:val="00AE27C4"/>
    <w:rsid w:val="00AE283A"/>
    <w:rsid w:val="00AE2E2D"/>
    <w:rsid w:val="00AE32F1"/>
    <w:rsid w:val="00AE385A"/>
    <w:rsid w:val="00AE3E40"/>
    <w:rsid w:val="00AE3EC1"/>
    <w:rsid w:val="00AE40C8"/>
    <w:rsid w:val="00AE4484"/>
    <w:rsid w:val="00AE459F"/>
    <w:rsid w:val="00AE460F"/>
    <w:rsid w:val="00AE493F"/>
    <w:rsid w:val="00AE4A03"/>
    <w:rsid w:val="00AE4A39"/>
    <w:rsid w:val="00AE4B9F"/>
    <w:rsid w:val="00AE4E8F"/>
    <w:rsid w:val="00AE4FBF"/>
    <w:rsid w:val="00AE505A"/>
    <w:rsid w:val="00AE5246"/>
    <w:rsid w:val="00AE54B8"/>
    <w:rsid w:val="00AE5915"/>
    <w:rsid w:val="00AE5C30"/>
    <w:rsid w:val="00AE60A7"/>
    <w:rsid w:val="00AE60DE"/>
    <w:rsid w:val="00AE6159"/>
    <w:rsid w:val="00AE6324"/>
    <w:rsid w:val="00AE69EA"/>
    <w:rsid w:val="00AE6BBA"/>
    <w:rsid w:val="00AE70E1"/>
    <w:rsid w:val="00AE7310"/>
    <w:rsid w:val="00AE7476"/>
    <w:rsid w:val="00AE777E"/>
    <w:rsid w:val="00AE7B95"/>
    <w:rsid w:val="00AE7E5F"/>
    <w:rsid w:val="00AF002F"/>
    <w:rsid w:val="00AF0394"/>
    <w:rsid w:val="00AF05AF"/>
    <w:rsid w:val="00AF067E"/>
    <w:rsid w:val="00AF075C"/>
    <w:rsid w:val="00AF075E"/>
    <w:rsid w:val="00AF07AF"/>
    <w:rsid w:val="00AF0B66"/>
    <w:rsid w:val="00AF0BEA"/>
    <w:rsid w:val="00AF0C47"/>
    <w:rsid w:val="00AF0C76"/>
    <w:rsid w:val="00AF0D65"/>
    <w:rsid w:val="00AF0D6D"/>
    <w:rsid w:val="00AF148B"/>
    <w:rsid w:val="00AF1587"/>
    <w:rsid w:val="00AF15F8"/>
    <w:rsid w:val="00AF18A0"/>
    <w:rsid w:val="00AF19AB"/>
    <w:rsid w:val="00AF19BB"/>
    <w:rsid w:val="00AF1A1D"/>
    <w:rsid w:val="00AF1B0D"/>
    <w:rsid w:val="00AF1C46"/>
    <w:rsid w:val="00AF1E91"/>
    <w:rsid w:val="00AF1F28"/>
    <w:rsid w:val="00AF21C8"/>
    <w:rsid w:val="00AF2262"/>
    <w:rsid w:val="00AF239D"/>
    <w:rsid w:val="00AF24B8"/>
    <w:rsid w:val="00AF24FC"/>
    <w:rsid w:val="00AF2983"/>
    <w:rsid w:val="00AF2A08"/>
    <w:rsid w:val="00AF2BA0"/>
    <w:rsid w:val="00AF2CA4"/>
    <w:rsid w:val="00AF2E17"/>
    <w:rsid w:val="00AF3154"/>
    <w:rsid w:val="00AF31ED"/>
    <w:rsid w:val="00AF3313"/>
    <w:rsid w:val="00AF33B9"/>
    <w:rsid w:val="00AF3435"/>
    <w:rsid w:val="00AF3611"/>
    <w:rsid w:val="00AF36E3"/>
    <w:rsid w:val="00AF388F"/>
    <w:rsid w:val="00AF3947"/>
    <w:rsid w:val="00AF3982"/>
    <w:rsid w:val="00AF3A75"/>
    <w:rsid w:val="00AF3D79"/>
    <w:rsid w:val="00AF4073"/>
    <w:rsid w:val="00AF4086"/>
    <w:rsid w:val="00AF4088"/>
    <w:rsid w:val="00AF433D"/>
    <w:rsid w:val="00AF4362"/>
    <w:rsid w:val="00AF4388"/>
    <w:rsid w:val="00AF4483"/>
    <w:rsid w:val="00AF45AF"/>
    <w:rsid w:val="00AF4623"/>
    <w:rsid w:val="00AF46A9"/>
    <w:rsid w:val="00AF4810"/>
    <w:rsid w:val="00AF4A56"/>
    <w:rsid w:val="00AF4B89"/>
    <w:rsid w:val="00AF4B91"/>
    <w:rsid w:val="00AF4C51"/>
    <w:rsid w:val="00AF4DB4"/>
    <w:rsid w:val="00AF51BF"/>
    <w:rsid w:val="00AF525E"/>
    <w:rsid w:val="00AF5791"/>
    <w:rsid w:val="00AF5899"/>
    <w:rsid w:val="00AF58CF"/>
    <w:rsid w:val="00AF59ED"/>
    <w:rsid w:val="00AF5F25"/>
    <w:rsid w:val="00AF5F7B"/>
    <w:rsid w:val="00AF625F"/>
    <w:rsid w:val="00AF62B2"/>
    <w:rsid w:val="00AF68B3"/>
    <w:rsid w:val="00AF6958"/>
    <w:rsid w:val="00AF6A6A"/>
    <w:rsid w:val="00AF6EC9"/>
    <w:rsid w:val="00AF74F8"/>
    <w:rsid w:val="00AF763F"/>
    <w:rsid w:val="00AF7A16"/>
    <w:rsid w:val="00AF7C57"/>
    <w:rsid w:val="00AF7DEB"/>
    <w:rsid w:val="00AF7EC1"/>
    <w:rsid w:val="00AF7FA0"/>
    <w:rsid w:val="00B0004B"/>
    <w:rsid w:val="00B001DC"/>
    <w:rsid w:val="00B0050A"/>
    <w:rsid w:val="00B00909"/>
    <w:rsid w:val="00B00DAC"/>
    <w:rsid w:val="00B00E15"/>
    <w:rsid w:val="00B00F48"/>
    <w:rsid w:val="00B011D8"/>
    <w:rsid w:val="00B01589"/>
    <w:rsid w:val="00B01A53"/>
    <w:rsid w:val="00B01ACA"/>
    <w:rsid w:val="00B01BE8"/>
    <w:rsid w:val="00B01E07"/>
    <w:rsid w:val="00B01F5C"/>
    <w:rsid w:val="00B01FF7"/>
    <w:rsid w:val="00B0206B"/>
    <w:rsid w:val="00B020A4"/>
    <w:rsid w:val="00B025BD"/>
    <w:rsid w:val="00B02927"/>
    <w:rsid w:val="00B02AAB"/>
    <w:rsid w:val="00B02B80"/>
    <w:rsid w:val="00B02D2D"/>
    <w:rsid w:val="00B02EBB"/>
    <w:rsid w:val="00B030C5"/>
    <w:rsid w:val="00B0314C"/>
    <w:rsid w:val="00B0346D"/>
    <w:rsid w:val="00B03562"/>
    <w:rsid w:val="00B03813"/>
    <w:rsid w:val="00B0385C"/>
    <w:rsid w:val="00B039D6"/>
    <w:rsid w:val="00B03B27"/>
    <w:rsid w:val="00B03D05"/>
    <w:rsid w:val="00B03D42"/>
    <w:rsid w:val="00B03FDE"/>
    <w:rsid w:val="00B04020"/>
    <w:rsid w:val="00B0453C"/>
    <w:rsid w:val="00B04551"/>
    <w:rsid w:val="00B046CB"/>
    <w:rsid w:val="00B04C8E"/>
    <w:rsid w:val="00B04F85"/>
    <w:rsid w:val="00B04FB7"/>
    <w:rsid w:val="00B05125"/>
    <w:rsid w:val="00B05255"/>
    <w:rsid w:val="00B05416"/>
    <w:rsid w:val="00B05B1B"/>
    <w:rsid w:val="00B05C92"/>
    <w:rsid w:val="00B05CCC"/>
    <w:rsid w:val="00B05D47"/>
    <w:rsid w:val="00B05E12"/>
    <w:rsid w:val="00B05E87"/>
    <w:rsid w:val="00B05ECE"/>
    <w:rsid w:val="00B0606F"/>
    <w:rsid w:val="00B0609D"/>
    <w:rsid w:val="00B060A1"/>
    <w:rsid w:val="00B061A1"/>
    <w:rsid w:val="00B06215"/>
    <w:rsid w:val="00B065FA"/>
    <w:rsid w:val="00B068DD"/>
    <w:rsid w:val="00B06935"/>
    <w:rsid w:val="00B06AAE"/>
    <w:rsid w:val="00B06B4D"/>
    <w:rsid w:val="00B06C81"/>
    <w:rsid w:val="00B06CD4"/>
    <w:rsid w:val="00B06E5D"/>
    <w:rsid w:val="00B06EB9"/>
    <w:rsid w:val="00B07020"/>
    <w:rsid w:val="00B071DD"/>
    <w:rsid w:val="00B0730A"/>
    <w:rsid w:val="00B079AE"/>
    <w:rsid w:val="00B07A97"/>
    <w:rsid w:val="00B07AA5"/>
    <w:rsid w:val="00B07C88"/>
    <w:rsid w:val="00B07E59"/>
    <w:rsid w:val="00B07E92"/>
    <w:rsid w:val="00B10103"/>
    <w:rsid w:val="00B10157"/>
    <w:rsid w:val="00B10197"/>
    <w:rsid w:val="00B1032A"/>
    <w:rsid w:val="00B10374"/>
    <w:rsid w:val="00B10466"/>
    <w:rsid w:val="00B10630"/>
    <w:rsid w:val="00B10991"/>
    <w:rsid w:val="00B10FC0"/>
    <w:rsid w:val="00B1124D"/>
    <w:rsid w:val="00B112BE"/>
    <w:rsid w:val="00B113A4"/>
    <w:rsid w:val="00B115D3"/>
    <w:rsid w:val="00B1165D"/>
    <w:rsid w:val="00B11673"/>
    <w:rsid w:val="00B117E7"/>
    <w:rsid w:val="00B119FA"/>
    <w:rsid w:val="00B11B2F"/>
    <w:rsid w:val="00B11D20"/>
    <w:rsid w:val="00B11D50"/>
    <w:rsid w:val="00B11E25"/>
    <w:rsid w:val="00B11F51"/>
    <w:rsid w:val="00B11F91"/>
    <w:rsid w:val="00B11FB4"/>
    <w:rsid w:val="00B120FB"/>
    <w:rsid w:val="00B12341"/>
    <w:rsid w:val="00B129B2"/>
    <w:rsid w:val="00B12A74"/>
    <w:rsid w:val="00B12AD1"/>
    <w:rsid w:val="00B12D58"/>
    <w:rsid w:val="00B12E1E"/>
    <w:rsid w:val="00B12FC0"/>
    <w:rsid w:val="00B13050"/>
    <w:rsid w:val="00B132DF"/>
    <w:rsid w:val="00B133EF"/>
    <w:rsid w:val="00B1346E"/>
    <w:rsid w:val="00B13479"/>
    <w:rsid w:val="00B138BC"/>
    <w:rsid w:val="00B13A4F"/>
    <w:rsid w:val="00B13BB6"/>
    <w:rsid w:val="00B13C9C"/>
    <w:rsid w:val="00B13CB9"/>
    <w:rsid w:val="00B13CBA"/>
    <w:rsid w:val="00B13DE3"/>
    <w:rsid w:val="00B13E47"/>
    <w:rsid w:val="00B13F47"/>
    <w:rsid w:val="00B1404E"/>
    <w:rsid w:val="00B142C0"/>
    <w:rsid w:val="00B142F5"/>
    <w:rsid w:val="00B14338"/>
    <w:rsid w:val="00B144E3"/>
    <w:rsid w:val="00B14639"/>
    <w:rsid w:val="00B146F0"/>
    <w:rsid w:val="00B14778"/>
    <w:rsid w:val="00B14888"/>
    <w:rsid w:val="00B14AC4"/>
    <w:rsid w:val="00B14BBE"/>
    <w:rsid w:val="00B14EE4"/>
    <w:rsid w:val="00B15147"/>
    <w:rsid w:val="00B15A0F"/>
    <w:rsid w:val="00B15AC3"/>
    <w:rsid w:val="00B15C25"/>
    <w:rsid w:val="00B15E52"/>
    <w:rsid w:val="00B15F6B"/>
    <w:rsid w:val="00B16002"/>
    <w:rsid w:val="00B16092"/>
    <w:rsid w:val="00B16349"/>
    <w:rsid w:val="00B164E2"/>
    <w:rsid w:val="00B1689F"/>
    <w:rsid w:val="00B16C40"/>
    <w:rsid w:val="00B16E62"/>
    <w:rsid w:val="00B16FC8"/>
    <w:rsid w:val="00B17622"/>
    <w:rsid w:val="00B17718"/>
    <w:rsid w:val="00B17A0C"/>
    <w:rsid w:val="00B17AF1"/>
    <w:rsid w:val="00B17C11"/>
    <w:rsid w:val="00B17CD2"/>
    <w:rsid w:val="00B17D56"/>
    <w:rsid w:val="00B17E40"/>
    <w:rsid w:val="00B17E4F"/>
    <w:rsid w:val="00B17EA0"/>
    <w:rsid w:val="00B200F5"/>
    <w:rsid w:val="00B20225"/>
    <w:rsid w:val="00B20402"/>
    <w:rsid w:val="00B2043D"/>
    <w:rsid w:val="00B2057F"/>
    <w:rsid w:val="00B205C0"/>
    <w:rsid w:val="00B2064B"/>
    <w:rsid w:val="00B206F0"/>
    <w:rsid w:val="00B20712"/>
    <w:rsid w:val="00B2072C"/>
    <w:rsid w:val="00B207CE"/>
    <w:rsid w:val="00B208AF"/>
    <w:rsid w:val="00B20A31"/>
    <w:rsid w:val="00B20CAE"/>
    <w:rsid w:val="00B20D19"/>
    <w:rsid w:val="00B20D77"/>
    <w:rsid w:val="00B20EA7"/>
    <w:rsid w:val="00B213FB"/>
    <w:rsid w:val="00B21808"/>
    <w:rsid w:val="00B2186D"/>
    <w:rsid w:val="00B21C6E"/>
    <w:rsid w:val="00B21FAF"/>
    <w:rsid w:val="00B2203D"/>
    <w:rsid w:val="00B222E6"/>
    <w:rsid w:val="00B223F5"/>
    <w:rsid w:val="00B22B99"/>
    <w:rsid w:val="00B22CFD"/>
    <w:rsid w:val="00B22EB5"/>
    <w:rsid w:val="00B22F10"/>
    <w:rsid w:val="00B230B9"/>
    <w:rsid w:val="00B23358"/>
    <w:rsid w:val="00B23801"/>
    <w:rsid w:val="00B23A89"/>
    <w:rsid w:val="00B23AF4"/>
    <w:rsid w:val="00B23D3A"/>
    <w:rsid w:val="00B23DFC"/>
    <w:rsid w:val="00B24071"/>
    <w:rsid w:val="00B242A0"/>
    <w:rsid w:val="00B24310"/>
    <w:rsid w:val="00B24341"/>
    <w:rsid w:val="00B24525"/>
    <w:rsid w:val="00B24B1F"/>
    <w:rsid w:val="00B24E3F"/>
    <w:rsid w:val="00B24E9E"/>
    <w:rsid w:val="00B25096"/>
    <w:rsid w:val="00B25298"/>
    <w:rsid w:val="00B2534E"/>
    <w:rsid w:val="00B255D9"/>
    <w:rsid w:val="00B257B6"/>
    <w:rsid w:val="00B259DD"/>
    <w:rsid w:val="00B25C2A"/>
    <w:rsid w:val="00B25DA9"/>
    <w:rsid w:val="00B25FDD"/>
    <w:rsid w:val="00B26115"/>
    <w:rsid w:val="00B26153"/>
    <w:rsid w:val="00B2635A"/>
    <w:rsid w:val="00B263B4"/>
    <w:rsid w:val="00B263DF"/>
    <w:rsid w:val="00B26514"/>
    <w:rsid w:val="00B26539"/>
    <w:rsid w:val="00B265D2"/>
    <w:rsid w:val="00B2666D"/>
    <w:rsid w:val="00B266B5"/>
    <w:rsid w:val="00B26765"/>
    <w:rsid w:val="00B268DE"/>
    <w:rsid w:val="00B26BE6"/>
    <w:rsid w:val="00B26D0E"/>
    <w:rsid w:val="00B26D37"/>
    <w:rsid w:val="00B26EC7"/>
    <w:rsid w:val="00B26F0F"/>
    <w:rsid w:val="00B27002"/>
    <w:rsid w:val="00B27051"/>
    <w:rsid w:val="00B270C6"/>
    <w:rsid w:val="00B2718E"/>
    <w:rsid w:val="00B271D9"/>
    <w:rsid w:val="00B272E2"/>
    <w:rsid w:val="00B27428"/>
    <w:rsid w:val="00B27432"/>
    <w:rsid w:val="00B274A9"/>
    <w:rsid w:val="00B27618"/>
    <w:rsid w:val="00B27844"/>
    <w:rsid w:val="00B27966"/>
    <w:rsid w:val="00B27989"/>
    <w:rsid w:val="00B27C66"/>
    <w:rsid w:val="00B27E38"/>
    <w:rsid w:val="00B27ED2"/>
    <w:rsid w:val="00B30071"/>
    <w:rsid w:val="00B30485"/>
    <w:rsid w:val="00B30853"/>
    <w:rsid w:val="00B308AC"/>
    <w:rsid w:val="00B30AE7"/>
    <w:rsid w:val="00B30B50"/>
    <w:rsid w:val="00B30CD2"/>
    <w:rsid w:val="00B310D1"/>
    <w:rsid w:val="00B314E0"/>
    <w:rsid w:val="00B31640"/>
    <w:rsid w:val="00B31722"/>
    <w:rsid w:val="00B318AB"/>
    <w:rsid w:val="00B318EB"/>
    <w:rsid w:val="00B31919"/>
    <w:rsid w:val="00B31B9A"/>
    <w:rsid w:val="00B31C76"/>
    <w:rsid w:val="00B31D6D"/>
    <w:rsid w:val="00B31DD5"/>
    <w:rsid w:val="00B320A1"/>
    <w:rsid w:val="00B32338"/>
    <w:rsid w:val="00B32460"/>
    <w:rsid w:val="00B324F1"/>
    <w:rsid w:val="00B32550"/>
    <w:rsid w:val="00B32675"/>
    <w:rsid w:val="00B32EAE"/>
    <w:rsid w:val="00B33088"/>
    <w:rsid w:val="00B33387"/>
    <w:rsid w:val="00B335F8"/>
    <w:rsid w:val="00B33A9B"/>
    <w:rsid w:val="00B33DF4"/>
    <w:rsid w:val="00B33E32"/>
    <w:rsid w:val="00B33E66"/>
    <w:rsid w:val="00B34032"/>
    <w:rsid w:val="00B340E0"/>
    <w:rsid w:val="00B342FD"/>
    <w:rsid w:val="00B34656"/>
    <w:rsid w:val="00B346DE"/>
    <w:rsid w:val="00B347D5"/>
    <w:rsid w:val="00B34905"/>
    <w:rsid w:val="00B34962"/>
    <w:rsid w:val="00B34AB4"/>
    <w:rsid w:val="00B34C83"/>
    <w:rsid w:val="00B34D5C"/>
    <w:rsid w:val="00B34F52"/>
    <w:rsid w:val="00B350C0"/>
    <w:rsid w:val="00B350F4"/>
    <w:rsid w:val="00B350F9"/>
    <w:rsid w:val="00B350FF"/>
    <w:rsid w:val="00B3521B"/>
    <w:rsid w:val="00B35380"/>
    <w:rsid w:val="00B3550C"/>
    <w:rsid w:val="00B35886"/>
    <w:rsid w:val="00B359C0"/>
    <w:rsid w:val="00B35E47"/>
    <w:rsid w:val="00B35E91"/>
    <w:rsid w:val="00B35F6B"/>
    <w:rsid w:val="00B3600C"/>
    <w:rsid w:val="00B36057"/>
    <w:rsid w:val="00B365CF"/>
    <w:rsid w:val="00B365DA"/>
    <w:rsid w:val="00B36A79"/>
    <w:rsid w:val="00B36BCF"/>
    <w:rsid w:val="00B36D79"/>
    <w:rsid w:val="00B36E39"/>
    <w:rsid w:val="00B370BB"/>
    <w:rsid w:val="00B3710E"/>
    <w:rsid w:val="00B374FD"/>
    <w:rsid w:val="00B378AB"/>
    <w:rsid w:val="00B3795B"/>
    <w:rsid w:val="00B37A96"/>
    <w:rsid w:val="00B37AB4"/>
    <w:rsid w:val="00B37B86"/>
    <w:rsid w:val="00B37C4A"/>
    <w:rsid w:val="00B37CC2"/>
    <w:rsid w:val="00B37DC4"/>
    <w:rsid w:val="00B37EB1"/>
    <w:rsid w:val="00B4016A"/>
    <w:rsid w:val="00B4040C"/>
    <w:rsid w:val="00B40706"/>
    <w:rsid w:val="00B40771"/>
    <w:rsid w:val="00B407A1"/>
    <w:rsid w:val="00B40A17"/>
    <w:rsid w:val="00B40D5B"/>
    <w:rsid w:val="00B40D67"/>
    <w:rsid w:val="00B40D9E"/>
    <w:rsid w:val="00B40F04"/>
    <w:rsid w:val="00B41172"/>
    <w:rsid w:val="00B417AB"/>
    <w:rsid w:val="00B418E4"/>
    <w:rsid w:val="00B41A5B"/>
    <w:rsid w:val="00B41AE6"/>
    <w:rsid w:val="00B42030"/>
    <w:rsid w:val="00B42069"/>
    <w:rsid w:val="00B4229F"/>
    <w:rsid w:val="00B42330"/>
    <w:rsid w:val="00B4252C"/>
    <w:rsid w:val="00B42538"/>
    <w:rsid w:val="00B4287B"/>
    <w:rsid w:val="00B428EA"/>
    <w:rsid w:val="00B42B59"/>
    <w:rsid w:val="00B42BDF"/>
    <w:rsid w:val="00B42BE0"/>
    <w:rsid w:val="00B42DE7"/>
    <w:rsid w:val="00B42E4D"/>
    <w:rsid w:val="00B42E67"/>
    <w:rsid w:val="00B42F19"/>
    <w:rsid w:val="00B43305"/>
    <w:rsid w:val="00B43782"/>
    <w:rsid w:val="00B4391F"/>
    <w:rsid w:val="00B43AF9"/>
    <w:rsid w:val="00B43C7E"/>
    <w:rsid w:val="00B43E73"/>
    <w:rsid w:val="00B441E0"/>
    <w:rsid w:val="00B442DE"/>
    <w:rsid w:val="00B442EC"/>
    <w:rsid w:val="00B44469"/>
    <w:rsid w:val="00B44606"/>
    <w:rsid w:val="00B44842"/>
    <w:rsid w:val="00B4498D"/>
    <w:rsid w:val="00B44A70"/>
    <w:rsid w:val="00B44CB1"/>
    <w:rsid w:val="00B4502E"/>
    <w:rsid w:val="00B45044"/>
    <w:rsid w:val="00B450FB"/>
    <w:rsid w:val="00B451F2"/>
    <w:rsid w:val="00B4522F"/>
    <w:rsid w:val="00B456AE"/>
    <w:rsid w:val="00B45781"/>
    <w:rsid w:val="00B45C0F"/>
    <w:rsid w:val="00B45DE6"/>
    <w:rsid w:val="00B45DF9"/>
    <w:rsid w:val="00B460D8"/>
    <w:rsid w:val="00B464CB"/>
    <w:rsid w:val="00B46A51"/>
    <w:rsid w:val="00B46C98"/>
    <w:rsid w:val="00B46D9E"/>
    <w:rsid w:val="00B46E73"/>
    <w:rsid w:val="00B46F86"/>
    <w:rsid w:val="00B47027"/>
    <w:rsid w:val="00B4703D"/>
    <w:rsid w:val="00B475D5"/>
    <w:rsid w:val="00B4765E"/>
    <w:rsid w:val="00B477CF"/>
    <w:rsid w:val="00B47A08"/>
    <w:rsid w:val="00B47AEE"/>
    <w:rsid w:val="00B47B10"/>
    <w:rsid w:val="00B47BFB"/>
    <w:rsid w:val="00B47F58"/>
    <w:rsid w:val="00B47FB0"/>
    <w:rsid w:val="00B47FCC"/>
    <w:rsid w:val="00B47FCE"/>
    <w:rsid w:val="00B5008B"/>
    <w:rsid w:val="00B502BB"/>
    <w:rsid w:val="00B50398"/>
    <w:rsid w:val="00B504E7"/>
    <w:rsid w:val="00B508A0"/>
    <w:rsid w:val="00B5091F"/>
    <w:rsid w:val="00B509B7"/>
    <w:rsid w:val="00B50BA1"/>
    <w:rsid w:val="00B50E08"/>
    <w:rsid w:val="00B510CD"/>
    <w:rsid w:val="00B514F3"/>
    <w:rsid w:val="00B5160C"/>
    <w:rsid w:val="00B518A8"/>
    <w:rsid w:val="00B51964"/>
    <w:rsid w:val="00B51B4E"/>
    <w:rsid w:val="00B51C0B"/>
    <w:rsid w:val="00B51D3A"/>
    <w:rsid w:val="00B51D6B"/>
    <w:rsid w:val="00B51D87"/>
    <w:rsid w:val="00B51FDB"/>
    <w:rsid w:val="00B520CC"/>
    <w:rsid w:val="00B52140"/>
    <w:rsid w:val="00B521D8"/>
    <w:rsid w:val="00B52237"/>
    <w:rsid w:val="00B52323"/>
    <w:rsid w:val="00B524C4"/>
    <w:rsid w:val="00B52625"/>
    <w:rsid w:val="00B526E7"/>
    <w:rsid w:val="00B52725"/>
    <w:rsid w:val="00B52A0B"/>
    <w:rsid w:val="00B52C47"/>
    <w:rsid w:val="00B530F7"/>
    <w:rsid w:val="00B53591"/>
    <w:rsid w:val="00B536D8"/>
    <w:rsid w:val="00B53891"/>
    <w:rsid w:val="00B538AA"/>
    <w:rsid w:val="00B538DA"/>
    <w:rsid w:val="00B53C18"/>
    <w:rsid w:val="00B53E72"/>
    <w:rsid w:val="00B53F1D"/>
    <w:rsid w:val="00B53FEE"/>
    <w:rsid w:val="00B542AD"/>
    <w:rsid w:val="00B54474"/>
    <w:rsid w:val="00B54552"/>
    <w:rsid w:val="00B54673"/>
    <w:rsid w:val="00B549A2"/>
    <w:rsid w:val="00B54B41"/>
    <w:rsid w:val="00B54B47"/>
    <w:rsid w:val="00B54C2F"/>
    <w:rsid w:val="00B54CB7"/>
    <w:rsid w:val="00B54D4C"/>
    <w:rsid w:val="00B54D5A"/>
    <w:rsid w:val="00B54E1E"/>
    <w:rsid w:val="00B54F59"/>
    <w:rsid w:val="00B552DF"/>
    <w:rsid w:val="00B553DF"/>
    <w:rsid w:val="00B555F2"/>
    <w:rsid w:val="00B557C1"/>
    <w:rsid w:val="00B557E9"/>
    <w:rsid w:val="00B55A50"/>
    <w:rsid w:val="00B55BC5"/>
    <w:rsid w:val="00B55CAA"/>
    <w:rsid w:val="00B55DA8"/>
    <w:rsid w:val="00B55E28"/>
    <w:rsid w:val="00B55E63"/>
    <w:rsid w:val="00B5626D"/>
    <w:rsid w:val="00B56528"/>
    <w:rsid w:val="00B5662C"/>
    <w:rsid w:val="00B56BEC"/>
    <w:rsid w:val="00B56D04"/>
    <w:rsid w:val="00B56F62"/>
    <w:rsid w:val="00B56FDF"/>
    <w:rsid w:val="00B572FC"/>
    <w:rsid w:val="00B573E1"/>
    <w:rsid w:val="00B57756"/>
    <w:rsid w:val="00B5786F"/>
    <w:rsid w:val="00B57C1D"/>
    <w:rsid w:val="00B57DF3"/>
    <w:rsid w:val="00B57FCB"/>
    <w:rsid w:val="00B60007"/>
    <w:rsid w:val="00B60061"/>
    <w:rsid w:val="00B603A7"/>
    <w:rsid w:val="00B603F1"/>
    <w:rsid w:val="00B60699"/>
    <w:rsid w:val="00B60765"/>
    <w:rsid w:val="00B60A14"/>
    <w:rsid w:val="00B60A30"/>
    <w:rsid w:val="00B60B6C"/>
    <w:rsid w:val="00B60BFA"/>
    <w:rsid w:val="00B60C7A"/>
    <w:rsid w:val="00B60EBE"/>
    <w:rsid w:val="00B610EF"/>
    <w:rsid w:val="00B61258"/>
    <w:rsid w:val="00B612E3"/>
    <w:rsid w:val="00B613DA"/>
    <w:rsid w:val="00B61407"/>
    <w:rsid w:val="00B61590"/>
    <w:rsid w:val="00B61FB8"/>
    <w:rsid w:val="00B624A5"/>
    <w:rsid w:val="00B624A6"/>
    <w:rsid w:val="00B6280E"/>
    <w:rsid w:val="00B62879"/>
    <w:rsid w:val="00B629C9"/>
    <w:rsid w:val="00B629FA"/>
    <w:rsid w:val="00B62D8A"/>
    <w:rsid w:val="00B62E3C"/>
    <w:rsid w:val="00B630F1"/>
    <w:rsid w:val="00B631EC"/>
    <w:rsid w:val="00B63224"/>
    <w:rsid w:val="00B634DC"/>
    <w:rsid w:val="00B637A8"/>
    <w:rsid w:val="00B63C68"/>
    <w:rsid w:val="00B63C7B"/>
    <w:rsid w:val="00B63CDC"/>
    <w:rsid w:val="00B63D7B"/>
    <w:rsid w:val="00B64218"/>
    <w:rsid w:val="00B642CD"/>
    <w:rsid w:val="00B643E6"/>
    <w:rsid w:val="00B64449"/>
    <w:rsid w:val="00B645AA"/>
    <w:rsid w:val="00B645D1"/>
    <w:rsid w:val="00B64746"/>
    <w:rsid w:val="00B647A6"/>
    <w:rsid w:val="00B64A3E"/>
    <w:rsid w:val="00B64A71"/>
    <w:rsid w:val="00B64ABC"/>
    <w:rsid w:val="00B64AC9"/>
    <w:rsid w:val="00B64C0C"/>
    <w:rsid w:val="00B64D5C"/>
    <w:rsid w:val="00B64D5D"/>
    <w:rsid w:val="00B64E15"/>
    <w:rsid w:val="00B64E49"/>
    <w:rsid w:val="00B64F04"/>
    <w:rsid w:val="00B64F53"/>
    <w:rsid w:val="00B64FF5"/>
    <w:rsid w:val="00B6520E"/>
    <w:rsid w:val="00B654FD"/>
    <w:rsid w:val="00B655D3"/>
    <w:rsid w:val="00B656BF"/>
    <w:rsid w:val="00B65717"/>
    <w:rsid w:val="00B65747"/>
    <w:rsid w:val="00B657CD"/>
    <w:rsid w:val="00B657E6"/>
    <w:rsid w:val="00B657FF"/>
    <w:rsid w:val="00B65913"/>
    <w:rsid w:val="00B65AE7"/>
    <w:rsid w:val="00B65F15"/>
    <w:rsid w:val="00B660C0"/>
    <w:rsid w:val="00B660D7"/>
    <w:rsid w:val="00B662CE"/>
    <w:rsid w:val="00B66342"/>
    <w:rsid w:val="00B66447"/>
    <w:rsid w:val="00B664BE"/>
    <w:rsid w:val="00B66562"/>
    <w:rsid w:val="00B665A8"/>
    <w:rsid w:val="00B66663"/>
    <w:rsid w:val="00B666D6"/>
    <w:rsid w:val="00B668B0"/>
    <w:rsid w:val="00B6692E"/>
    <w:rsid w:val="00B669C7"/>
    <w:rsid w:val="00B669D5"/>
    <w:rsid w:val="00B66A32"/>
    <w:rsid w:val="00B66A5C"/>
    <w:rsid w:val="00B66C2A"/>
    <w:rsid w:val="00B66D86"/>
    <w:rsid w:val="00B67056"/>
    <w:rsid w:val="00B67155"/>
    <w:rsid w:val="00B6750C"/>
    <w:rsid w:val="00B67837"/>
    <w:rsid w:val="00B67ADE"/>
    <w:rsid w:val="00B67D59"/>
    <w:rsid w:val="00B70150"/>
    <w:rsid w:val="00B702B0"/>
    <w:rsid w:val="00B7048B"/>
    <w:rsid w:val="00B70548"/>
    <w:rsid w:val="00B707DB"/>
    <w:rsid w:val="00B709ED"/>
    <w:rsid w:val="00B70AD6"/>
    <w:rsid w:val="00B70B17"/>
    <w:rsid w:val="00B70BDC"/>
    <w:rsid w:val="00B70C3D"/>
    <w:rsid w:val="00B70CE0"/>
    <w:rsid w:val="00B70FFD"/>
    <w:rsid w:val="00B71578"/>
    <w:rsid w:val="00B7178C"/>
    <w:rsid w:val="00B7181E"/>
    <w:rsid w:val="00B718F8"/>
    <w:rsid w:val="00B719FC"/>
    <w:rsid w:val="00B71BB7"/>
    <w:rsid w:val="00B71BCD"/>
    <w:rsid w:val="00B71BDD"/>
    <w:rsid w:val="00B71DC3"/>
    <w:rsid w:val="00B71F14"/>
    <w:rsid w:val="00B720AD"/>
    <w:rsid w:val="00B72108"/>
    <w:rsid w:val="00B72165"/>
    <w:rsid w:val="00B7219A"/>
    <w:rsid w:val="00B7241D"/>
    <w:rsid w:val="00B726E0"/>
    <w:rsid w:val="00B7277B"/>
    <w:rsid w:val="00B72887"/>
    <w:rsid w:val="00B72941"/>
    <w:rsid w:val="00B729FF"/>
    <w:rsid w:val="00B72E52"/>
    <w:rsid w:val="00B73236"/>
    <w:rsid w:val="00B73267"/>
    <w:rsid w:val="00B73635"/>
    <w:rsid w:val="00B73668"/>
    <w:rsid w:val="00B737C5"/>
    <w:rsid w:val="00B7382A"/>
    <w:rsid w:val="00B73B04"/>
    <w:rsid w:val="00B73B43"/>
    <w:rsid w:val="00B73C8D"/>
    <w:rsid w:val="00B73CDC"/>
    <w:rsid w:val="00B73E47"/>
    <w:rsid w:val="00B73E6F"/>
    <w:rsid w:val="00B73FC8"/>
    <w:rsid w:val="00B73FF7"/>
    <w:rsid w:val="00B74190"/>
    <w:rsid w:val="00B74285"/>
    <w:rsid w:val="00B745DD"/>
    <w:rsid w:val="00B746D3"/>
    <w:rsid w:val="00B74790"/>
    <w:rsid w:val="00B74849"/>
    <w:rsid w:val="00B749DE"/>
    <w:rsid w:val="00B74AB3"/>
    <w:rsid w:val="00B74B1F"/>
    <w:rsid w:val="00B74F95"/>
    <w:rsid w:val="00B75081"/>
    <w:rsid w:val="00B7524B"/>
    <w:rsid w:val="00B753B7"/>
    <w:rsid w:val="00B756CA"/>
    <w:rsid w:val="00B7573B"/>
    <w:rsid w:val="00B758E5"/>
    <w:rsid w:val="00B75BA7"/>
    <w:rsid w:val="00B75D54"/>
    <w:rsid w:val="00B75F50"/>
    <w:rsid w:val="00B75F7D"/>
    <w:rsid w:val="00B7608D"/>
    <w:rsid w:val="00B762D4"/>
    <w:rsid w:val="00B76510"/>
    <w:rsid w:val="00B76601"/>
    <w:rsid w:val="00B76796"/>
    <w:rsid w:val="00B76802"/>
    <w:rsid w:val="00B76D44"/>
    <w:rsid w:val="00B76E21"/>
    <w:rsid w:val="00B76F07"/>
    <w:rsid w:val="00B76F9E"/>
    <w:rsid w:val="00B7708B"/>
    <w:rsid w:val="00B7726E"/>
    <w:rsid w:val="00B7737A"/>
    <w:rsid w:val="00B77488"/>
    <w:rsid w:val="00B775B2"/>
    <w:rsid w:val="00B777A3"/>
    <w:rsid w:val="00B77998"/>
    <w:rsid w:val="00B77CAB"/>
    <w:rsid w:val="00B77EC9"/>
    <w:rsid w:val="00B80173"/>
    <w:rsid w:val="00B80261"/>
    <w:rsid w:val="00B8048A"/>
    <w:rsid w:val="00B80569"/>
    <w:rsid w:val="00B80582"/>
    <w:rsid w:val="00B80942"/>
    <w:rsid w:val="00B809D9"/>
    <w:rsid w:val="00B80A5D"/>
    <w:rsid w:val="00B80BBA"/>
    <w:rsid w:val="00B80C64"/>
    <w:rsid w:val="00B80F6E"/>
    <w:rsid w:val="00B810ED"/>
    <w:rsid w:val="00B8124F"/>
    <w:rsid w:val="00B81483"/>
    <w:rsid w:val="00B814E4"/>
    <w:rsid w:val="00B81541"/>
    <w:rsid w:val="00B81671"/>
    <w:rsid w:val="00B81741"/>
    <w:rsid w:val="00B8190E"/>
    <w:rsid w:val="00B81997"/>
    <w:rsid w:val="00B81CD8"/>
    <w:rsid w:val="00B81D03"/>
    <w:rsid w:val="00B820B9"/>
    <w:rsid w:val="00B821A6"/>
    <w:rsid w:val="00B82223"/>
    <w:rsid w:val="00B823A3"/>
    <w:rsid w:val="00B828F9"/>
    <w:rsid w:val="00B8292D"/>
    <w:rsid w:val="00B82AE7"/>
    <w:rsid w:val="00B82C77"/>
    <w:rsid w:val="00B82D0F"/>
    <w:rsid w:val="00B82F73"/>
    <w:rsid w:val="00B831A4"/>
    <w:rsid w:val="00B831C2"/>
    <w:rsid w:val="00B83239"/>
    <w:rsid w:val="00B8324F"/>
    <w:rsid w:val="00B833D1"/>
    <w:rsid w:val="00B8345F"/>
    <w:rsid w:val="00B8363C"/>
    <w:rsid w:val="00B83644"/>
    <w:rsid w:val="00B836C9"/>
    <w:rsid w:val="00B837FA"/>
    <w:rsid w:val="00B8386E"/>
    <w:rsid w:val="00B839DC"/>
    <w:rsid w:val="00B83AEF"/>
    <w:rsid w:val="00B83B18"/>
    <w:rsid w:val="00B83CD5"/>
    <w:rsid w:val="00B83F23"/>
    <w:rsid w:val="00B84223"/>
    <w:rsid w:val="00B842D2"/>
    <w:rsid w:val="00B84493"/>
    <w:rsid w:val="00B844AE"/>
    <w:rsid w:val="00B845FB"/>
    <w:rsid w:val="00B84670"/>
    <w:rsid w:val="00B846E0"/>
    <w:rsid w:val="00B84721"/>
    <w:rsid w:val="00B8492C"/>
    <w:rsid w:val="00B84942"/>
    <w:rsid w:val="00B849C6"/>
    <w:rsid w:val="00B84A6E"/>
    <w:rsid w:val="00B84E08"/>
    <w:rsid w:val="00B85182"/>
    <w:rsid w:val="00B851CD"/>
    <w:rsid w:val="00B851DD"/>
    <w:rsid w:val="00B8535E"/>
    <w:rsid w:val="00B853A0"/>
    <w:rsid w:val="00B856E3"/>
    <w:rsid w:val="00B85ADA"/>
    <w:rsid w:val="00B85D0E"/>
    <w:rsid w:val="00B85D39"/>
    <w:rsid w:val="00B85DA5"/>
    <w:rsid w:val="00B85EA4"/>
    <w:rsid w:val="00B86112"/>
    <w:rsid w:val="00B86277"/>
    <w:rsid w:val="00B86A2B"/>
    <w:rsid w:val="00B86B97"/>
    <w:rsid w:val="00B86C5D"/>
    <w:rsid w:val="00B86E65"/>
    <w:rsid w:val="00B8709E"/>
    <w:rsid w:val="00B87224"/>
    <w:rsid w:val="00B87331"/>
    <w:rsid w:val="00B87375"/>
    <w:rsid w:val="00B87518"/>
    <w:rsid w:val="00B8759E"/>
    <w:rsid w:val="00B87639"/>
    <w:rsid w:val="00B877B4"/>
    <w:rsid w:val="00B877ED"/>
    <w:rsid w:val="00B8789C"/>
    <w:rsid w:val="00B8794B"/>
    <w:rsid w:val="00B87AAB"/>
    <w:rsid w:val="00B87C5B"/>
    <w:rsid w:val="00B87EB8"/>
    <w:rsid w:val="00B87F75"/>
    <w:rsid w:val="00B901EF"/>
    <w:rsid w:val="00B906AC"/>
    <w:rsid w:val="00B907F8"/>
    <w:rsid w:val="00B908B0"/>
    <w:rsid w:val="00B90912"/>
    <w:rsid w:val="00B90C8A"/>
    <w:rsid w:val="00B90CBF"/>
    <w:rsid w:val="00B90EA7"/>
    <w:rsid w:val="00B91214"/>
    <w:rsid w:val="00B9188A"/>
    <w:rsid w:val="00B920F1"/>
    <w:rsid w:val="00B92257"/>
    <w:rsid w:val="00B9225B"/>
    <w:rsid w:val="00B9245D"/>
    <w:rsid w:val="00B924BF"/>
    <w:rsid w:val="00B924ED"/>
    <w:rsid w:val="00B9266E"/>
    <w:rsid w:val="00B92961"/>
    <w:rsid w:val="00B92962"/>
    <w:rsid w:val="00B929A3"/>
    <w:rsid w:val="00B92C55"/>
    <w:rsid w:val="00B92C59"/>
    <w:rsid w:val="00B92D8F"/>
    <w:rsid w:val="00B92F5E"/>
    <w:rsid w:val="00B931DB"/>
    <w:rsid w:val="00B934EE"/>
    <w:rsid w:val="00B93583"/>
    <w:rsid w:val="00B9376A"/>
    <w:rsid w:val="00B93AA9"/>
    <w:rsid w:val="00B93AEA"/>
    <w:rsid w:val="00B93BF9"/>
    <w:rsid w:val="00B93CC6"/>
    <w:rsid w:val="00B93CD4"/>
    <w:rsid w:val="00B93ED6"/>
    <w:rsid w:val="00B93FAF"/>
    <w:rsid w:val="00B94222"/>
    <w:rsid w:val="00B942ED"/>
    <w:rsid w:val="00B94882"/>
    <w:rsid w:val="00B94951"/>
    <w:rsid w:val="00B94AA4"/>
    <w:rsid w:val="00B94D45"/>
    <w:rsid w:val="00B94DDD"/>
    <w:rsid w:val="00B94EBB"/>
    <w:rsid w:val="00B94F70"/>
    <w:rsid w:val="00B94F9E"/>
    <w:rsid w:val="00B950EB"/>
    <w:rsid w:val="00B95169"/>
    <w:rsid w:val="00B95369"/>
    <w:rsid w:val="00B95401"/>
    <w:rsid w:val="00B9555F"/>
    <w:rsid w:val="00B95A70"/>
    <w:rsid w:val="00B95B7D"/>
    <w:rsid w:val="00B96028"/>
    <w:rsid w:val="00B961C1"/>
    <w:rsid w:val="00B96290"/>
    <w:rsid w:val="00B962E4"/>
    <w:rsid w:val="00B964D4"/>
    <w:rsid w:val="00B965CE"/>
    <w:rsid w:val="00B965F9"/>
    <w:rsid w:val="00B9662C"/>
    <w:rsid w:val="00B96925"/>
    <w:rsid w:val="00B96929"/>
    <w:rsid w:val="00B96AF3"/>
    <w:rsid w:val="00B96AFF"/>
    <w:rsid w:val="00B96DBA"/>
    <w:rsid w:val="00B96E34"/>
    <w:rsid w:val="00B96EA6"/>
    <w:rsid w:val="00B96F2B"/>
    <w:rsid w:val="00B9717B"/>
    <w:rsid w:val="00B972D9"/>
    <w:rsid w:val="00B97561"/>
    <w:rsid w:val="00B975CC"/>
    <w:rsid w:val="00B975CD"/>
    <w:rsid w:val="00B97678"/>
    <w:rsid w:val="00B97789"/>
    <w:rsid w:val="00B978E2"/>
    <w:rsid w:val="00B97BF3"/>
    <w:rsid w:val="00B97C6B"/>
    <w:rsid w:val="00B97D57"/>
    <w:rsid w:val="00BA008A"/>
    <w:rsid w:val="00BA0472"/>
    <w:rsid w:val="00BA059F"/>
    <w:rsid w:val="00BA064D"/>
    <w:rsid w:val="00BA0677"/>
    <w:rsid w:val="00BA0842"/>
    <w:rsid w:val="00BA0855"/>
    <w:rsid w:val="00BA0874"/>
    <w:rsid w:val="00BA0B35"/>
    <w:rsid w:val="00BA0B83"/>
    <w:rsid w:val="00BA0E2D"/>
    <w:rsid w:val="00BA1108"/>
    <w:rsid w:val="00BA12C7"/>
    <w:rsid w:val="00BA1363"/>
    <w:rsid w:val="00BA1395"/>
    <w:rsid w:val="00BA1463"/>
    <w:rsid w:val="00BA15A4"/>
    <w:rsid w:val="00BA164F"/>
    <w:rsid w:val="00BA17B9"/>
    <w:rsid w:val="00BA191D"/>
    <w:rsid w:val="00BA1933"/>
    <w:rsid w:val="00BA1AE1"/>
    <w:rsid w:val="00BA1C93"/>
    <w:rsid w:val="00BA1CBE"/>
    <w:rsid w:val="00BA1CE9"/>
    <w:rsid w:val="00BA1F32"/>
    <w:rsid w:val="00BA1F42"/>
    <w:rsid w:val="00BA2016"/>
    <w:rsid w:val="00BA219F"/>
    <w:rsid w:val="00BA22F1"/>
    <w:rsid w:val="00BA2521"/>
    <w:rsid w:val="00BA252C"/>
    <w:rsid w:val="00BA26B3"/>
    <w:rsid w:val="00BA2802"/>
    <w:rsid w:val="00BA2816"/>
    <w:rsid w:val="00BA29E6"/>
    <w:rsid w:val="00BA2A1E"/>
    <w:rsid w:val="00BA2A7E"/>
    <w:rsid w:val="00BA2B85"/>
    <w:rsid w:val="00BA2D02"/>
    <w:rsid w:val="00BA2D38"/>
    <w:rsid w:val="00BA2ED3"/>
    <w:rsid w:val="00BA3076"/>
    <w:rsid w:val="00BA33C5"/>
    <w:rsid w:val="00BA37B0"/>
    <w:rsid w:val="00BA38BE"/>
    <w:rsid w:val="00BA394C"/>
    <w:rsid w:val="00BA3B18"/>
    <w:rsid w:val="00BA3C79"/>
    <w:rsid w:val="00BA3CE6"/>
    <w:rsid w:val="00BA3D5E"/>
    <w:rsid w:val="00BA3E55"/>
    <w:rsid w:val="00BA3F17"/>
    <w:rsid w:val="00BA4071"/>
    <w:rsid w:val="00BA4208"/>
    <w:rsid w:val="00BA424A"/>
    <w:rsid w:val="00BA443C"/>
    <w:rsid w:val="00BA44D1"/>
    <w:rsid w:val="00BA4648"/>
    <w:rsid w:val="00BA498C"/>
    <w:rsid w:val="00BA49CC"/>
    <w:rsid w:val="00BA49E4"/>
    <w:rsid w:val="00BA4AFF"/>
    <w:rsid w:val="00BA4FA0"/>
    <w:rsid w:val="00BA5156"/>
    <w:rsid w:val="00BA5372"/>
    <w:rsid w:val="00BA5685"/>
    <w:rsid w:val="00BA575D"/>
    <w:rsid w:val="00BA5971"/>
    <w:rsid w:val="00BA5A4D"/>
    <w:rsid w:val="00BA5AC1"/>
    <w:rsid w:val="00BA5C25"/>
    <w:rsid w:val="00BA5CB5"/>
    <w:rsid w:val="00BA5F1E"/>
    <w:rsid w:val="00BA6691"/>
    <w:rsid w:val="00BA6781"/>
    <w:rsid w:val="00BA6843"/>
    <w:rsid w:val="00BA73C6"/>
    <w:rsid w:val="00BA73D1"/>
    <w:rsid w:val="00BA78E2"/>
    <w:rsid w:val="00BA797E"/>
    <w:rsid w:val="00BA7BA9"/>
    <w:rsid w:val="00BA7C33"/>
    <w:rsid w:val="00BA7C9A"/>
    <w:rsid w:val="00BA7F59"/>
    <w:rsid w:val="00BA7F62"/>
    <w:rsid w:val="00BB0077"/>
    <w:rsid w:val="00BB0290"/>
    <w:rsid w:val="00BB0834"/>
    <w:rsid w:val="00BB087E"/>
    <w:rsid w:val="00BB08A3"/>
    <w:rsid w:val="00BB0B02"/>
    <w:rsid w:val="00BB0B27"/>
    <w:rsid w:val="00BB1089"/>
    <w:rsid w:val="00BB1269"/>
    <w:rsid w:val="00BB16FA"/>
    <w:rsid w:val="00BB19BB"/>
    <w:rsid w:val="00BB1A03"/>
    <w:rsid w:val="00BB1AE2"/>
    <w:rsid w:val="00BB1F90"/>
    <w:rsid w:val="00BB206B"/>
    <w:rsid w:val="00BB2118"/>
    <w:rsid w:val="00BB2147"/>
    <w:rsid w:val="00BB21AD"/>
    <w:rsid w:val="00BB23D6"/>
    <w:rsid w:val="00BB247C"/>
    <w:rsid w:val="00BB2483"/>
    <w:rsid w:val="00BB2585"/>
    <w:rsid w:val="00BB2800"/>
    <w:rsid w:val="00BB28F2"/>
    <w:rsid w:val="00BB2914"/>
    <w:rsid w:val="00BB2D65"/>
    <w:rsid w:val="00BB2E21"/>
    <w:rsid w:val="00BB2E5C"/>
    <w:rsid w:val="00BB2F2B"/>
    <w:rsid w:val="00BB2F44"/>
    <w:rsid w:val="00BB2FDD"/>
    <w:rsid w:val="00BB30B1"/>
    <w:rsid w:val="00BB3562"/>
    <w:rsid w:val="00BB3661"/>
    <w:rsid w:val="00BB3879"/>
    <w:rsid w:val="00BB38EA"/>
    <w:rsid w:val="00BB39F4"/>
    <w:rsid w:val="00BB3CFC"/>
    <w:rsid w:val="00BB3D2A"/>
    <w:rsid w:val="00BB3D9D"/>
    <w:rsid w:val="00BB3ECC"/>
    <w:rsid w:val="00BB403B"/>
    <w:rsid w:val="00BB4060"/>
    <w:rsid w:val="00BB415A"/>
    <w:rsid w:val="00BB4261"/>
    <w:rsid w:val="00BB42C7"/>
    <w:rsid w:val="00BB453F"/>
    <w:rsid w:val="00BB4897"/>
    <w:rsid w:val="00BB4A4E"/>
    <w:rsid w:val="00BB4C8F"/>
    <w:rsid w:val="00BB4CE4"/>
    <w:rsid w:val="00BB4DF0"/>
    <w:rsid w:val="00BB4F84"/>
    <w:rsid w:val="00BB51B5"/>
    <w:rsid w:val="00BB51C6"/>
    <w:rsid w:val="00BB51F7"/>
    <w:rsid w:val="00BB536B"/>
    <w:rsid w:val="00BB55D0"/>
    <w:rsid w:val="00BB5662"/>
    <w:rsid w:val="00BB5770"/>
    <w:rsid w:val="00BB5974"/>
    <w:rsid w:val="00BB5996"/>
    <w:rsid w:val="00BB5B3F"/>
    <w:rsid w:val="00BB5C52"/>
    <w:rsid w:val="00BB5F7F"/>
    <w:rsid w:val="00BB601E"/>
    <w:rsid w:val="00BB627E"/>
    <w:rsid w:val="00BB63BA"/>
    <w:rsid w:val="00BB63FD"/>
    <w:rsid w:val="00BB644B"/>
    <w:rsid w:val="00BB667B"/>
    <w:rsid w:val="00BB669B"/>
    <w:rsid w:val="00BB673E"/>
    <w:rsid w:val="00BB674C"/>
    <w:rsid w:val="00BB6A1F"/>
    <w:rsid w:val="00BB6B94"/>
    <w:rsid w:val="00BB6C3E"/>
    <w:rsid w:val="00BB6D05"/>
    <w:rsid w:val="00BB6DEC"/>
    <w:rsid w:val="00BB6EDC"/>
    <w:rsid w:val="00BB7120"/>
    <w:rsid w:val="00BB74F2"/>
    <w:rsid w:val="00BB772E"/>
    <w:rsid w:val="00BB794A"/>
    <w:rsid w:val="00BB7A72"/>
    <w:rsid w:val="00BB7F67"/>
    <w:rsid w:val="00BC0515"/>
    <w:rsid w:val="00BC0685"/>
    <w:rsid w:val="00BC06BA"/>
    <w:rsid w:val="00BC073E"/>
    <w:rsid w:val="00BC087F"/>
    <w:rsid w:val="00BC09C2"/>
    <w:rsid w:val="00BC0AC5"/>
    <w:rsid w:val="00BC0BAA"/>
    <w:rsid w:val="00BC109A"/>
    <w:rsid w:val="00BC11A8"/>
    <w:rsid w:val="00BC12A5"/>
    <w:rsid w:val="00BC1361"/>
    <w:rsid w:val="00BC13C6"/>
    <w:rsid w:val="00BC154B"/>
    <w:rsid w:val="00BC16F5"/>
    <w:rsid w:val="00BC1818"/>
    <w:rsid w:val="00BC191C"/>
    <w:rsid w:val="00BC1A88"/>
    <w:rsid w:val="00BC1E6F"/>
    <w:rsid w:val="00BC1EA6"/>
    <w:rsid w:val="00BC21AE"/>
    <w:rsid w:val="00BC2360"/>
    <w:rsid w:val="00BC23DA"/>
    <w:rsid w:val="00BC2550"/>
    <w:rsid w:val="00BC27B6"/>
    <w:rsid w:val="00BC2C38"/>
    <w:rsid w:val="00BC2C8D"/>
    <w:rsid w:val="00BC2CA7"/>
    <w:rsid w:val="00BC2DD4"/>
    <w:rsid w:val="00BC3291"/>
    <w:rsid w:val="00BC3318"/>
    <w:rsid w:val="00BC34CC"/>
    <w:rsid w:val="00BC3840"/>
    <w:rsid w:val="00BC39D5"/>
    <w:rsid w:val="00BC3D1B"/>
    <w:rsid w:val="00BC422F"/>
    <w:rsid w:val="00BC48F0"/>
    <w:rsid w:val="00BC4B7C"/>
    <w:rsid w:val="00BC4D1F"/>
    <w:rsid w:val="00BC4DB1"/>
    <w:rsid w:val="00BC5116"/>
    <w:rsid w:val="00BC5138"/>
    <w:rsid w:val="00BC5186"/>
    <w:rsid w:val="00BC5494"/>
    <w:rsid w:val="00BC5BBF"/>
    <w:rsid w:val="00BC5CD0"/>
    <w:rsid w:val="00BC5E8E"/>
    <w:rsid w:val="00BC611F"/>
    <w:rsid w:val="00BC643F"/>
    <w:rsid w:val="00BC6470"/>
    <w:rsid w:val="00BC6496"/>
    <w:rsid w:val="00BC660C"/>
    <w:rsid w:val="00BC66E2"/>
    <w:rsid w:val="00BC6980"/>
    <w:rsid w:val="00BC6C44"/>
    <w:rsid w:val="00BC72C6"/>
    <w:rsid w:val="00BC74A8"/>
    <w:rsid w:val="00BC7504"/>
    <w:rsid w:val="00BC78F5"/>
    <w:rsid w:val="00BC796F"/>
    <w:rsid w:val="00BC7A7A"/>
    <w:rsid w:val="00BC7A7E"/>
    <w:rsid w:val="00BC7AF7"/>
    <w:rsid w:val="00BC7CCE"/>
    <w:rsid w:val="00BC7D1E"/>
    <w:rsid w:val="00BC7E50"/>
    <w:rsid w:val="00BC7F5C"/>
    <w:rsid w:val="00BD04DB"/>
    <w:rsid w:val="00BD0548"/>
    <w:rsid w:val="00BD07EF"/>
    <w:rsid w:val="00BD082F"/>
    <w:rsid w:val="00BD0938"/>
    <w:rsid w:val="00BD0CAC"/>
    <w:rsid w:val="00BD0D0D"/>
    <w:rsid w:val="00BD0D4D"/>
    <w:rsid w:val="00BD0DD3"/>
    <w:rsid w:val="00BD1101"/>
    <w:rsid w:val="00BD12F0"/>
    <w:rsid w:val="00BD144C"/>
    <w:rsid w:val="00BD178B"/>
    <w:rsid w:val="00BD1840"/>
    <w:rsid w:val="00BD19E5"/>
    <w:rsid w:val="00BD1A0E"/>
    <w:rsid w:val="00BD1A7E"/>
    <w:rsid w:val="00BD1DF7"/>
    <w:rsid w:val="00BD1E92"/>
    <w:rsid w:val="00BD20DC"/>
    <w:rsid w:val="00BD217B"/>
    <w:rsid w:val="00BD225E"/>
    <w:rsid w:val="00BD2273"/>
    <w:rsid w:val="00BD2349"/>
    <w:rsid w:val="00BD25DE"/>
    <w:rsid w:val="00BD2664"/>
    <w:rsid w:val="00BD2758"/>
    <w:rsid w:val="00BD2AA3"/>
    <w:rsid w:val="00BD2EDF"/>
    <w:rsid w:val="00BD2EFE"/>
    <w:rsid w:val="00BD2F0E"/>
    <w:rsid w:val="00BD3215"/>
    <w:rsid w:val="00BD34FE"/>
    <w:rsid w:val="00BD35FC"/>
    <w:rsid w:val="00BD398B"/>
    <w:rsid w:val="00BD39DD"/>
    <w:rsid w:val="00BD40FA"/>
    <w:rsid w:val="00BD4143"/>
    <w:rsid w:val="00BD44F5"/>
    <w:rsid w:val="00BD47DE"/>
    <w:rsid w:val="00BD49DE"/>
    <w:rsid w:val="00BD4A81"/>
    <w:rsid w:val="00BD4C8E"/>
    <w:rsid w:val="00BD4E96"/>
    <w:rsid w:val="00BD515E"/>
    <w:rsid w:val="00BD520A"/>
    <w:rsid w:val="00BD528B"/>
    <w:rsid w:val="00BD541D"/>
    <w:rsid w:val="00BD5535"/>
    <w:rsid w:val="00BD56EB"/>
    <w:rsid w:val="00BD574B"/>
    <w:rsid w:val="00BD5EB5"/>
    <w:rsid w:val="00BD5FF6"/>
    <w:rsid w:val="00BD616C"/>
    <w:rsid w:val="00BD6329"/>
    <w:rsid w:val="00BD6396"/>
    <w:rsid w:val="00BD6643"/>
    <w:rsid w:val="00BD66E2"/>
    <w:rsid w:val="00BD6836"/>
    <w:rsid w:val="00BD69DF"/>
    <w:rsid w:val="00BD6A4D"/>
    <w:rsid w:val="00BD6CAB"/>
    <w:rsid w:val="00BD6D42"/>
    <w:rsid w:val="00BD6E03"/>
    <w:rsid w:val="00BD6E2B"/>
    <w:rsid w:val="00BD6FCA"/>
    <w:rsid w:val="00BD7673"/>
    <w:rsid w:val="00BD7688"/>
    <w:rsid w:val="00BD7A39"/>
    <w:rsid w:val="00BD7C26"/>
    <w:rsid w:val="00BD7C30"/>
    <w:rsid w:val="00BD7D27"/>
    <w:rsid w:val="00BD7DDF"/>
    <w:rsid w:val="00BD7E15"/>
    <w:rsid w:val="00BD7E8C"/>
    <w:rsid w:val="00BD7EEE"/>
    <w:rsid w:val="00BD7F9E"/>
    <w:rsid w:val="00BE00A1"/>
    <w:rsid w:val="00BE0136"/>
    <w:rsid w:val="00BE0231"/>
    <w:rsid w:val="00BE02BE"/>
    <w:rsid w:val="00BE0392"/>
    <w:rsid w:val="00BE03D8"/>
    <w:rsid w:val="00BE05B7"/>
    <w:rsid w:val="00BE067A"/>
    <w:rsid w:val="00BE0981"/>
    <w:rsid w:val="00BE0A36"/>
    <w:rsid w:val="00BE122A"/>
    <w:rsid w:val="00BE162C"/>
    <w:rsid w:val="00BE16EA"/>
    <w:rsid w:val="00BE173F"/>
    <w:rsid w:val="00BE17BB"/>
    <w:rsid w:val="00BE1A91"/>
    <w:rsid w:val="00BE1CC2"/>
    <w:rsid w:val="00BE1F4A"/>
    <w:rsid w:val="00BE2222"/>
    <w:rsid w:val="00BE24CB"/>
    <w:rsid w:val="00BE2682"/>
    <w:rsid w:val="00BE2778"/>
    <w:rsid w:val="00BE279D"/>
    <w:rsid w:val="00BE290E"/>
    <w:rsid w:val="00BE2B64"/>
    <w:rsid w:val="00BE2B75"/>
    <w:rsid w:val="00BE2B82"/>
    <w:rsid w:val="00BE2B99"/>
    <w:rsid w:val="00BE2BF4"/>
    <w:rsid w:val="00BE2C85"/>
    <w:rsid w:val="00BE30B8"/>
    <w:rsid w:val="00BE336B"/>
    <w:rsid w:val="00BE33A4"/>
    <w:rsid w:val="00BE3414"/>
    <w:rsid w:val="00BE3419"/>
    <w:rsid w:val="00BE3708"/>
    <w:rsid w:val="00BE374B"/>
    <w:rsid w:val="00BE3C23"/>
    <w:rsid w:val="00BE407B"/>
    <w:rsid w:val="00BE4201"/>
    <w:rsid w:val="00BE4446"/>
    <w:rsid w:val="00BE473C"/>
    <w:rsid w:val="00BE4DC8"/>
    <w:rsid w:val="00BE506C"/>
    <w:rsid w:val="00BE5238"/>
    <w:rsid w:val="00BE5269"/>
    <w:rsid w:val="00BE52D2"/>
    <w:rsid w:val="00BE5516"/>
    <w:rsid w:val="00BE553F"/>
    <w:rsid w:val="00BE564E"/>
    <w:rsid w:val="00BE5A02"/>
    <w:rsid w:val="00BE5A87"/>
    <w:rsid w:val="00BE5BE2"/>
    <w:rsid w:val="00BE5DAE"/>
    <w:rsid w:val="00BE607D"/>
    <w:rsid w:val="00BE61A9"/>
    <w:rsid w:val="00BE62AA"/>
    <w:rsid w:val="00BE644B"/>
    <w:rsid w:val="00BE64F1"/>
    <w:rsid w:val="00BE6611"/>
    <w:rsid w:val="00BE68F7"/>
    <w:rsid w:val="00BE6B99"/>
    <w:rsid w:val="00BE6E1E"/>
    <w:rsid w:val="00BE6E99"/>
    <w:rsid w:val="00BE6FBA"/>
    <w:rsid w:val="00BE7136"/>
    <w:rsid w:val="00BE73B0"/>
    <w:rsid w:val="00BE75C2"/>
    <w:rsid w:val="00BE7703"/>
    <w:rsid w:val="00BE792F"/>
    <w:rsid w:val="00BE7C6A"/>
    <w:rsid w:val="00BE7DD7"/>
    <w:rsid w:val="00BE7EE1"/>
    <w:rsid w:val="00BE7FE2"/>
    <w:rsid w:val="00BF01E0"/>
    <w:rsid w:val="00BF02CE"/>
    <w:rsid w:val="00BF0398"/>
    <w:rsid w:val="00BF0565"/>
    <w:rsid w:val="00BF057B"/>
    <w:rsid w:val="00BF05FA"/>
    <w:rsid w:val="00BF077B"/>
    <w:rsid w:val="00BF07AC"/>
    <w:rsid w:val="00BF07F1"/>
    <w:rsid w:val="00BF09AF"/>
    <w:rsid w:val="00BF0E8D"/>
    <w:rsid w:val="00BF0E99"/>
    <w:rsid w:val="00BF0F7F"/>
    <w:rsid w:val="00BF0FB0"/>
    <w:rsid w:val="00BF10D5"/>
    <w:rsid w:val="00BF10FA"/>
    <w:rsid w:val="00BF1445"/>
    <w:rsid w:val="00BF171B"/>
    <w:rsid w:val="00BF17FC"/>
    <w:rsid w:val="00BF18B5"/>
    <w:rsid w:val="00BF19FE"/>
    <w:rsid w:val="00BF1C0F"/>
    <w:rsid w:val="00BF1ED4"/>
    <w:rsid w:val="00BF1F18"/>
    <w:rsid w:val="00BF1F7E"/>
    <w:rsid w:val="00BF20B8"/>
    <w:rsid w:val="00BF21C2"/>
    <w:rsid w:val="00BF21F0"/>
    <w:rsid w:val="00BF225C"/>
    <w:rsid w:val="00BF2289"/>
    <w:rsid w:val="00BF2497"/>
    <w:rsid w:val="00BF24F8"/>
    <w:rsid w:val="00BF2503"/>
    <w:rsid w:val="00BF278F"/>
    <w:rsid w:val="00BF2A44"/>
    <w:rsid w:val="00BF2B87"/>
    <w:rsid w:val="00BF2C4D"/>
    <w:rsid w:val="00BF2F67"/>
    <w:rsid w:val="00BF3066"/>
    <w:rsid w:val="00BF31B6"/>
    <w:rsid w:val="00BF32D0"/>
    <w:rsid w:val="00BF3335"/>
    <w:rsid w:val="00BF33B9"/>
    <w:rsid w:val="00BF34CC"/>
    <w:rsid w:val="00BF351C"/>
    <w:rsid w:val="00BF3623"/>
    <w:rsid w:val="00BF3729"/>
    <w:rsid w:val="00BF3761"/>
    <w:rsid w:val="00BF3940"/>
    <w:rsid w:val="00BF3C4B"/>
    <w:rsid w:val="00BF40CC"/>
    <w:rsid w:val="00BF40F4"/>
    <w:rsid w:val="00BF4343"/>
    <w:rsid w:val="00BF4574"/>
    <w:rsid w:val="00BF4578"/>
    <w:rsid w:val="00BF4695"/>
    <w:rsid w:val="00BF4882"/>
    <w:rsid w:val="00BF4959"/>
    <w:rsid w:val="00BF4B03"/>
    <w:rsid w:val="00BF502F"/>
    <w:rsid w:val="00BF5281"/>
    <w:rsid w:val="00BF5385"/>
    <w:rsid w:val="00BF5527"/>
    <w:rsid w:val="00BF5679"/>
    <w:rsid w:val="00BF56F5"/>
    <w:rsid w:val="00BF58E7"/>
    <w:rsid w:val="00BF5909"/>
    <w:rsid w:val="00BF5AC5"/>
    <w:rsid w:val="00BF5AE7"/>
    <w:rsid w:val="00BF5B0D"/>
    <w:rsid w:val="00BF5C49"/>
    <w:rsid w:val="00BF5DC2"/>
    <w:rsid w:val="00BF608F"/>
    <w:rsid w:val="00BF64C6"/>
    <w:rsid w:val="00BF662C"/>
    <w:rsid w:val="00BF66F4"/>
    <w:rsid w:val="00BF6B04"/>
    <w:rsid w:val="00BF6BFE"/>
    <w:rsid w:val="00BF6EF5"/>
    <w:rsid w:val="00BF703C"/>
    <w:rsid w:val="00BF73AD"/>
    <w:rsid w:val="00BF73F2"/>
    <w:rsid w:val="00BF76D6"/>
    <w:rsid w:val="00BF7737"/>
    <w:rsid w:val="00BF7766"/>
    <w:rsid w:val="00BF7B0F"/>
    <w:rsid w:val="00BF7C01"/>
    <w:rsid w:val="00BF7CFE"/>
    <w:rsid w:val="00BF7DCF"/>
    <w:rsid w:val="00C001AD"/>
    <w:rsid w:val="00C00555"/>
    <w:rsid w:val="00C006C4"/>
    <w:rsid w:val="00C008E2"/>
    <w:rsid w:val="00C008F6"/>
    <w:rsid w:val="00C009A5"/>
    <w:rsid w:val="00C00B1B"/>
    <w:rsid w:val="00C00BCC"/>
    <w:rsid w:val="00C00E11"/>
    <w:rsid w:val="00C00EB2"/>
    <w:rsid w:val="00C00F73"/>
    <w:rsid w:val="00C00F7D"/>
    <w:rsid w:val="00C00F9C"/>
    <w:rsid w:val="00C00FB1"/>
    <w:rsid w:val="00C0124A"/>
    <w:rsid w:val="00C01293"/>
    <w:rsid w:val="00C012C0"/>
    <w:rsid w:val="00C014D3"/>
    <w:rsid w:val="00C014E2"/>
    <w:rsid w:val="00C01661"/>
    <w:rsid w:val="00C016EB"/>
    <w:rsid w:val="00C01977"/>
    <w:rsid w:val="00C019AA"/>
    <w:rsid w:val="00C01A28"/>
    <w:rsid w:val="00C01CCB"/>
    <w:rsid w:val="00C01D9F"/>
    <w:rsid w:val="00C01E94"/>
    <w:rsid w:val="00C02249"/>
    <w:rsid w:val="00C02437"/>
    <w:rsid w:val="00C02508"/>
    <w:rsid w:val="00C02509"/>
    <w:rsid w:val="00C02545"/>
    <w:rsid w:val="00C028E6"/>
    <w:rsid w:val="00C02994"/>
    <w:rsid w:val="00C029B2"/>
    <w:rsid w:val="00C029C4"/>
    <w:rsid w:val="00C029D4"/>
    <w:rsid w:val="00C02D26"/>
    <w:rsid w:val="00C02DB8"/>
    <w:rsid w:val="00C02DDC"/>
    <w:rsid w:val="00C02EF0"/>
    <w:rsid w:val="00C031B0"/>
    <w:rsid w:val="00C0320A"/>
    <w:rsid w:val="00C0323D"/>
    <w:rsid w:val="00C0324E"/>
    <w:rsid w:val="00C032F3"/>
    <w:rsid w:val="00C03307"/>
    <w:rsid w:val="00C0370D"/>
    <w:rsid w:val="00C037DF"/>
    <w:rsid w:val="00C03A2A"/>
    <w:rsid w:val="00C03A36"/>
    <w:rsid w:val="00C03C06"/>
    <w:rsid w:val="00C03D14"/>
    <w:rsid w:val="00C04051"/>
    <w:rsid w:val="00C04086"/>
    <w:rsid w:val="00C0410D"/>
    <w:rsid w:val="00C04497"/>
    <w:rsid w:val="00C045D1"/>
    <w:rsid w:val="00C0478A"/>
    <w:rsid w:val="00C04884"/>
    <w:rsid w:val="00C049C0"/>
    <w:rsid w:val="00C04AEC"/>
    <w:rsid w:val="00C0500B"/>
    <w:rsid w:val="00C0507C"/>
    <w:rsid w:val="00C052EE"/>
    <w:rsid w:val="00C05344"/>
    <w:rsid w:val="00C05531"/>
    <w:rsid w:val="00C057AC"/>
    <w:rsid w:val="00C05897"/>
    <w:rsid w:val="00C059D9"/>
    <w:rsid w:val="00C05A9C"/>
    <w:rsid w:val="00C05D0C"/>
    <w:rsid w:val="00C05E4E"/>
    <w:rsid w:val="00C05ED7"/>
    <w:rsid w:val="00C05F88"/>
    <w:rsid w:val="00C05FB8"/>
    <w:rsid w:val="00C05FED"/>
    <w:rsid w:val="00C06069"/>
    <w:rsid w:val="00C06562"/>
    <w:rsid w:val="00C0664F"/>
    <w:rsid w:val="00C06763"/>
    <w:rsid w:val="00C067F9"/>
    <w:rsid w:val="00C06982"/>
    <w:rsid w:val="00C06A73"/>
    <w:rsid w:val="00C06B56"/>
    <w:rsid w:val="00C06C5A"/>
    <w:rsid w:val="00C06C6C"/>
    <w:rsid w:val="00C06D6D"/>
    <w:rsid w:val="00C06EB5"/>
    <w:rsid w:val="00C06EE7"/>
    <w:rsid w:val="00C06F74"/>
    <w:rsid w:val="00C07349"/>
    <w:rsid w:val="00C074A7"/>
    <w:rsid w:val="00C07570"/>
    <w:rsid w:val="00C0758F"/>
    <w:rsid w:val="00C077FC"/>
    <w:rsid w:val="00C07C1A"/>
    <w:rsid w:val="00C07C34"/>
    <w:rsid w:val="00C07E26"/>
    <w:rsid w:val="00C07E9B"/>
    <w:rsid w:val="00C106BB"/>
    <w:rsid w:val="00C10AC6"/>
    <w:rsid w:val="00C10ADC"/>
    <w:rsid w:val="00C10E3A"/>
    <w:rsid w:val="00C11291"/>
    <w:rsid w:val="00C11898"/>
    <w:rsid w:val="00C118BC"/>
    <w:rsid w:val="00C118CC"/>
    <w:rsid w:val="00C11C55"/>
    <w:rsid w:val="00C1200F"/>
    <w:rsid w:val="00C12040"/>
    <w:rsid w:val="00C1211D"/>
    <w:rsid w:val="00C12212"/>
    <w:rsid w:val="00C122FC"/>
    <w:rsid w:val="00C12348"/>
    <w:rsid w:val="00C12482"/>
    <w:rsid w:val="00C125D6"/>
    <w:rsid w:val="00C12817"/>
    <w:rsid w:val="00C12903"/>
    <w:rsid w:val="00C12954"/>
    <w:rsid w:val="00C12975"/>
    <w:rsid w:val="00C12D78"/>
    <w:rsid w:val="00C12E91"/>
    <w:rsid w:val="00C12F80"/>
    <w:rsid w:val="00C1334A"/>
    <w:rsid w:val="00C133C2"/>
    <w:rsid w:val="00C133D1"/>
    <w:rsid w:val="00C135FF"/>
    <w:rsid w:val="00C1362A"/>
    <w:rsid w:val="00C1378A"/>
    <w:rsid w:val="00C13822"/>
    <w:rsid w:val="00C13943"/>
    <w:rsid w:val="00C13B66"/>
    <w:rsid w:val="00C13C62"/>
    <w:rsid w:val="00C13CE4"/>
    <w:rsid w:val="00C13F22"/>
    <w:rsid w:val="00C13F55"/>
    <w:rsid w:val="00C13FA1"/>
    <w:rsid w:val="00C14275"/>
    <w:rsid w:val="00C142FC"/>
    <w:rsid w:val="00C143E5"/>
    <w:rsid w:val="00C1448B"/>
    <w:rsid w:val="00C147FE"/>
    <w:rsid w:val="00C14B75"/>
    <w:rsid w:val="00C14C7C"/>
    <w:rsid w:val="00C14CD0"/>
    <w:rsid w:val="00C14CDA"/>
    <w:rsid w:val="00C14DBF"/>
    <w:rsid w:val="00C14E1C"/>
    <w:rsid w:val="00C14E4A"/>
    <w:rsid w:val="00C15034"/>
    <w:rsid w:val="00C1516E"/>
    <w:rsid w:val="00C151CE"/>
    <w:rsid w:val="00C152DE"/>
    <w:rsid w:val="00C15736"/>
    <w:rsid w:val="00C15804"/>
    <w:rsid w:val="00C1590E"/>
    <w:rsid w:val="00C159C8"/>
    <w:rsid w:val="00C159DD"/>
    <w:rsid w:val="00C15AC0"/>
    <w:rsid w:val="00C15CAE"/>
    <w:rsid w:val="00C15CCF"/>
    <w:rsid w:val="00C15D58"/>
    <w:rsid w:val="00C15D6B"/>
    <w:rsid w:val="00C15D73"/>
    <w:rsid w:val="00C15E5A"/>
    <w:rsid w:val="00C15F0C"/>
    <w:rsid w:val="00C160FE"/>
    <w:rsid w:val="00C16239"/>
    <w:rsid w:val="00C16306"/>
    <w:rsid w:val="00C1663F"/>
    <w:rsid w:val="00C16BCD"/>
    <w:rsid w:val="00C16D19"/>
    <w:rsid w:val="00C16F8E"/>
    <w:rsid w:val="00C17517"/>
    <w:rsid w:val="00C17771"/>
    <w:rsid w:val="00C17B79"/>
    <w:rsid w:val="00C17BA6"/>
    <w:rsid w:val="00C17D00"/>
    <w:rsid w:val="00C2016F"/>
    <w:rsid w:val="00C204B2"/>
    <w:rsid w:val="00C2061D"/>
    <w:rsid w:val="00C209FC"/>
    <w:rsid w:val="00C20B0D"/>
    <w:rsid w:val="00C20C92"/>
    <w:rsid w:val="00C20E58"/>
    <w:rsid w:val="00C20FC2"/>
    <w:rsid w:val="00C211B4"/>
    <w:rsid w:val="00C214B7"/>
    <w:rsid w:val="00C21850"/>
    <w:rsid w:val="00C2198E"/>
    <w:rsid w:val="00C21AA4"/>
    <w:rsid w:val="00C21B01"/>
    <w:rsid w:val="00C21C26"/>
    <w:rsid w:val="00C21CD8"/>
    <w:rsid w:val="00C21F68"/>
    <w:rsid w:val="00C22003"/>
    <w:rsid w:val="00C221FA"/>
    <w:rsid w:val="00C22287"/>
    <w:rsid w:val="00C2256D"/>
    <w:rsid w:val="00C22692"/>
    <w:rsid w:val="00C22887"/>
    <w:rsid w:val="00C22890"/>
    <w:rsid w:val="00C22AD1"/>
    <w:rsid w:val="00C22FFF"/>
    <w:rsid w:val="00C232C7"/>
    <w:rsid w:val="00C233E1"/>
    <w:rsid w:val="00C23549"/>
    <w:rsid w:val="00C23C14"/>
    <w:rsid w:val="00C23C87"/>
    <w:rsid w:val="00C241E6"/>
    <w:rsid w:val="00C241FC"/>
    <w:rsid w:val="00C245A4"/>
    <w:rsid w:val="00C24826"/>
    <w:rsid w:val="00C2498D"/>
    <w:rsid w:val="00C24B0D"/>
    <w:rsid w:val="00C24C9B"/>
    <w:rsid w:val="00C24CB2"/>
    <w:rsid w:val="00C251B6"/>
    <w:rsid w:val="00C252F7"/>
    <w:rsid w:val="00C25413"/>
    <w:rsid w:val="00C25AD7"/>
    <w:rsid w:val="00C25B4C"/>
    <w:rsid w:val="00C25CA2"/>
    <w:rsid w:val="00C25CA4"/>
    <w:rsid w:val="00C25DCD"/>
    <w:rsid w:val="00C25DF6"/>
    <w:rsid w:val="00C25E63"/>
    <w:rsid w:val="00C25F17"/>
    <w:rsid w:val="00C25F6D"/>
    <w:rsid w:val="00C25FD3"/>
    <w:rsid w:val="00C260D7"/>
    <w:rsid w:val="00C262CB"/>
    <w:rsid w:val="00C262D3"/>
    <w:rsid w:val="00C26412"/>
    <w:rsid w:val="00C26761"/>
    <w:rsid w:val="00C26A3F"/>
    <w:rsid w:val="00C26C24"/>
    <w:rsid w:val="00C26C82"/>
    <w:rsid w:val="00C2715C"/>
    <w:rsid w:val="00C27308"/>
    <w:rsid w:val="00C2732E"/>
    <w:rsid w:val="00C274B0"/>
    <w:rsid w:val="00C277EB"/>
    <w:rsid w:val="00C27988"/>
    <w:rsid w:val="00C27A57"/>
    <w:rsid w:val="00C27D0A"/>
    <w:rsid w:val="00C27D61"/>
    <w:rsid w:val="00C27E6A"/>
    <w:rsid w:val="00C30089"/>
    <w:rsid w:val="00C3049D"/>
    <w:rsid w:val="00C304F5"/>
    <w:rsid w:val="00C30600"/>
    <w:rsid w:val="00C30704"/>
    <w:rsid w:val="00C30955"/>
    <w:rsid w:val="00C3097E"/>
    <w:rsid w:val="00C309F8"/>
    <w:rsid w:val="00C30A3F"/>
    <w:rsid w:val="00C30C9A"/>
    <w:rsid w:val="00C30D0C"/>
    <w:rsid w:val="00C30D74"/>
    <w:rsid w:val="00C31296"/>
    <w:rsid w:val="00C31309"/>
    <w:rsid w:val="00C31516"/>
    <w:rsid w:val="00C316E2"/>
    <w:rsid w:val="00C3172C"/>
    <w:rsid w:val="00C317BA"/>
    <w:rsid w:val="00C31859"/>
    <w:rsid w:val="00C3189F"/>
    <w:rsid w:val="00C319EE"/>
    <w:rsid w:val="00C3215C"/>
    <w:rsid w:val="00C3258E"/>
    <w:rsid w:val="00C325A8"/>
    <w:rsid w:val="00C325E3"/>
    <w:rsid w:val="00C3269C"/>
    <w:rsid w:val="00C326AA"/>
    <w:rsid w:val="00C326F9"/>
    <w:rsid w:val="00C327AC"/>
    <w:rsid w:val="00C32A5E"/>
    <w:rsid w:val="00C32BF8"/>
    <w:rsid w:val="00C32DB3"/>
    <w:rsid w:val="00C32EFB"/>
    <w:rsid w:val="00C32F67"/>
    <w:rsid w:val="00C33039"/>
    <w:rsid w:val="00C33199"/>
    <w:rsid w:val="00C33372"/>
    <w:rsid w:val="00C334A7"/>
    <w:rsid w:val="00C334D6"/>
    <w:rsid w:val="00C338B9"/>
    <w:rsid w:val="00C33F04"/>
    <w:rsid w:val="00C34043"/>
    <w:rsid w:val="00C340A9"/>
    <w:rsid w:val="00C34259"/>
    <w:rsid w:val="00C342EB"/>
    <w:rsid w:val="00C34323"/>
    <w:rsid w:val="00C34724"/>
    <w:rsid w:val="00C349EE"/>
    <w:rsid w:val="00C34A11"/>
    <w:rsid w:val="00C34D59"/>
    <w:rsid w:val="00C34DB9"/>
    <w:rsid w:val="00C34F8E"/>
    <w:rsid w:val="00C351D3"/>
    <w:rsid w:val="00C35381"/>
    <w:rsid w:val="00C35472"/>
    <w:rsid w:val="00C354FA"/>
    <w:rsid w:val="00C35587"/>
    <w:rsid w:val="00C35A78"/>
    <w:rsid w:val="00C35B16"/>
    <w:rsid w:val="00C3600A"/>
    <w:rsid w:val="00C36312"/>
    <w:rsid w:val="00C36608"/>
    <w:rsid w:val="00C366B9"/>
    <w:rsid w:val="00C36898"/>
    <w:rsid w:val="00C369D6"/>
    <w:rsid w:val="00C36A46"/>
    <w:rsid w:val="00C36BDB"/>
    <w:rsid w:val="00C36D2C"/>
    <w:rsid w:val="00C36D52"/>
    <w:rsid w:val="00C36D88"/>
    <w:rsid w:val="00C36F87"/>
    <w:rsid w:val="00C36F96"/>
    <w:rsid w:val="00C3707D"/>
    <w:rsid w:val="00C374C0"/>
    <w:rsid w:val="00C37702"/>
    <w:rsid w:val="00C377CA"/>
    <w:rsid w:val="00C378CB"/>
    <w:rsid w:val="00C37941"/>
    <w:rsid w:val="00C37B0F"/>
    <w:rsid w:val="00C37C97"/>
    <w:rsid w:val="00C37CA9"/>
    <w:rsid w:val="00C37D0E"/>
    <w:rsid w:val="00C37D49"/>
    <w:rsid w:val="00C37D6F"/>
    <w:rsid w:val="00C37DD5"/>
    <w:rsid w:val="00C37E4D"/>
    <w:rsid w:val="00C40057"/>
    <w:rsid w:val="00C4012F"/>
    <w:rsid w:val="00C4037E"/>
    <w:rsid w:val="00C40395"/>
    <w:rsid w:val="00C4061C"/>
    <w:rsid w:val="00C407AB"/>
    <w:rsid w:val="00C4088C"/>
    <w:rsid w:val="00C4097A"/>
    <w:rsid w:val="00C409E5"/>
    <w:rsid w:val="00C40ACA"/>
    <w:rsid w:val="00C40C92"/>
    <w:rsid w:val="00C40D52"/>
    <w:rsid w:val="00C40FDF"/>
    <w:rsid w:val="00C41339"/>
    <w:rsid w:val="00C4158B"/>
    <w:rsid w:val="00C4176A"/>
    <w:rsid w:val="00C418FC"/>
    <w:rsid w:val="00C41941"/>
    <w:rsid w:val="00C41A28"/>
    <w:rsid w:val="00C41A62"/>
    <w:rsid w:val="00C41D59"/>
    <w:rsid w:val="00C41DD5"/>
    <w:rsid w:val="00C41E66"/>
    <w:rsid w:val="00C41F2A"/>
    <w:rsid w:val="00C41FBF"/>
    <w:rsid w:val="00C42046"/>
    <w:rsid w:val="00C422A2"/>
    <w:rsid w:val="00C422B5"/>
    <w:rsid w:val="00C42300"/>
    <w:rsid w:val="00C4238D"/>
    <w:rsid w:val="00C426B2"/>
    <w:rsid w:val="00C427D9"/>
    <w:rsid w:val="00C42912"/>
    <w:rsid w:val="00C429DF"/>
    <w:rsid w:val="00C42AF0"/>
    <w:rsid w:val="00C42D15"/>
    <w:rsid w:val="00C42DC4"/>
    <w:rsid w:val="00C42DCF"/>
    <w:rsid w:val="00C43013"/>
    <w:rsid w:val="00C431FD"/>
    <w:rsid w:val="00C43604"/>
    <w:rsid w:val="00C43706"/>
    <w:rsid w:val="00C43803"/>
    <w:rsid w:val="00C438E2"/>
    <w:rsid w:val="00C43B02"/>
    <w:rsid w:val="00C43D91"/>
    <w:rsid w:val="00C43F63"/>
    <w:rsid w:val="00C44000"/>
    <w:rsid w:val="00C44435"/>
    <w:rsid w:val="00C44640"/>
    <w:rsid w:val="00C44ED8"/>
    <w:rsid w:val="00C453E7"/>
    <w:rsid w:val="00C457B1"/>
    <w:rsid w:val="00C45D2E"/>
    <w:rsid w:val="00C4617F"/>
    <w:rsid w:val="00C462B6"/>
    <w:rsid w:val="00C4630D"/>
    <w:rsid w:val="00C466D8"/>
    <w:rsid w:val="00C467E9"/>
    <w:rsid w:val="00C46977"/>
    <w:rsid w:val="00C469F3"/>
    <w:rsid w:val="00C46A0E"/>
    <w:rsid w:val="00C46A83"/>
    <w:rsid w:val="00C46AB7"/>
    <w:rsid w:val="00C46F4B"/>
    <w:rsid w:val="00C47277"/>
    <w:rsid w:val="00C47313"/>
    <w:rsid w:val="00C473CA"/>
    <w:rsid w:val="00C47659"/>
    <w:rsid w:val="00C47663"/>
    <w:rsid w:val="00C47835"/>
    <w:rsid w:val="00C47A9B"/>
    <w:rsid w:val="00C47B5A"/>
    <w:rsid w:val="00C47DC7"/>
    <w:rsid w:val="00C50215"/>
    <w:rsid w:val="00C50451"/>
    <w:rsid w:val="00C508D3"/>
    <w:rsid w:val="00C50951"/>
    <w:rsid w:val="00C5095A"/>
    <w:rsid w:val="00C50BA3"/>
    <w:rsid w:val="00C50C80"/>
    <w:rsid w:val="00C51153"/>
    <w:rsid w:val="00C5139E"/>
    <w:rsid w:val="00C5164B"/>
    <w:rsid w:val="00C51776"/>
    <w:rsid w:val="00C517EE"/>
    <w:rsid w:val="00C5181D"/>
    <w:rsid w:val="00C51884"/>
    <w:rsid w:val="00C51B8E"/>
    <w:rsid w:val="00C51C0E"/>
    <w:rsid w:val="00C51C4F"/>
    <w:rsid w:val="00C51C56"/>
    <w:rsid w:val="00C51DC3"/>
    <w:rsid w:val="00C51ED6"/>
    <w:rsid w:val="00C51F63"/>
    <w:rsid w:val="00C5202F"/>
    <w:rsid w:val="00C520B4"/>
    <w:rsid w:val="00C523E5"/>
    <w:rsid w:val="00C5251D"/>
    <w:rsid w:val="00C52679"/>
    <w:rsid w:val="00C526B7"/>
    <w:rsid w:val="00C529C3"/>
    <w:rsid w:val="00C52CC8"/>
    <w:rsid w:val="00C52D58"/>
    <w:rsid w:val="00C52FB0"/>
    <w:rsid w:val="00C53025"/>
    <w:rsid w:val="00C53113"/>
    <w:rsid w:val="00C53627"/>
    <w:rsid w:val="00C5363E"/>
    <w:rsid w:val="00C539BE"/>
    <w:rsid w:val="00C53C03"/>
    <w:rsid w:val="00C53C21"/>
    <w:rsid w:val="00C53E4E"/>
    <w:rsid w:val="00C53FC8"/>
    <w:rsid w:val="00C540F3"/>
    <w:rsid w:val="00C5415C"/>
    <w:rsid w:val="00C542F3"/>
    <w:rsid w:val="00C54508"/>
    <w:rsid w:val="00C5493A"/>
    <w:rsid w:val="00C54A35"/>
    <w:rsid w:val="00C54AF9"/>
    <w:rsid w:val="00C54C8B"/>
    <w:rsid w:val="00C54E58"/>
    <w:rsid w:val="00C54EF1"/>
    <w:rsid w:val="00C55008"/>
    <w:rsid w:val="00C5507B"/>
    <w:rsid w:val="00C553FE"/>
    <w:rsid w:val="00C5549F"/>
    <w:rsid w:val="00C555D3"/>
    <w:rsid w:val="00C55668"/>
    <w:rsid w:val="00C556B3"/>
    <w:rsid w:val="00C5584E"/>
    <w:rsid w:val="00C55AB4"/>
    <w:rsid w:val="00C55ADE"/>
    <w:rsid w:val="00C55C1F"/>
    <w:rsid w:val="00C55E04"/>
    <w:rsid w:val="00C55F73"/>
    <w:rsid w:val="00C560E7"/>
    <w:rsid w:val="00C56188"/>
    <w:rsid w:val="00C56665"/>
    <w:rsid w:val="00C569F6"/>
    <w:rsid w:val="00C56A88"/>
    <w:rsid w:val="00C56ABB"/>
    <w:rsid w:val="00C56CA6"/>
    <w:rsid w:val="00C56E30"/>
    <w:rsid w:val="00C5755D"/>
    <w:rsid w:val="00C57914"/>
    <w:rsid w:val="00C57B92"/>
    <w:rsid w:val="00C57BC4"/>
    <w:rsid w:val="00C57BC5"/>
    <w:rsid w:val="00C57C3F"/>
    <w:rsid w:val="00C57CD3"/>
    <w:rsid w:val="00C57F94"/>
    <w:rsid w:val="00C6013F"/>
    <w:rsid w:val="00C6015B"/>
    <w:rsid w:val="00C601B3"/>
    <w:rsid w:val="00C601EA"/>
    <w:rsid w:val="00C6025E"/>
    <w:rsid w:val="00C60347"/>
    <w:rsid w:val="00C604F0"/>
    <w:rsid w:val="00C60629"/>
    <w:rsid w:val="00C6068B"/>
    <w:rsid w:val="00C6077F"/>
    <w:rsid w:val="00C60AA5"/>
    <w:rsid w:val="00C60BDF"/>
    <w:rsid w:val="00C60D5D"/>
    <w:rsid w:val="00C60F23"/>
    <w:rsid w:val="00C610A2"/>
    <w:rsid w:val="00C610D7"/>
    <w:rsid w:val="00C61156"/>
    <w:rsid w:val="00C61176"/>
    <w:rsid w:val="00C6120D"/>
    <w:rsid w:val="00C612EE"/>
    <w:rsid w:val="00C61613"/>
    <w:rsid w:val="00C61738"/>
    <w:rsid w:val="00C618EB"/>
    <w:rsid w:val="00C6190E"/>
    <w:rsid w:val="00C61AA2"/>
    <w:rsid w:val="00C61B80"/>
    <w:rsid w:val="00C620E9"/>
    <w:rsid w:val="00C62288"/>
    <w:rsid w:val="00C627E0"/>
    <w:rsid w:val="00C63006"/>
    <w:rsid w:val="00C631A8"/>
    <w:rsid w:val="00C632F5"/>
    <w:rsid w:val="00C63398"/>
    <w:rsid w:val="00C633DD"/>
    <w:rsid w:val="00C63640"/>
    <w:rsid w:val="00C63863"/>
    <w:rsid w:val="00C63A3E"/>
    <w:rsid w:val="00C63B59"/>
    <w:rsid w:val="00C63E6D"/>
    <w:rsid w:val="00C63E89"/>
    <w:rsid w:val="00C63F03"/>
    <w:rsid w:val="00C63F2E"/>
    <w:rsid w:val="00C642C5"/>
    <w:rsid w:val="00C6433B"/>
    <w:rsid w:val="00C6482C"/>
    <w:rsid w:val="00C648EF"/>
    <w:rsid w:val="00C64937"/>
    <w:rsid w:val="00C65025"/>
    <w:rsid w:val="00C65141"/>
    <w:rsid w:val="00C65164"/>
    <w:rsid w:val="00C65291"/>
    <w:rsid w:val="00C65292"/>
    <w:rsid w:val="00C652B4"/>
    <w:rsid w:val="00C6533E"/>
    <w:rsid w:val="00C6560E"/>
    <w:rsid w:val="00C65701"/>
    <w:rsid w:val="00C658F8"/>
    <w:rsid w:val="00C65BF8"/>
    <w:rsid w:val="00C65C9E"/>
    <w:rsid w:val="00C65D20"/>
    <w:rsid w:val="00C65D37"/>
    <w:rsid w:val="00C65FCF"/>
    <w:rsid w:val="00C66221"/>
    <w:rsid w:val="00C66255"/>
    <w:rsid w:val="00C66764"/>
    <w:rsid w:val="00C668F8"/>
    <w:rsid w:val="00C66B42"/>
    <w:rsid w:val="00C66B5B"/>
    <w:rsid w:val="00C66C8F"/>
    <w:rsid w:val="00C66CC6"/>
    <w:rsid w:val="00C66D35"/>
    <w:rsid w:val="00C66E97"/>
    <w:rsid w:val="00C66FE7"/>
    <w:rsid w:val="00C67029"/>
    <w:rsid w:val="00C67288"/>
    <w:rsid w:val="00C67852"/>
    <w:rsid w:val="00C67BE5"/>
    <w:rsid w:val="00C702F8"/>
    <w:rsid w:val="00C70357"/>
    <w:rsid w:val="00C7043C"/>
    <w:rsid w:val="00C704CD"/>
    <w:rsid w:val="00C70727"/>
    <w:rsid w:val="00C70840"/>
    <w:rsid w:val="00C70989"/>
    <w:rsid w:val="00C709C2"/>
    <w:rsid w:val="00C70BF7"/>
    <w:rsid w:val="00C70DBE"/>
    <w:rsid w:val="00C70EA4"/>
    <w:rsid w:val="00C70FA4"/>
    <w:rsid w:val="00C70FB6"/>
    <w:rsid w:val="00C71093"/>
    <w:rsid w:val="00C71289"/>
    <w:rsid w:val="00C7166F"/>
    <w:rsid w:val="00C71A41"/>
    <w:rsid w:val="00C71A68"/>
    <w:rsid w:val="00C71AB5"/>
    <w:rsid w:val="00C71C11"/>
    <w:rsid w:val="00C71D50"/>
    <w:rsid w:val="00C71DE9"/>
    <w:rsid w:val="00C72058"/>
    <w:rsid w:val="00C723F0"/>
    <w:rsid w:val="00C72593"/>
    <w:rsid w:val="00C72934"/>
    <w:rsid w:val="00C72959"/>
    <w:rsid w:val="00C72A62"/>
    <w:rsid w:val="00C72B33"/>
    <w:rsid w:val="00C73033"/>
    <w:rsid w:val="00C73196"/>
    <w:rsid w:val="00C731AF"/>
    <w:rsid w:val="00C734D6"/>
    <w:rsid w:val="00C73524"/>
    <w:rsid w:val="00C7369D"/>
    <w:rsid w:val="00C73708"/>
    <w:rsid w:val="00C739B8"/>
    <w:rsid w:val="00C73AC1"/>
    <w:rsid w:val="00C73D71"/>
    <w:rsid w:val="00C73DC0"/>
    <w:rsid w:val="00C745C9"/>
    <w:rsid w:val="00C74B3B"/>
    <w:rsid w:val="00C74D31"/>
    <w:rsid w:val="00C752CD"/>
    <w:rsid w:val="00C75323"/>
    <w:rsid w:val="00C754C0"/>
    <w:rsid w:val="00C75781"/>
    <w:rsid w:val="00C75C88"/>
    <w:rsid w:val="00C75CF1"/>
    <w:rsid w:val="00C75DD9"/>
    <w:rsid w:val="00C75EA6"/>
    <w:rsid w:val="00C7629A"/>
    <w:rsid w:val="00C76430"/>
    <w:rsid w:val="00C76677"/>
    <w:rsid w:val="00C768CC"/>
    <w:rsid w:val="00C768D8"/>
    <w:rsid w:val="00C76A03"/>
    <w:rsid w:val="00C76D91"/>
    <w:rsid w:val="00C76F01"/>
    <w:rsid w:val="00C770D9"/>
    <w:rsid w:val="00C77190"/>
    <w:rsid w:val="00C771C3"/>
    <w:rsid w:val="00C7726C"/>
    <w:rsid w:val="00C77329"/>
    <w:rsid w:val="00C776CE"/>
    <w:rsid w:val="00C7792D"/>
    <w:rsid w:val="00C77CB5"/>
    <w:rsid w:val="00C80032"/>
    <w:rsid w:val="00C8012E"/>
    <w:rsid w:val="00C8016B"/>
    <w:rsid w:val="00C8035C"/>
    <w:rsid w:val="00C806D8"/>
    <w:rsid w:val="00C80898"/>
    <w:rsid w:val="00C808CD"/>
    <w:rsid w:val="00C80974"/>
    <w:rsid w:val="00C80A26"/>
    <w:rsid w:val="00C80B4C"/>
    <w:rsid w:val="00C80B95"/>
    <w:rsid w:val="00C80CB6"/>
    <w:rsid w:val="00C80D48"/>
    <w:rsid w:val="00C80F93"/>
    <w:rsid w:val="00C80FD7"/>
    <w:rsid w:val="00C8144E"/>
    <w:rsid w:val="00C81675"/>
    <w:rsid w:val="00C8172F"/>
    <w:rsid w:val="00C81769"/>
    <w:rsid w:val="00C81822"/>
    <w:rsid w:val="00C81A2D"/>
    <w:rsid w:val="00C81AC8"/>
    <w:rsid w:val="00C81B1A"/>
    <w:rsid w:val="00C81F3D"/>
    <w:rsid w:val="00C82052"/>
    <w:rsid w:val="00C823BF"/>
    <w:rsid w:val="00C82410"/>
    <w:rsid w:val="00C82460"/>
    <w:rsid w:val="00C82468"/>
    <w:rsid w:val="00C824B8"/>
    <w:rsid w:val="00C826A4"/>
    <w:rsid w:val="00C826C3"/>
    <w:rsid w:val="00C828F5"/>
    <w:rsid w:val="00C82B10"/>
    <w:rsid w:val="00C82B3F"/>
    <w:rsid w:val="00C82D64"/>
    <w:rsid w:val="00C82DBD"/>
    <w:rsid w:val="00C82F68"/>
    <w:rsid w:val="00C83181"/>
    <w:rsid w:val="00C8347C"/>
    <w:rsid w:val="00C83552"/>
    <w:rsid w:val="00C836F1"/>
    <w:rsid w:val="00C83811"/>
    <w:rsid w:val="00C8396A"/>
    <w:rsid w:val="00C83A93"/>
    <w:rsid w:val="00C83B49"/>
    <w:rsid w:val="00C83CD7"/>
    <w:rsid w:val="00C83D39"/>
    <w:rsid w:val="00C83D61"/>
    <w:rsid w:val="00C83E35"/>
    <w:rsid w:val="00C84020"/>
    <w:rsid w:val="00C842F3"/>
    <w:rsid w:val="00C843BE"/>
    <w:rsid w:val="00C8445E"/>
    <w:rsid w:val="00C84727"/>
    <w:rsid w:val="00C847F5"/>
    <w:rsid w:val="00C84851"/>
    <w:rsid w:val="00C84922"/>
    <w:rsid w:val="00C84AC4"/>
    <w:rsid w:val="00C84B40"/>
    <w:rsid w:val="00C84E66"/>
    <w:rsid w:val="00C84EE1"/>
    <w:rsid w:val="00C84F65"/>
    <w:rsid w:val="00C856D6"/>
    <w:rsid w:val="00C85702"/>
    <w:rsid w:val="00C85780"/>
    <w:rsid w:val="00C85862"/>
    <w:rsid w:val="00C85902"/>
    <w:rsid w:val="00C85CF9"/>
    <w:rsid w:val="00C85DF1"/>
    <w:rsid w:val="00C8613F"/>
    <w:rsid w:val="00C86335"/>
    <w:rsid w:val="00C867EF"/>
    <w:rsid w:val="00C8686C"/>
    <w:rsid w:val="00C8693E"/>
    <w:rsid w:val="00C86942"/>
    <w:rsid w:val="00C86993"/>
    <w:rsid w:val="00C86A90"/>
    <w:rsid w:val="00C86AB9"/>
    <w:rsid w:val="00C86E04"/>
    <w:rsid w:val="00C86F42"/>
    <w:rsid w:val="00C875E0"/>
    <w:rsid w:val="00C87668"/>
    <w:rsid w:val="00C87A73"/>
    <w:rsid w:val="00C87AEB"/>
    <w:rsid w:val="00C87B06"/>
    <w:rsid w:val="00C87CE8"/>
    <w:rsid w:val="00C87E68"/>
    <w:rsid w:val="00C87EA0"/>
    <w:rsid w:val="00C87F2A"/>
    <w:rsid w:val="00C87F33"/>
    <w:rsid w:val="00C87FEE"/>
    <w:rsid w:val="00C90038"/>
    <w:rsid w:val="00C90097"/>
    <w:rsid w:val="00C900B2"/>
    <w:rsid w:val="00C90137"/>
    <w:rsid w:val="00C90165"/>
    <w:rsid w:val="00C9021F"/>
    <w:rsid w:val="00C90375"/>
    <w:rsid w:val="00C904BF"/>
    <w:rsid w:val="00C905BB"/>
    <w:rsid w:val="00C90712"/>
    <w:rsid w:val="00C907BD"/>
    <w:rsid w:val="00C90817"/>
    <w:rsid w:val="00C90B08"/>
    <w:rsid w:val="00C90B29"/>
    <w:rsid w:val="00C90E45"/>
    <w:rsid w:val="00C90EDE"/>
    <w:rsid w:val="00C90FE6"/>
    <w:rsid w:val="00C91059"/>
    <w:rsid w:val="00C91160"/>
    <w:rsid w:val="00C911D5"/>
    <w:rsid w:val="00C915B7"/>
    <w:rsid w:val="00C91601"/>
    <w:rsid w:val="00C917A7"/>
    <w:rsid w:val="00C917BB"/>
    <w:rsid w:val="00C917ED"/>
    <w:rsid w:val="00C91B77"/>
    <w:rsid w:val="00C91C42"/>
    <w:rsid w:val="00C91D4A"/>
    <w:rsid w:val="00C91ECF"/>
    <w:rsid w:val="00C92092"/>
    <w:rsid w:val="00C9211D"/>
    <w:rsid w:val="00C927CD"/>
    <w:rsid w:val="00C927DF"/>
    <w:rsid w:val="00C928EF"/>
    <w:rsid w:val="00C929AF"/>
    <w:rsid w:val="00C929D0"/>
    <w:rsid w:val="00C92C58"/>
    <w:rsid w:val="00C9309A"/>
    <w:rsid w:val="00C93174"/>
    <w:rsid w:val="00C931C3"/>
    <w:rsid w:val="00C932E9"/>
    <w:rsid w:val="00C93557"/>
    <w:rsid w:val="00C935C1"/>
    <w:rsid w:val="00C93660"/>
    <w:rsid w:val="00C93675"/>
    <w:rsid w:val="00C939D6"/>
    <w:rsid w:val="00C93A77"/>
    <w:rsid w:val="00C93CFE"/>
    <w:rsid w:val="00C93EFB"/>
    <w:rsid w:val="00C93FB2"/>
    <w:rsid w:val="00C93FFD"/>
    <w:rsid w:val="00C940D0"/>
    <w:rsid w:val="00C943CA"/>
    <w:rsid w:val="00C94496"/>
    <w:rsid w:val="00C9454C"/>
    <w:rsid w:val="00C94560"/>
    <w:rsid w:val="00C94859"/>
    <w:rsid w:val="00C94D32"/>
    <w:rsid w:val="00C950FD"/>
    <w:rsid w:val="00C955C1"/>
    <w:rsid w:val="00C958C5"/>
    <w:rsid w:val="00C95A3C"/>
    <w:rsid w:val="00C95A71"/>
    <w:rsid w:val="00C95D72"/>
    <w:rsid w:val="00C95D8F"/>
    <w:rsid w:val="00C9640B"/>
    <w:rsid w:val="00C965BE"/>
    <w:rsid w:val="00C968A1"/>
    <w:rsid w:val="00C968C9"/>
    <w:rsid w:val="00C96B8B"/>
    <w:rsid w:val="00C96D31"/>
    <w:rsid w:val="00C96DF5"/>
    <w:rsid w:val="00C96E08"/>
    <w:rsid w:val="00C9708A"/>
    <w:rsid w:val="00C970B1"/>
    <w:rsid w:val="00C9722F"/>
    <w:rsid w:val="00C97274"/>
    <w:rsid w:val="00C974E6"/>
    <w:rsid w:val="00C97677"/>
    <w:rsid w:val="00C979B8"/>
    <w:rsid w:val="00C97A75"/>
    <w:rsid w:val="00C97B30"/>
    <w:rsid w:val="00C97E64"/>
    <w:rsid w:val="00C97F3A"/>
    <w:rsid w:val="00CA0A64"/>
    <w:rsid w:val="00CA0D84"/>
    <w:rsid w:val="00CA137C"/>
    <w:rsid w:val="00CA1508"/>
    <w:rsid w:val="00CA173E"/>
    <w:rsid w:val="00CA178F"/>
    <w:rsid w:val="00CA194B"/>
    <w:rsid w:val="00CA1A15"/>
    <w:rsid w:val="00CA1B66"/>
    <w:rsid w:val="00CA1C57"/>
    <w:rsid w:val="00CA1D05"/>
    <w:rsid w:val="00CA1DA9"/>
    <w:rsid w:val="00CA1E07"/>
    <w:rsid w:val="00CA23AC"/>
    <w:rsid w:val="00CA24E9"/>
    <w:rsid w:val="00CA2590"/>
    <w:rsid w:val="00CA26CF"/>
    <w:rsid w:val="00CA2751"/>
    <w:rsid w:val="00CA29CE"/>
    <w:rsid w:val="00CA2D4F"/>
    <w:rsid w:val="00CA2E94"/>
    <w:rsid w:val="00CA30A2"/>
    <w:rsid w:val="00CA30D9"/>
    <w:rsid w:val="00CA3184"/>
    <w:rsid w:val="00CA327A"/>
    <w:rsid w:val="00CA362C"/>
    <w:rsid w:val="00CA3671"/>
    <w:rsid w:val="00CA36B7"/>
    <w:rsid w:val="00CA37E5"/>
    <w:rsid w:val="00CA3B9D"/>
    <w:rsid w:val="00CA3DB1"/>
    <w:rsid w:val="00CA4175"/>
    <w:rsid w:val="00CA4352"/>
    <w:rsid w:val="00CA4394"/>
    <w:rsid w:val="00CA477D"/>
    <w:rsid w:val="00CA4895"/>
    <w:rsid w:val="00CA48A7"/>
    <w:rsid w:val="00CA49A3"/>
    <w:rsid w:val="00CA49DA"/>
    <w:rsid w:val="00CA4BA6"/>
    <w:rsid w:val="00CA4BEE"/>
    <w:rsid w:val="00CA4CC2"/>
    <w:rsid w:val="00CA4EFD"/>
    <w:rsid w:val="00CA52A7"/>
    <w:rsid w:val="00CA5334"/>
    <w:rsid w:val="00CA5337"/>
    <w:rsid w:val="00CA53D0"/>
    <w:rsid w:val="00CA5595"/>
    <w:rsid w:val="00CA5AE4"/>
    <w:rsid w:val="00CA5C02"/>
    <w:rsid w:val="00CA5C9F"/>
    <w:rsid w:val="00CA5DCC"/>
    <w:rsid w:val="00CA61CF"/>
    <w:rsid w:val="00CA638B"/>
    <w:rsid w:val="00CA6436"/>
    <w:rsid w:val="00CA64D5"/>
    <w:rsid w:val="00CA64DF"/>
    <w:rsid w:val="00CA6582"/>
    <w:rsid w:val="00CA67F6"/>
    <w:rsid w:val="00CA681B"/>
    <w:rsid w:val="00CA684D"/>
    <w:rsid w:val="00CA6891"/>
    <w:rsid w:val="00CA69B6"/>
    <w:rsid w:val="00CA6CAB"/>
    <w:rsid w:val="00CA6F4A"/>
    <w:rsid w:val="00CA7377"/>
    <w:rsid w:val="00CA755C"/>
    <w:rsid w:val="00CA78AA"/>
    <w:rsid w:val="00CA7BB8"/>
    <w:rsid w:val="00CA7C97"/>
    <w:rsid w:val="00CA7D9C"/>
    <w:rsid w:val="00CA7E8A"/>
    <w:rsid w:val="00CA7F1D"/>
    <w:rsid w:val="00CA7F42"/>
    <w:rsid w:val="00CB02E2"/>
    <w:rsid w:val="00CB030E"/>
    <w:rsid w:val="00CB056C"/>
    <w:rsid w:val="00CB0656"/>
    <w:rsid w:val="00CB0744"/>
    <w:rsid w:val="00CB07A3"/>
    <w:rsid w:val="00CB0863"/>
    <w:rsid w:val="00CB08C1"/>
    <w:rsid w:val="00CB09B9"/>
    <w:rsid w:val="00CB0A25"/>
    <w:rsid w:val="00CB0D06"/>
    <w:rsid w:val="00CB0D89"/>
    <w:rsid w:val="00CB0F2B"/>
    <w:rsid w:val="00CB0F31"/>
    <w:rsid w:val="00CB0F62"/>
    <w:rsid w:val="00CB11A7"/>
    <w:rsid w:val="00CB14E2"/>
    <w:rsid w:val="00CB1620"/>
    <w:rsid w:val="00CB1743"/>
    <w:rsid w:val="00CB188F"/>
    <w:rsid w:val="00CB2063"/>
    <w:rsid w:val="00CB2160"/>
    <w:rsid w:val="00CB28C3"/>
    <w:rsid w:val="00CB298C"/>
    <w:rsid w:val="00CB2AE4"/>
    <w:rsid w:val="00CB2C57"/>
    <w:rsid w:val="00CB2E46"/>
    <w:rsid w:val="00CB2FD8"/>
    <w:rsid w:val="00CB306B"/>
    <w:rsid w:val="00CB3074"/>
    <w:rsid w:val="00CB3216"/>
    <w:rsid w:val="00CB3219"/>
    <w:rsid w:val="00CB3331"/>
    <w:rsid w:val="00CB3576"/>
    <w:rsid w:val="00CB363F"/>
    <w:rsid w:val="00CB3907"/>
    <w:rsid w:val="00CB3A04"/>
    <w:rsid w:val="00CB3B53"/>
    <w:rsid w:val="00CB3C99"/>
    <w:rsid w:val="00CB3CCE"/>
    <w:rsid w:val="00CB3CED"/>
    <w:rsid w:val="00CB3E13"/>
    <w:rsid w:val="00CB3E75"/>
    <w:rsid w:val="00CB41CD"/>
    <w:rsid w:val="00CB42DB"/>
    <w:rsid w:val="00CB46C9"/>
    <w:rsid w:val="00CB48DC"/>
    <w:rsid w:val="00CB4B37"/>
    <w:rsid w:val="00CB4C77"/>
    <w:rsid w:val="00CB4D29"/>
    <w:rsid w:val="00CB542B"/>
    <w:rsid w:val="00CB552B"/>
    <w:rsid w:val="00CB5659"/>
    <w:rsid w:val="00CB56E3"/>
    <w:rsid w:val="00CB58F1"/>
    <w:rsid w:val="00CB596B"/>
    <w:rsid w:val="00CB5CA2"/>
    <w:rsid w:val="00CB61AE"/>
    <w:rsid w:val="00CB61EB"/>
    <w:rsid w:val="00CB670E"/>
    <w:rsid w:val="00CB68B3"/>
    <w:rsid w:val="00CB7182"/>
    <w:rsid w:val="00CB71C8"/>
    <w:rsid w:val="00CB7270"/>
    <w:rsid w:val="00CB7541"/>
    <w:rsid w:val="00CB7661"/>
    <w:rsid w:val="00CB7751"/>
    <w:rsid w:val="00CB790D"/>
    <w:rsid w:val="00CB7990"/>
    <w:rsid w:val="00CB7E06"/>
    <w:rsid w:val="00CC02A0"/>
    <w:rsid w:val="00CC0449"/>
    <w:rsid w:val="00CC04B3"/>
    <w:rsid w:val="00CC04D4"/>
    <w:rsid w:val="00CC08AA"/>
    <w:rsid w:val="00CC0AE9"/>
    <w:rsid w:val="00CC0B37"/>
    <w:rsid w:val="00CC0B69"/>
    <w:rsid w:val="00CC1082"/>
    <w:rsid w:val="00CC10FA"/>
    <w:rsid w:val="00CC12E9"/>
    <w:rsid w:val="00CC13F8"/>
    <w:rsid w:val="00CC144B"/>
    <w:rsid w:val="00CC18FC"/>
    <w:rsid w:val="00CC19A2"/>
    <w:rsid w:val="00CC1AC8"/>
    <w:rsid w:val="00CC1E5F"/>
    <w:rsid w:val="00CC2033"/>
    <w:rsid w:val="00CC20FF"/>
    <w:rsid w:val="00CC22D1"/>
    <w:rsid w:val="00CC22EC"/>
    <w:rsid w:val="00CC23D6"/>
    <w:rsid w:val="00CC2612"/>
    <w:rsid w:val="00CC277B"/>
    <w:rsid w:val="00CC28E6"/>
    <w:rsid w:val="00CC294D"/>
    <w:rsid w:val="00CC2ADA"/>
    <w:rsid w:val="00CC2BF2"/>
    <w:rsid w:val="00CC2EAA"/>
    <w:rsid w:val="00CC2F65"/>
    <w:rsid w:val="00CC309B"/>
    <w:rsid w:val="00CC3106"/>
    <w:rsid w:val="00CC3234"/>
    <w:rsid w:val="00CC3952"/>
    <w:rsid w:val="00CC3A4E"/>
    <w:rsid w:val="00CC3A62"/>
    <w:rsid w:val="00CC3CAE"/>
    <w:rsid w:val="00CC3DD4"/>
    <w:rsid w:val="00CC3E5D"/>
    <w:rsid w:val="00CC3E5E"/>
    <w:rsid w:val="00CC3E7E"/>
    <w:rsid w:val="00CC3F9A"/>
    <w:rsid w:val="00CC41B3"/>
    <w:rsid w:val="00CC41C8"/>
    <w:rsid w:val="00CC4210"/>
    <w:rsid w:val="00CC426B"/>
    <w:rsid w:val="00CC4271"/>
    <w:rsid w:val="00CC4304"/>
    <w:rsid w:val="00CC44CD"/>
    <w:rsid w:val="00CC4595"/>
    <w:rsid w:val="00CC4C55"/>
    <w:rsid w:val="00CC4CAE"/>
    <w:rsid w:val="00CC4D01"/>
    <w:rsid w:val="00CC4EC4"/>
    <w:rsid w:val="00CC4F41"/>
    <w:rsid w:val="00CC4F4E"/>
    <w:rsid w:val="00CC5049"/>
    <w:rsid w:val="00CC5061"/>
    <w:rsid w:val="00CC53B7"/>
    <w:rsid w:val="00CC53F7"/>
    <w:rsid w:val="00CC545A"/>
    <w:rsid w:val="00CC545B"/>
    <w:rsid w:val="00CC557F"/>
    <w:rsid w:val="00CC559C"/>
    <w:rsid w:val="00CC58F9"/>
    <w:rsid w:val="00CC5A36"/>
    <w:rsid w:val="00CC5E34"/>
    <w:rsid w:val="00CC5E61"/>
    <w:rsid w:val="00CC5EDA"/>
    <w:rsid w:val="00CC621D"/>
    <w:rsid w:val="00CC66F6"/>
    <w:rsid w:val="00CC6897"/>
    <w:rsid w:val="00CC69CB"/>
    <w:rsid w:val="00CC6A3C"/>
    <w:rsid w:val="00CC6B00"/>
    <w:rsid w:val="00CC6D40"/>
    <w:rsid w:val="00CC6FFB"/>
    <w:rsid w:val="00CC6FFE"/>
    <w:rsid w:val="00CC7211"/>
    <w:rsid w:val="00CC7490"/>
    <w:rsid w:val="00CC780C"/>
    <w:rsid w:val="00CC7AC0"/>
    <w:rsid w:val="00CC7B09"/>
    <w:rsid w:val="00CC7B65"/>
    <w:rsid w:val="00CC7BBF"/>
    <w:rsid w:val="00CC7D4F"/>
    <w:rsid w:val="00CD005B"/>
    <w:rsid w:val="00CD0571"/>
    <w:rsid w:val="00CD0619"/>
    <w:rsid w:val="00CD0843"/>
    <w:rsid w:val="00CD0853"/>
    <w:rsid w:val="00CD0957"/>
    <w:rsid w:val="00CD097D"/>
    <w:rsid w:val="00CD09A8"/>
    <w:rsid w:val="00CD0CA2"/>
    <w:rsid w:val="00CD0CF8"/>
    <w:rsid w:val="00CD0EB0"/>
    <w:rsid w:val="00CD1072"/>
    <w:rsid w:val="00CD12E6"/>
    <w:rsid w:val="00CD12F2"/>
    <w:rsid w:val="00CD13E7"/>
    <w:rsid w:val="00CD1460"/>
    <w:rsid w:val="00CD1745"/>
    <w:rsid w:val="00CD17C6"/>
    <w:rsid w:val="00CD1A8B"/>
    <w:rsid w:val="00CD1A92"/>
    <w:rsid w:val="00CD1B54"/>
    <w:rsid w:val="00CD1C02"/>
    <w:rsid w:val="00CD20D4"/>
    <w:rsid w:val="00CD226F"/>
    <w:rsid w:val="00CD2355"/>
    <w:rsid w:val="00CD2671"/>
    <w:rsid w:val="00CD26E5"/>
    <w:rsid w:val="00CD2833"/>
    <w:rsid w:val="00CD2934"/>
    <w:rsid w:val="00CD2CBE"/>
    <w:rsid w:val="00CD2F9E"/>
    <w:rsid w:val="00CD3203"/>
    <w:rsid w:val="00CD330D"/>
    <w:rsid w:val="00CD34B3"/>
    <w:rsid w:val="00CD3660"/>
    <w:rsid w:val="00CD3687"/>
    <w:rsid w:val="00CD3C32"/>
    <w:rsid w:val="00CD3C75"/>
    <w:rsid w:val="00CD4287"/>
    <w:rsid w:val="00CD42F1"/>
    <w:rsid w:val="00CD432C"/>
    <w:rsid w:val="00CD43D4"/>
    <w:rsid w:val="00CD45A0"/>
    <w:rsid w:val="00CD466A"/>
    <w:rsid w:val="00CD4866"/>
    <w:rsid w:val="00CD4EB1"/>
    <w:rsid w:val="00CD502F"/>
    <w:rsid w:val="00CD5145"/>
    <w:rsid w:val="00CD5255"/>
    <w:rsid w:val="00CD535F"/>
    <w:rsid w:val="00CD53F3"/>
    <w:rsid w:val="00CD542C"/>
    <w:rsid w:val="00CD55BE"/>
    <w:rsid w:val="00CD5607"/>
    <w:rsid w:val="00CD561A"/>
    <w:rsid w:val="00CD58C9"/>
    <w:rsid w:val="00CD5B64"/>
    <w:rsid w:val="00CD5BF7"/>
    <w:rsid w:val="00CD60EF"/>
    <w:rsid w:val="00CD61B6"/>
    <w:rsid w:val="00CD6525"/>
    <w:rsid w:val="00CD657D"/>
    <w:rsid w:val="00CD688F"/>
    <w:rsid w:val="00CD68A1"/>
    <w:rsid w:val="00CD690C"/>
    <w:rsid w:val="00CD6B4A"/>
    <w:rsid w:val="00CD6C83"/>
    <w:rsid w:val="00CD6D7C"/>
    <w:rsid w:val="00CD6E00"/>
    <w:rsid w:val="00CD6EC7"/>
    <w:rsid w:val="00CD6F3E"/>
    <w:rsid w:val="00CD6FD4"/>
    <w:rsid w:val="00CD7492"/>
    <w:rsid w:val="00CD74A2"/>
    <w:rsid w:val="00CD75B5"/>
    <w:rsid w:val="00CD7672"/>
    <w:rsid w:val="00CD76A6"/>
    <w:rsid w:val="00CD78DD"/>
    <w:rsid w:val="00CD7913"/>
    <w:rsid w:val="00CD7AD0"/>
    <w:rsid w:val="00CE03B7"/>
    <w:rsid w:val="00CE045D"/>
    <w:rsid w:val="00CE0780"/>
    <w:rsid w:val="00CE07B5"/>
    <w:rsid w:val="00CE0BB0"/>
    <w:rsid w:val="00CE0C8E"/>
    <w:rsid w:val="00CE0E57"/>
    <w:rsid w:val="00CE0E7C"/>
    <w:rsid w:val="00CE1383"/>
    <w:rsid w:val="00CE1440"/>
    <w:rsid w:val="00CE148C"/>
    <w:rsid w:val="00CE1505"/>
    <w:rsid w:val="00CE195B"/>
    <w:rsid w:val="00CE1ADB"/>
    <w:rsid w:val="00CE1AE3"/>
    <w:rsid w:val="00CE1B37"/>
    <w:rsid w:val="00CE1C90"/>
    <w:rsid w:val="00CE1CF5"/>
    <w:rsid w:val="00CE1E4F"/>
    <w:rsid w:val="00CE1EBB"/>
    <w:rsid w:val="00CE1F33"/>
    <w:rsid w:val="00CE203F"/>
    <w:rsid w:val="00CE20D8"/>
    <w:rsid w:val="00CE2416"/>
    <w:rsid w:val="00CE25B7"/>
    <w:rsid w:val="00CE2600"/>
    <w:rsid w:val="00CE279C"/>
    <w:rsid w:val="00CE2C63"/>
    <w:rsid w:val="00CE2E23"/>
    <w:rsid w:val="00CE2E7C"/>
    <w:rsid w:val="00CE2F60"/>
    <w:rsid w:val="00CE3053"/>
    <w:rsid w:val="00CE33BA"/>
    <w:rsid w:val="00CE34C6"/>
    <w:rsid w:val="00CE38BE"/>
    <w:rsid w:val="00CE3C16"/>
    <w:rsid w:val="00CE3E7C"/>
    <w:rsid w:val="00CE409B"/>
    <w:rsid w:val="00CE41AC"/>
    <w:rsid w:val="00CE41E2"/>
    <w:rsid w:val="00CE4288"/>
    <w:rsid w:val="00CE4429"/>
    <w:rsid w:val="00CE44A8"/>
    <w:rsid w:val="00CE483E"/>
    <w:rsid w:val="00CE4919"/>
    <w:rsid w:val="00CE4987"/>
    <w:rsid w:val="00CE4A61"/>
    <w:rsid w:val="00CE4CF8"/>
    <w:rsid w:val="00CE4D9B"/>
    <w:rsid w:val="00CE4E1F"/>
    <w:rsid w:val="00CE4FB3"/>
    <w:rsid w:val="00CE50B9"/>
    <w:rsid w:val="00CE5103"/>
    <w:rsid w:val="00CE51FA"/>
    <w:rsid w:val="00CE52A8"/>
    <w:rsid w:val="00CE5480"/>
    <w:rsid w:val="00CE5AFE"/>
    <w:rsid w:val="00CE5D4B"/>
    <w:rsid w:val="00CE658F"/>
    <w:rsid w:val="00CE672E"/>
    <w:rsid w:val="00CE68C0"/>
    <w:rsid w:val="00CE6C9B"/>
    <w:rsid w:val="00CE6ED9"/>
    <w:rsid w:val="00CE7068"/>
    <w:rsid w:val="00CE7069"/>
    <w:rsid w:val="00CE7092"/>
    <w:rsid w:val="00CE713F"/>
    <w:rsid w:val="00CE73F1"/>
    <w:rsid w:val="00CE7425"/>
    <w:rsid w:val="00CE74A1"/>
    <w:rsid w:val="00CE74EC"/>
    <w:rsid w:val="00CE7538"/>
    <w:rsid w:val="00CE760E"/>
    <w:rsid w:val="00CE78E4"/>
    <w:rsid w:val="00CE7D78"/>
    <w:rsid w:val="00CE7E66"/>
    <w:rsid w:val="00CF01B3"/>
    <w:rsid w:val="00CF0294"/>
    <w:rsid w:val="00CF0337"/>
    <w:rsid w:val="00CF0438"/>
    <w:rsid w:val="00CF052D"/>
    <w:rsid w:val="00CF05B1"/>
    <w:rsid w:val="00CF06E4"/>
    <w:rsid w:val="00CF0992"/>
    <w:rsid w:val="00CF0B2D"/>
    <w:rsid w:val="00CF0B6B"/>
    <w:rsid w:val="00CF0BA8"/>
    <w:rsid w:val="00CF0C7B"/>
    <w:rsid w:val="00CF0E16"/>
    <w:rsid w:val="00CF0E99"/>
    <w:rsid w:val="00CF1141"/>
    <w:rsid w:val="00CF1567"/>
    <w:rsid w:val="00CF16FF"/>
    <w:rsid w:val="00CF18CF"/>
    <w:rsid w:val="00CF1B4D"/>
    <w:rsid w:val="00CF1D68"/>
    <w:rsid w:val="00CF1E1E"/>
    <w:rsid w:val="00CF21D6"/>
    <w:rsid w:val="00CF21F3"/>
    <w:rsid w:val="00CF2233"/>
    <w:rsid w:val="00CF2341"/>
    <w:rsid w:val="00CF23F8"/>
    <w:rsid w:val="00CF246D"/>
    <w:rsid w:val="00CF281C"/>
    <w:rsid w:val="00CF299C"/>
    <w:rsid w:val="00CF2B9B"/>
    <w:rsid w:val="00CF2C74"/>
    <w:rsid w:val="00CF3176"/>
    <w:rsid w:val="00CF3391"/>
    <w:rsid w:val="00CF3533"/>
    <w:rsid w:val="00CF388C"/>
    <w:rsid w:val="00CF389A"/>
    <w:rsid w:val="00CF3B0B"/>
    <w:rsid w:val="00CF3B5A"/>
    <w:rsid w:val="00CF3B62"/>
    <w:rsid w:val="00CF3CFB"/>
    <w:rsid w:val="00CF3EF9"/>
    <w:rsid w:val="00CF3F04"/>
    <w:rsid w:val="00CF3F3A"/>
    <w:rsid w:val="00CF3FEF"/>
    <w:rsid w:val="00CF442E"/>
    <w:rsid w:val="00CF4720"/>
    <w:rsid w:val="00CF4838"/>
    <w:rsid w:val="00CF498F"/>
    <w:rsid w:val="00CF4AE2"/>
    <w:rsid w:val="00CF4B7B"/>
    <w:rsid w:val="00CF4E2A"/>
    <w:rsid w:val="00CF5229"/>
    <w:rsid w:val="00CF575D"/>
    <w:rsid w:val="00CF5828"/>
    <w:rsid w:val="00CF591C"/>
    <w:rsid w:val="00CF591D"/>
    <w:rsid w:val="00CF5AAC"/>
    <w:rsid w:val="00CF5B0D"/>
    <w:rsid w:val="00CF5F8A"/>
    <w:rsid w:val="00CF6442"/>
    <w:rsid w:val="00CF67BF"/>
    <w:rsid w:val="00CF6A07"/>
    <w:rsid w:val="00CF6BCF"/>
    <w:rsid w:val="00CF6FD1"/>
    <w:rsid w:val="00CF710B"/>
    <w:rsid w:val="00CF7223"/>
    <w:rsid w:val="00CF724F"/>
    <w:rsid w:val="00CF72B1"/>
    <w:rsid w:val="00CF73E2"/>
    <w:rsid w:val="00CF75C0"/>
    <w:rsid w:val="00CF76C1"/>
    <w:rsid w:val="00CF7AE1"/>
    <w:rsid w:val="00CF7CF2"/>
    <w:rsid w:val="00CF7D71"/>
    <w:rsid w:val="00CF7D76"/>
    <w:rsid w:val="00CF7DCF"/>
    <w:rsid w:val="00CF7E24"/>
    <w:rsid w:val="00D0028C"/>
    <w:rsid w:val="00D003F8"/>
    <w:rsid w:val="00D004CB"/>
    <w:rsid w:val="00D00652"/>
    <w:rsid w:val="00D0098C"/>
    <w:rsid w:val="00D009DA"/>
    <w:rsid w:val="00D00BF5"/>
    <w:rsid w:val="00D00CA6"/>
    <w:rsid w:val="00D00E7D"/>
    <w:rsid w:val="00D010C5"/>
    <w:rsid w:val="00D01527"/>
    <w:rsid w:val="00D0153D"/>
    <w:rsid w:val="00D016AC"/>
    <w:rsid w:val="00D01808"/>
    <w:rsid w:val="00D01822"/>
    <w:rsid w:val="00D018D4"/>
    <w:rsid w:val="00D019F8"/>
    <w:rsid w:val="00D01C81"/>
    <w:rsid w:val="00D01CA2"/>
    <w:rsid w:val="00D01E79"/>
    <w:rsid w:val="00D02150"/>
    <w:rsid w:val="00D021BE"/>
    <w:rsid w:val="00D0254C"/>
    <w:rsid w:val="00D025AA"/>
    <w:rsid w:val="00D027A9"/>
    <w:rsid w:val="00D02ABC"/>
    <w:rsid w:val="00D02AFD"/>
    <w:rsid w:val="00D02B40"/>
    <w:rsid w:val="00D02B41"/>
    <w:rsid w:val="00D02BA9"/>
    <w:rsid w:val="00D02CB5"/>
    <w:rsid w:val="00D030C9"/>
    <w:rsid w:val="00D031BA"/>
    <w:rsid w:val="00D032AE"/>
    <w:rsid w:val="00D034AC"/>
    <w:rsid w:val="00D038CF"/>
    <w:rsid w:val="00D03975"/>
    <w:rsid w:val="00D03A60"/>
    <w:rsid w:val="00D03B7A"/>
    <w:rsid w:val="00D03E48"/>
    <w:rsid w:val="00D03EED"/>
    <w:rsid w:val="00D03F48"/>
    <w:rsid w:val="00D041EA"/>
    <w:rsid w:val="00D043D5"/>
    <w:rsid w:val="00D0454B"/>
    <w:rsid w:val="00D048EA"/>
    <w:rsid w:val="00D04D28"/>
    <w:rsid w:val="00D05077"/>
    <w:rsid w:val="00D05116"/>
    <w:rsid w:val="00D05177"/>
    <w:rsid w:val="00D05264"/>
    <w:rsid w:val="00D052AE"/>
    <w:rsid w:val="00D055F7"/>
    <w:rsid w:val="00D05695"/>
    <w:rsid w:val="00D05B1D"/>
    <w:rsid w:val="00D05B37"/>
    <w:rsid w:val="00D06049"/>
    <w:rsid w:val="00D0618D"/>
    <w:rsid w:val="00D06297"/>
    <w:rsid w:val="00D06469"/>
    <w:rsid w:val="00D06525"/>
    <w:rsid w:val="00D06535"/>
    <w:rsid w:val="00D0673E"/>
    <w:rsid w:val="00D0681E"/>
    <w:rsid w:val="00D06967"/>
    <w:rsid w:val="00D06971"/>
    <w:rsid w:val="00D069D2"/>
    <w:rsid w:val="00D06A49"/>
    <w:rsid w:val="00D06C2D"/>
    <w:rsid w:val="00D06D7A"/>
    <w:rsid w:val="00D06E07"/>
    <w:rsid w:val="00D06FFC"/>
    <w:rsid w:val="00D07028"/>
    <w:rsid w:val="00D070CF"/>
    <w:rsid w:val="00D072A5"/>
    <w:rsid w:val="00D0735C"/>
    <w:rsid w:val="00D073CF"/>
    <w:rsid w:val="00D073E6"/>
    <w:rsid w:val="00D076F2"/>
    <w:rsid w:val="00D07A25"/>
    <w:rsid w:val="00D07ABE"/>
    <w:rsid w:val="00D07FBD"/>
    <w:rsid w:val="00D1036F"/>
    <w:rsid w:val="00D104C5"/>
    <w:rsid w:val="00D108F5"/>
    <w:rsid w:val="00D10A2B"/>
    <w:rsid w:val="00D10AE5"/>
    <w:rsid w:val="00D10D6D"/>
    <w:rsid w:val="00D10DA6"/>
    <w:rsid w:val="00D11171"/>
    <w:rsid w:val="00D11232"/>
    <w:rsid w:val="00D113CD"/>
    <w:rsid w:val="00D114E4"/>
    <w:rsid w:val="00D11570"/>
    <w:rsid w:val="00D1164B"/>
    <w:rsid w:val="00D11667"/>
    <w:rsid w:val="00D116A3"/>
    <w:rsid w:val="00D116A7"/>
    <w:rsid w:val="00D11B59"/>
    <w:rsid w:val="00D11D66"/>
    <w:rsid w:val="00D12289"/>
    <w:rsid w:val="00D123C2"/>
    <w:rsid w:val="00D124FB"/>
    <w:rsid w:val="00D12706"/>
    <w:rsid w:val="00D12ABC"/>
    <w:rsid w:val="00D12D66"/>
    <w:rsid w:val="00D12F0F"/>
    <w:rsid w:val="00D12F1A"/>
    <w:rsid w:val="00D12FBE"/>
    <w:rsid w:val="00D13055"/>
    <w:rsid w:val="00D13081"/>
    <w:rsid w:val="00D13124"/>
    <w:rsid w:val="00D1360F"/>
    <w:rsid w:val="00D137B5"/>
    <w:rsid w:val="00D138CB"/>
    <w:rsid w:val="00D13C6F"/>
    <w:rsid w:val="00D13D7A"/>
    <w:rsid w:val="00D13D95"/>
    <w:rsid w:val="00D13F3E"/>
    <w:rsid w:val="00D14052"/>
    <w:rsid w:val="00D14162"/>
    <w:rsid w:val="00D14216"/>
    <w:rsid w:val="00D1445A"/>
    <w:rsid w:val="00D1465D"/>
    <w:rsid w:val="00D148E2"/>
    <w:rsid w:val="00D14A86"/>
    <w:rsid w:val="00D14C00"/>
    <w:rsid w:val="00D14C76"/>
    <w:rsid w:val="00D14E49"/>
    <w:rsid w:val="00D151B4"/>
    <w:rsid w:val="00D15205"/>
    <w:rsid w:val="00D15386"/>
    <w:rsid w:val="00D154DA"/>
    <w:rsid w:val="00D15729"/>
    <w:rsid w:val="00D158E2"/>
    <w:rsid w:val="00D15C3A"/>
    <w:rsid w:val="00D15D69"/>
    <w:rsid w:val="00D15DD0"/>
    <w:rsid w:val="00D16197"/>
    <w:rsid w:val="00D1632A"/>
    <w:rsid w:val="00D165C9"/>
    <w:rsid w:val="00D1691D"/>
    <w:rsid w:val="00D169C9"/>
    <w:rsid w:val="00D16C33"/>
    <w:rsid w:val="00D16F24"/>
    <w:rsid w:val="00D171EE"/>
    <w:rsid w:val="00D17429"/>
    <w:rsid w:val="00D17562"/>
    <w:rsid w:val="00D176CA"/>
    <w:rsid w:val="00D177DB"/>
    <w:rsid w:val="00D17E0E"/>
    <w:rsid w:val="00D17FAE"/>
    <w:rsid w:val="00D20183"/>
    <w:rsid w:val="00D20190"/>
    <w:rsid w:val="00D201A7"/>
    <w:rsid w:val="00D201F0"/>
    <w:rsid w:val="00D202D9"/>
    <w:rsid w:val="00D2032C"/>
    <w:rsid w:val="00D203AC"/>
    <w:rsid w:val="00D204EF"/>
    <w:rsid w:val="00D20541"/>
    <w:rsid w:val="00D20717"/>
    <w:rsid w:val="00D2082F"/>
    <w:rsid w:val="00D208EE"/>
    <w:rsid w:val="00D20A96"/>
    <w:rsid w:val="00D20BAE"/>
    <w:rsid w:val="00D20C7D"/>
    <w:rsid w:val="00D20D83"/>
    <w:rsid w:val="00D2113E"/>
    <w:rsid w:val="00D211F2"/>
    <w:rsid w:val="00D2143A"/>
    <w:rsid w:val="00D215B8"/>
    <w:rsid w:val="00D2165C"/>
    <w:rsid w:val="00D21A48"/>
    <w:rsid w:val="00D21AB3"/>
    <w:rsid w:val="00D21B18"/>
    <w:rsid w:val="00D21BC2"/>
    <w:rsid w:val="00D21EE8"/>
    <w:rsid w:val="00D21F0A"/>
    <w:rsid w:val="00D220C7"/>
    <w:rsid w:val="00D22107"/>
    <w:rsid w:val="00D222AC"/>
    <w:rsid w:val="00D22412"/>
    <w:rsid w:val="00D2257B"/>
    <w:rsid w:val="00D225FC"/>
    <w:rsid w:val="00D22727"/>
    <w:rsid w:val="00D227C7"/>
    <w:rsid w:val="00D22826"/>
    <w:rsid w:val="00D22829"/>
    <w:rsid w:val="00D228CF"/>
    <w:rsid w:val="00D22981"/>
    <w:rsid w:val="00D22B63"/>
    <w:rsid w:val="00D22E68"/>
    <w:rsid w:val="00D22F6D"/>
    <w:rsid w:val="00D236D7"/>
    <w:rsid w:val="00D23771"/>
    <w:rsid w:val="00D2398A"/>
    <w:rsid w:val="00D23AD0"/>
    <w:rsid w:val="00D23E7A"/>
    <w:rsid w:val="00D23FB9"/>
    <w:rsid w:val="00D241DF"/>
    <w:rsid w:val="00D24580"/>
    <w:rsid w:val="00D24594"/>
    <w:rsid w:val="00D24600"/>
    <w:rsid w:val="00D247A2"/>
    <w:rsid w:val="00D2496F"/>
    <w:rsid w:val="00D249C3"/>
    <w:rsid w:val="00D24AE1"/>
    <w:rsid w:val="00D24E23"/>
    <w:rsid w:val="00D24E3E"/>
    <w:rsid w:val="00D24E8B"/>
    <w:rsid w:val="00D25082"/>
    <w:rsid w:val="00D25139"/>
    <w:rsid w:val="00D25209"/>
    <w:rsid w:val="00D252C1"/>
    <w:rsid w:val="00D25419"/>
    <w:rsid w:val="00D254D9"/>
    <w:rsid w:val="00D2557B"/>
    <w:rsid w:val="00D255EA"/>
    <w:rsid w:val="00D2586C"/>
    <w:rsid w:val="00D25947"/>
    <w:rsid w:val="00D25964"/>
    <w:rsid w:val="00D25A19"/>
    <w:rsid w:val="00D25B52"/>
    <w:rsid w:val="00D25B78"/>
    <w:rsid w:val="00D25C18"/>
    <w:rsid w:val="00D25CDD"/>
    <w:rsid w:val="00D25DFF"/>
    <w:rsid w:val="00D25E02"/>
    <w:rsid w:val="00D25E2E"/>
    <w:rsid w:val="00D26294"/>
    <w:rsid w:val="00D263E3"/>
    <w:rsid w:val="00D26509"/>
    <w:rsid w:val="00D265F1"/>
    <w:rsid w:val="00D26910"/>
    <w:rsid w:val="00D2699E"/>
    <w:rsid w:val="00D26AAE"/>
    <w:rsid w:val="00D26AC2"/>
    <w:rsid w:val="00D26DAF"/>
    <w:rsid w:val="00D273A5"/>
    <w:rsid w:val="00D27444"/>
    <w:rsid w:val="00D27464"/>
    <w:rsid w:val="00D27466"/>
    <w:rsid w:val="00D274BC"/>
    <w:rsid w:val="00D2760D"/>
    <w:rsid w:val="00D27C5F"/>
    <w:rsid w:val="00D27CA9"/>
    <w:rsid w:val="00D27E73"/>
    <w:rsid w:val="00D27F5D"/>
    <w:rsid w:val="00D305FC"/>
    <w:rsid w:val="00D30643"/>
    <w:rsid w:val="00D30686"/>
    <w:rsid w:val="00D3076C"/>
    <w:rsid w:val="00D30D51"/>
    <w:rsid w:val="00D30E01"/>
    <w:rsid w:val="00D31486"/>
    <w:rsid w:val="00D3153C"/>
    <w:rsid w:val="00D31729"/>
    <w:rsid w:val="00D31793"/>
    <w:rsid w:val="00D318A1"/>
    <w:rsid w:val="00D31CDD"/>
    <w:rsid w:val="00D31D0C"/>
    <w:rsid w:val="00D321A4"/>
    <w:rsid w:val="00D321FC"/>
    <w:rsid w:val="00D3220F"/>
    <w:rsid w:val="00D32385"/>
    <w:rsid w:val="00D32661"/>
    <w:rsid w:val="00D3273F"/>
    <w:rsid w:val="00D3278C"/>
    <w:rsid w:val="00D3282A"/>
    <w:rsid w:val="00D32969"/>
    <w:rsid w:val="00D32A8B"/>
    <w:rsid w:val="00D32BD2"/>
    <w:rsid w:val="00D32C8C"/>
    <w:rsid w:val="00D32F33"/>
    <w:rsid w:val="00D33352"/>
    <w:rsid w:val="00D3337A"/>
    <w:rsid w:val="00D334A6"/>
    <w:rsid w:val="00D335E2"/>
    <w:rsid w:val="00D339EB"/>
    <w:rsid w:val="00D33B14"/>
    <w:rsid w:val="00D33E20"/>
    <w:rsid w:val="00D33F46"/>
    <w:rsid w:val="00D34210"/>
    <w:rsid w:val="00D342F0"/>
    <w:rsid w:val="00D34605"/>
    <w:rsid w:val="00D34654"/>
    <w:rsid w:val="00D348BE"/>
    <w:rsid w:val="00D3491E"/>
    <w:rsid w:val="00D3492D"/>
    <w:rsid w:val="00D34ABB"/>
    <w:rsid w:val="00D34AD6"/>
    <w:rsid w:val="00D34CDC"/>
    <w:rsid w:val="00D34CE2"/>
    <w:rsid w:val="00D35054"/>
    <w:rsid w:val="00D35172"/>
    <w:rsid w:val="00D35269"/>
    <w:rsid w:val="00D353FE"/>
    <w:rsid w:val="00D354B5"/>
    <w:rsid w:val="00D355CB"/>
    <w:rsid w:val="00D35657"/>
    <w:rsid w:val="00D35B94"/>
    <w:rsid w:val="00D35C73"/>
    <w:rsid w:val="00D35CC4"/>
    <w:rsid w:val="00D35CF6"/>
    <w:rsid w:val="00D35D6D"/>
    <w:rsid w:val="00D3602A"/>
    <w:rsid w:val="00D361DE"/>
    <w:rsid w:val="00D361F1"/>
    <w:rsid w:val="00D3657F"/>
    <w:rsid w:val="00D36606"/>
    <w:rsid w:val="00D367E1"/>
    <w:rsid w:val="00D36879"/>
    <w:rsid w:val="00D36B93"/>
    <w:rsid w:val="00D36CDB"/>
    <w:rsid w:val="00D36D01"/>
    <w:rsid w:val="00D36E35"/>
    <w:rsid w:val="00D36FFA"/>
    <w:rsid w:val="00D37005"/>
    <w:rsid w:val="00D37133"/>
    <w:rsid w:val="00D37146"/>
    <w:rsid w:val="00D37574"/>
    <w:rsid w:val="00D37612"/>
    <w:rsid w:val="00D37666"/>
    <w:rsid w:val="00D377DC"/>
    <w:rsid w:val="00D37993"/>
    <w:rsid w:val="00D37DBD"/>
    <w:rsid w:val="00D37E46"/>
    <w:rsid w:val="00D402E5"/>
    <w:rsid w:val="00D4042C"/>
    <w:rsid w:val="00D40558"/>
    <w:rsid w:val="00D40573"/>
    <w:rsid w:val="00D40578"/>
    <w:rsid w:val="00D40744"/>
    <w:rsid w:val="00D40941"/>
    <w:rsid w:val="00D40965"/>
    <w:rsid w:val="00D40B54"/>
    <w:rsid w:val="00D40D6F"/>
    <w:rsid w:val="00D410DD"/>
    <w:rsid w:val="00D41431"/>
    <w:rsid w:val="00D414A4"/>
    <w:rsid w:val="00D415B1"/>
    <w:rsid w:val="00D416F6"/>
    <w:rsid w:val="00D41704"/>
    <w:rsid w:val="00D41B23"/>
    <w:rsid w:val="00D41BAC"/>
    <w:rsid w:val="00D41C2C"/>
    <w:rsid w:val="00D41C38"/>
    <w:rsid w:val="00D41C66"/>
    <w:rsid w:val="00D41CC5"/>
    <w:rsid w:val="00D41FF2"/>
    <w:rsid w:val="00D420AB"/>
    <w:rsid w:val="00D422BE"/>
    <w:rsid w:val="00D4232D"/>
    <w:rsid w:val="00D42423"/>
    <w:rsid w:val="00D4272C"/>
    <w:rsid w:val="00D42AEE"/>
    <w:rsid w:val="00D42B50"/>
    <w:rsid w:val="00D42BA7"/>
    <w:rsid w:val="00D42CE3"/>
    <w:rsid w:val="00D42FAA"/>
    <w:rsid w:val="00D4304A"/>
    <w:rsid w:val="00D430C1"/>
    <w:rsid w:val="00D43321"/>
    <w:rsid w:val="00D4337B"/>
    <w:rsid w:val="00D4343A"/>
    <w:rsid w:val="00D43699"/>
    <w:rsid w:val="00D436D2"/>
    <w:rsid w:val="00D43976"/>
    <w:rsid w:val="00D43E0D"/>
    <w:rsid w:val="00D441D1"/>
    <w:rsid w:val="00D44490"/>
    <w:rsid w:val="00D445CF"/>
    <w:rsid w:val="00D44683"/>
    <w:rsid w:val="00D446B8"/>
    <w:rsid w:val="00D446D4"/>
    <w:rsid w:val="00D44A89"/>
    <w:rsid w:val="00D44B50"/>
    <w:rsid w:val="00D44D20"/>
    <w:rsid w:val="00D44D4E"/>
    <w:rsid w:val="00D44D5B"/>
    <w:rsid w:val="00D44D90"/>
    <w:rsid w:val="00D44E00"/>
    <w:rsid w:val="00D44F0B"/>
    <w:rsid w:val="00D454DC"/>
    <w:rsid w:val="00D456FB"/>
    <w:rsid w:val="00D457FE"/>
    <w:rsid w:val="00D4580F"/>
    <w:rsid w:val="00D45843"/>
    <w:rsid w:val="00D45BD3"/>
    <w:rsid w:val="00D45C1D"/>
    <w:rsid w:val="00D45E1D"/>
    <w:rsid w:val="00D45EF0"/>
    <w:rsid w:val="00D460FE"/>
    <w:rsid w:val="00D46441"/>
    <w:rsid w:val="00D46571"/>
    <w:rsid w:val="00D46674"/>
    <w:rsid w:val="00D46808"/>
    <w:rsid w:val="00D468A3"/>
    <w:rsid w:val="00D468E9"/>
    <w:rsid w:val="00D46AAC"/>
    <w:rsid w:val="00D46AD2"/>
    <w:rsid w:val="00D46B9B"/>
    <w:rsid w:val="00D46CA3"/>
    <w:rsid w:val="00D46CEC"/>
    <w:rsid w:val="00D46F61"/>
    <w:rsid w:val="00D46FF9"/>
    <w:rsid w:val="00D47406"/>
    <w:rsid w:val="00D47577"/>
    <w:rsid w:val="00D478FA"/>
    <w:rsid w:val="00D47A2F"/>
    <w:rsid w:val="00D47A3B"/>
    <w:rsid w:val="00D47DEF"/>
    <w:rsid w:val="00D5017F"/>
    <w:rsid w:val="00D50594"/>
    <w:rsid w:val="00D50708"/>
    <w:rsid w:val="00D50B22"/>
    <w:rsid w:val="00D50E04"/>
    <w:rsid w:val="00D50ED2"/>
    <w:rsid w:val="00D5138E"/>
    <w:rsid w:val="00D51716"/>
    <w:rsid w:val="00D5171A"/>
    <w:rsid w:val="00D5173A"/>
    <w:rsid w:val="00D5184E"/>
    <w:rsid w:val="00D51A54"/>
    <w:rsid w:val="00D51AF4"/>
    <w:rsid w:val="00D51B6E"/>
    <w:rsid w:val="00D51C9E"/>
    <w:rsid w:val="00D51D1F"/>
    <w:rsid w:val="00D5224C"/>
    <w:rsid w:val="00D52314"/>
    <w:rsid w:val="00D523AF"/>
    <w:rsid w:val="00D5242F"/>
    <w:rsid w:val="00D5271C"/>
    <w:rsid w:val="00D5276E"/>
    <w:rsid w:val="00D52776"/>
    <w:rsid w:val="00D5297A"/>
    <w:rsid w:val="00D52B9F"/>
    <w:rsid w:val="00D52D00"/>
    <w:rsid w:val="00D52F24"/>
    <w:rsid w:val="00D53098"/>
    <w:rsid w:val="00D530E7"/>
    <w:rsid w:val="00D5327D"/>
    <w:rsid w:val="00D532E9"/>
    <w:rsid w:val="00D53395"/>
    <w:rsid w:val="00D535D1"/>
    <w:rsid w:val="00D536B4"/>
    <w:rsid w:val="00D53846"/>
    <w:rsid w:val="00D54084"/>
    <w:rsid w:val="00D5410C"/>
    <w:rsid w:val="00D542F0"/>
    <w:rsid w:val="00D54533"/>
    <w:rsid w:val="00D5492C"/>
    <w:rsid w:val="00D5498A"/>
    <w:rsid w:val="00D5498E"/>
    <w:rsid w:val="00D54AE8"/>
    <w:rsid w:val="00D54B75"/>
    <w:rsid w:val="00D54C40"/>
    <w:rsid w:val="00D54DAB"/>
    <w:rsid w:val="00D54ECD"/>
    <w:rsid w:val="00D552FC"/>
    <w:rsid w:val="00D55413"/>
    <w:rsid w:val="00D55480"/>
    <w:rsid w:val="00D554DE"/>
    <w:rsid w:val="00D5555F"/>
    <w:rsid w:val="00D55840"/>
    <w:rsid w:val="00D5584B"/>
    <w:rsid w:val="00D559F7"/>
    <w:rsid w:val="00D55AFE"/>
    <w:rsid w:val="00D55C60"/>
    <w:rsid w:val="00D55DC7"/>
    <w:rsid w:val="00D5617C"/>
    <w:rsid w:val="00D5652B"/>
    <w:rsid w:val="00D565C2"/>
    <w:rsid w:val="00D565ED"/>
    <w:rsid w:val="00D56692"/>
    <w:rsid w:val="00D56706"/>
    <w:rsid w:val="00D56C0C"/>
    <w:rsid w:val="00D56C3E"/>
    <w:rsid w:val="00D56D3B"/>
    <w:rsid w:val="00D56D70"/>
    <w:rsid w:val="00D56EE1"/>
    <w:rsid w:val="00D57030"/>
    <w:rsid w:val="00D57208"/>
    <w:rsid w:val="00D572D7"/>
    <w:rsid w:val="00D57321"/>
    <w:rsid w:val="00D573E0"/>
    <w:rsid w:val="00D5771B"/>
    <w:rsid w:val="00D57AEE"/>
    <w:rsid w:val="00D57B4E"/>
    <w:rsid w:val="00D57DBE"/>
    <w:rsid w:val="00D6023F"/>
    <w:rsid w:val="00D603B3"/>
    <w:rsid w:val="00D604C5"/>
    <w:rsid w:val="00D60550"/>
    <w:rsid w:val="00D605ED"/>
    <w:rsid w:val="00D605F3"/>
    <w:rsid w:val="00D6066B"/>
    <w:rsid w:val="00D606FC"/>
    <w:rsid w:val="00D60863"/>
    <w:rsid w:val="00D608D4"/>
    <w:rsid w:val="00D609BD"/>
    <w:rsid w:val="00D60B41"/>
    <w:rsid w:val="00D60C09"/>
    <w:rsid w:val="00D60D97"/>
    <w:rsid w:val="00D60DA1"/>
    <w:rsid w:val="00D60E96"/>
    <w:rsid w:val="00D60ED7"/>
    <w:rsid w:val="00D6143A"/>
    <w:rsid w:val="00D614F9"/>
    <w:rsid w:val="00D6159C"/>
    <w:rsid w:val="00D6161C"/>
    <w:rsid w:val="00D61738"/>
    <w:rsid w:val="00D61A00"/>
    <w:rsid w:val="00D61EA2"/>
    <w:rsid w:val="00D61EE3"/>
    <w:rsid w:val="00D61F2A"/>
    <w:rsid w:val="00D61F8D"/>
    <w:rsid w:val="00D62202"/>
    <w:rsid w:val="00D623E8"/>
    <w:rsid w:val="00D62B80"/>
    <w:rsid w:val="00D62D22"/>
    <w:rsid w:val="00D62E97"/>
    <w:rsid w:val="00D63460"/>
    <w:rsid w:val="00D637A4"/>
    <w:rsid w:val="00D638CC"/>
    <w:rsid w:val="00D63A84"/>
    <w:rsid w:val="00D63DDE"/>
    <w:rsid w:val="00D63E14"/>
    <w:rsid w:val="00D63F79"/>
    <w:rsid w:val="00D6431E"/>
    <w:rsid w:val="00D64487"/>
    <w:rsid w:val="00D64678"/>
    <w:rsid w:val="00D647FF"/>
    <w:rsid w:val="00D6485E"/>
    <w:rsid w:val="00D649D0"/>
    <w:rsid w:val="00D64AAA"/>
    <w:rsid w:val="00D64AB0"/>
    <w:rsid w:val="00D64C6D"/>
    <w:rsid w:val="00D6508A"/>
    <w:rsid w:val="00D65102"/>
    <w:rsid w:val="00D652CD"/>
    <w:rsid w:val="00D65512"/>
    <w:rsid w:val="00D6557C"/>
    <w:rsid w:val="00D655E8"/>
    <w:rsid w:val="00D656DE"/>
    <w:rsid w:val="00D65792"/>
    <w:rsid w:val="00D65830"/>
    <w:rsid w:val="00D6585D"/>
    <w:rsid w:val="00D65A34"/>
    <w:rsid w:val="00D65A49"/>
    <w:rsid w:val="00D660B2"/>
    <w:rsid w:val="00D66127"/>
    <w:rsid w:val="00D66136"/>
    <w:rsid w:val="00D6617B"/>
    <w:rsid w:val="00D6640B"/>
    <w:rsid w:val="00D666D0"/>
    <w:rsid w:val="00D667FC"/>
    <w:rsid w:val="00D66C17"/>
    <w:rsid w:val="00D66C42"/>
    <w:rsid w:val="00D66FFF"/>
    <w:rsid w:val="00D6723F"/>
    <w:rsid w:val="00D6729D"/>
    <w:rsid w:val="00D67340"/>
    <w:rsid w:val="00D6774B"/>
    <w:rsid w:val="00D67B9E"/>
    <w:rsid w:val="00D700D5"/>
    <w:rsid w:val="00D7010C"/>
    <w:rsid w:val="00D70149"/>
    <w:rsid w:val="00D701C6"/>
    <w:rsid w:val="00D702F1"/>
    <w:rsid w:val="00D70348"/>
    <w:rsid w:val="00D7038C"/>
    <w:rsid w:val="00D703CF"/>
    <w:rsid w:val="00D709CD"/>
    <w:rsid w:val="00D70B79"/>
    <w:rsid w:val="00D710D9"/>
    <w:rsid w:val="00D711A5"/>
    <w:rsid w:val="00D7126F"/>
    <w:rsid w:val="00D71402"/>
    <w:rsid w:val="00D714F6"/>
    <w:rsid w:val="00D716C2"/>
    <w:rsid w:val="00D71749"/>
    <w:rsid w:val="00D7183E"/>
    <w:rsid w:val="00D71BD4"/>
    <w:rsid w:val="00D71D47"/>
    <w:rsid w:val="00D71DB1"/>
    <w:rsid w:val="00D71E37"/>
    <w:rsid w:val="00D72224"/>
    <w:rsid w:val="00D72230"/>
    <w:rsid w:val="00D728CE"/>
    <w:rsid w:val="00D72917"/>
    <w:rsid w:val="00D72DB3"/>
    <w:rsid w:val="00D72EFE"/>
    <w:rsid w:val="00D73302"/>
    <w:rsid w:val="00D733E9"/>
    <w:rsid w:val="00D735BA"/>
    <w:rsid w:val="00D7374F"/>
    <w:rsid w:val="00D7376D"/>
    <w:rsid w:val="00D73853"/>
    <w:rsid w:val="00D73ABD"/>
    <w:rsid w:val="00D73C13"/>
    <w:rsid w:val="00D73CCA"/>
    <w:rsid w:val="00D73E28"/>
    <w:rsid w:val="00D73E52"/>
    <w:rsid w:val="00D73F15"/>
    <w:rsid w:val="00D741F3"/>
    <w:rsid w:val="00D7431A"/>
    <w:rsid w:val="00D74348"/>
    <w:rsid w:val="00D74547"/>
    <w:rsid w:val="00D746A9"/>
    <w:rsid w:val="00D74A19"/>
    <w:rsid w:val="00D74B28"/>
    <w:rsid w:val="00D74B64"/>
    <w:rsid w:val="00D74EAB"/>
    <w:rsid w:val="00D74F5C"/>
    <w:rsid w:val="00D75064"/>
    <w:rsid w:val="00D753FA"/>
    <w:rsid w:val="00D75413"/>
    <w:rsid w:val="00D75573"/>
    <w:rsid w:val="00D75590"/>
    <w:rsid w:val="00D75715"/>
    <w:rsid w:val="00D7573F"/>
    <w:rsid w:val="00D75793"/>
    <w:rsid w:val="00D759EF"/>
    <w:rsid w:val="00D75D6A"/>
    <w:rsid w:val="00D75D84"/>
    <w:rsid w:val="00D75E1C"/>
    <w:rsid w:val="00D762F9"/>
    <w:rsid w:val="00D762FE"/>
    <w:rsid w:val="00D7649E"/>
    <w:rsid w:val="00D76724"/>
    <w:rsid w:val="00D76C19"/>
    <w:rsid w:val="00D76C48"/>
    <w:rsid w:val="00D76D31"/>
    <w:rsid w:val="00D76DDF"/>
    <w:rsid w:val="00D76EED"/>
    <w:rsid w:val="00D77164"/>
    <w:rsid w:val="00D774C7"/>
    <w:rsid w:val="00D77557"/>
    <w:rsid w:val="00D775A6"/>
    <w:rsid w:val="00D775DD"/>
    <w:rsid w:val="00D77679"/>
    <w:rsid w:val="00D77727"/>
    <w:rsid w:val="00D7784F"/>
    <w:rsid w:val="00D77A60"/>
    <w:rsid w:val="00D77AE8"/>
    <w:rsid w:val="00D77EBD"/>
    <w:rsid w:val="00D77FAC"/>
    <w:rsid w:val="00D802E2"/>
    <w:rsid w:val="00D803DF"/>
    <w:rsid w:val="00D80A3B"/>
    <w:rsid w:val="00D80ADD"/>
    <w:rsid w:val="00D80BB4"/>
    <w:rsid w:val="00D80C80"/>
    <w:rsid w:val="00D80E15"/>
    <w:rsid w:val="00D8122F"/>
    <w:rsid w:val="00D8145C"/>
    <w:rsid w:val="00D814D5"/>
    <w:rsid w:val="00D8150B"/>
    <w:rsid w:val="00D81554"/>
    <w:rsid w:val="00D815E5"/>
    <w:rsid w:val="00D816DB"/>
    <w:rsid w:val="00D81C2C"/>
    <w:rsid w:val="00D81CFF"/>
    <w:rsid w:val="00D81D8D"/>
    <w:rsid w:val="00D81E82"/>
    <w:rsid w:val="00D81EF2"/>
    <w:rsid w:val="00D82006"/>
    <w:rsid w:val="00D82110"/>
    <w:rsid w:val="00D82183"/>
    <w:rsid w:val="00D8234F"/>
    <w:rsid w:val="00D82949"/>
    <w:rsid w:val="00D82B1D"/>
    <w:rsid w:val="00D82BD4"/>
    <w:rsid w:val="00D82BE6"/>
    <w:rsid w:val="00D82CCC"/>
    <w:rsid w:val="00D83287"/>
    <w:rsid w:val="00D8361E"/>
    <w:rsid w:val="00D836D2"/>
    <w:rsid w:val="00D8385E"/>
    <w:rsid w:val="00D83ECD"/>
    <w:rsid w:val="00D83EEA"/>
    <w:rsid w:val="00D83FF6"/>
    <w:rsid w:val="00D841FE"/>
    <w:rsid w:val="00D846B5"/>
    <w:rsid w:val="00D84A32"/>
    <w:rsid w:val="00D84A94"/>
    <w:rsid w:val="00D84DA6"/>
    <w:rsid w:val="00D84DBC"/>
    <w:rsid w:val="00D84EAA"/>
    <w:rsid w:val="00D84F65"/>
    <w:rsid w:val="00D84F7A"/>
    <w:rsid w:val="00D8514A"/>
    <w:rsid w:val="00D85491"/>
    <w:rsid w:val="00D85683"/>
    <w:rsid w:val="00D856C3"/>
    <w:rsid w:val="00D8580F"/>
    <w:rsid w:val="00D8582D"/>
    <w:rsid w:val="00D858C6"/>
    <w:rsid w:val="00D859D9"/>
    <w:rsid w:val="00D85B10"/>
    <w:rsid w:val="00D85BB8"/>
    <w:rsid w:val="00D860CB"/>
    <w:rsid w:val="00D86129"/>
    <w:rsid w:val="00D8618B"/>
    <w:rsid w:val="00D865F7"/>
    <w:rsid w:val="00D8662D"/>
    <w:rsid w:val="00D8674D"/>
    <w:rsid w:val="00D86779"/>
    <w:rsid w:val="00D867C9"/>
    <w:rsid w:val="00D86863"/>
    <w:rsid w:val="00D8689C"/>
    <w:rsid w:val="00D86919"/>
    <w:rsid w:val="00D86AC1"/>
    <w:rsid w:val="00D86B3B"/>
    <w:rsid w:val="00D86C7B"/>
    <w:rsid w:val="00D870BD"/>
    <w:rsid w:val="00D87350"/>
    <w:rsid w:val="00D87374"/>
    <w:rsid w:val="00D873C3"/>
    <w:rsid w:val="00D8745A"/>
    <w:rsid w:val="00D874F5"/>
    <w:rsid w:val="00D876E0"/>
    <w:rsid w:val="00D87923"/>
    <w:rsid w:val="00D87BB3"/>
    <w:rsid w:val="00D87D80"/>
    <w:rsid w:val="00D87FA4"/>
    <w:rsid w:val="00D87FDC"/>
    <w:rsid w:val="00D900F9"/>
    <w:rsid w:val="00D9014E"/>
    <w:rsid w:val="00D90342"/>
    <w:rsid w:val="00D9049F"/>
    <w:rsid w:val="00D904FB"/>
    <w:rsid w:val="00D90564"/>
    <w:rsid w:val="00D908B8"/>
    <w:rsid w:val="00D909B9"/>
    <w:rsid w:val="00D90AF5"/>
    <w:rsid w:val="00D90D12"/>
    <w:rsid w:val="00D9111E"/>
    <w:rsid w:val="00D9124C"/>
    <w:rsid w:val="00D9125E"/>
    <w:rsid w:val="00D9127B"/>
    <w:rsid w:val="00D91456"/>
    <w:rsid w:val="00D9147B"/>
    <w:rsid w:val="00D91515"/>
    <w:rsid w:val="00D915A2"/>
    <w:rsid w:val="00D91A7B"/>
    <w:rsid w:val="00D91AF4"/>
    <w:rsid w:val="00D91DF4"/>
    <w:rsid w:val="00D91F11"/>
    <w:rsid w:val="00D920BB"/>
    <w:rsid w:val="00D920ED"/>
    <w:rsid w:val="00D9230D"/>
    <w:rsid w:val="00D9234F"/>
    <w:rsid w:val="00D923A2"/>
    <w:rsid w:val="00D923DC"/>
    <w:rsid w:val="00D923E7"/>
    <w:rsid w:val="00D923F0"/>
    <w:rsid w:val="00D924ED"/>
    <w:rsid w:val="00D92930"/>
    <w:rsid w:val="00D92AA2"/>
    <w:rsid w:val="00D92C91"/>
    <w:rsid w:val="00D92CE9"/>
    <w:rsid w:val="00D92DA1"/>
    <w:rsid w:val="00D92DD6"/>
    <w:rsid w:val="00D931E1"/>
    <w:rsid w:val="00D936F3"/>
    <w:rsid w:val="00D93807"/>
    <w:rsid w:val="00D93929"/>
    <w:rsid w:val="00D93A07"/>
    <w:rsid w:val="00D93CA7"/>
    <w:rsid w:val="00D93F38"/>
    <w:rsid w:val="00D93F67"/>
    <w:rsid w:val="00D93FD7"/>
    <w:rsid w:val="00D941DA"/>
    <w:rsid w:val="00D944D2"/>
    <w:rsid w:val="00D9478E"/>
    <w:rsid w:val="00D9481A"/>
    <w:rsid w:val="00D94896"/>
    <w:rsid w:val="00D948E8"/>
    <w:rsid w:val="00D94A5F"/>
    <w:rsid w:val="00D94B7C"/>
    <w:rsid w:val="00D94BC6"/>
    <w:rsid w:val="00D94D5B"/>
    <w:rsid w:val="00D94FBB"/>
    <w:rsid w:val="00D94FC8"/>
    <w:rsid w:val="00D950EC"/>
    <w:rsid w:val="00D9558E"/>
    <w:rsid w:val="00D955DF"/>
    <w:rsid w:val="00D955EA"/>
    <w:rsid w:val="00D9567E"/>
    <w:rsid w:val="00D959F0"/>
    <w:rsid w:val="00D95AE7"/>
    <w:rsid w:val="00D95D7A"/>
    <w:rsid w:val="00D95D87"/>
    <w:rsid w:val="00D9617D"/>
    <w:rsid w:val="00D96436"/>
    <w:rsid w:val="00D96458"/>
    <w:rsid w:val="00D9647A"/>
    <w:rsid w:val="00D9659B"/>
    <w:rsid w:val="00D965B0"/>
    <w:rsid w:val="00D96889"/>
    <w:rsid w:val="00D96D47"/>
    <w:rsid w:val="00D96DB5"/>
    <w:rsid w:val="00D96E3C"/>
    <w:rsid w:val="00D96E79"/>
    <w:rsid w:val="00D96FB1"/>
    <w:rsid w:val="00D97033"/>
    <w:rsid w:val="00D9728C"/>
    <w:rsid w:val="00D97550"/>
    <w:rsid w:val="00D97740"/>
    <w:rsid w:val="00D979E4"/>
    <w:rsid w:val="00D979E5"/>
    <w:rsid w:val="00D97C9E"/>
    <w:rsid w:val="00D97C9F"/>
    <w:rsid w:val="00D97E3D"/>
    <w:rsid w:val="00DA01BC"/>
    <w:rsid w:val="00DA01FC"/>
    <w:rsid w:val="00DA034A"/>
    <w:rsid w:val="00DA0368"/>
    <w:rsid w:val="00DA0435"/>
    <w:rsid w:val="00DA04F1"/>
    <w:rsid w:val="00DA08C4"/>
    <w:rsid w:val="00DA0938"/>
    <w:rsid w:val="00DA0971"/>
    <w:rsid w:val="00DA097F"/>
    <w:rsid w:val="00DA09BA"/>
    <w:rsid w:val="00DA0A9C"/>
    <w:rsid w:val="00DA0B0B"/>
    <w:rsid w:val="00DA0DC5"/>
    <w:rsid w:val="00DA0EC4"/>
    <w:rsid w:val="00DA1335"/>
    <w:rsid w:val="00DA1618"/>
    <w:rsid w:val="00DA165A"/>
    <w:rsid w:val="00DA170C"/>
    <w:rsid w:val="00DA177A"/>
    <w:rsid w:val="00DA1A00"/>
    <w:rsid w:val="00DA1C28"/>
    <w:rsid w:val="00DA1C86"/>
    <w:rsid w:val="00DA1E71"/>
    <w:rsid w:val="00DA1FB2"/>
    <w:rsid w:val="00DA1FFD"/>
    <w:rsid w:val="00DA220E"/>
    <w:rsid w:val="00DA2238"/>
    <w:rsid w:val="00DA224C"/>
    <w:rsid w:val="00DA2321"/>
    <w:rsid w:val="00DA23D6"/>
    <w:rsid w:val="00DA2503"/>
    <w:rsid w:val="00DA25A5"/>
    <w:rsid w:val="00DA285E"/>
    <w:rsid w:val="00DA2A14"/>
    <w:rsid w:val="00DA2B12"/>
    <w:rsid w:val="00DA2B2D"/>
    <w:rsid w:val="00DA2D95"/>
    <w:rsid w:val="00DA2FFE"/>
    <w:rsid w:val="00DA3408"/>
    <w:rsid w:val="00DA344D"/>
    <w:rsid w:val="00DA377C"/>
    <w:rsid w:val="00DA39A6"/>
    <w:rsid w:val="00DA39B0"/>
    <w:rsid w:val="00DA39FE"/>
    <w:rsid w:val="00DA3C8F"/>
    <w:rsid w:val="00DA3CAD"/>
    <w:rsid w:val="00DA3ECF"/>
    <w:rsid w:val="00DA4246"/>
    <w:rsid w:val="00DA4488"/>
    <w:rsid w:val="00DA4691"/>
    <w:rsid w:val="00DA4816"/>
    <w:rsid w:val="00DA4A0A"/>
    <w:rsid w:val="00DA4C1C"/>
    <w:rsid w:val="00DA4C48"/>
    <w:rsid w:val="00DA4C67"/>
    <w:rsid w:val="00DA4DD7"/>
    <w:rsid w:val="00DA4E20"/>
    <w:rsid w:val="00DA4EFF"/>
    <w:rsid w:val="00DA4F49"/>
    <w:rsid w:val="00DA516A"/>
    <w:rsid w:val="00DA540A"/>
    <w:rsid w:val="00DA546D"/>
    <w:rsid w:val="00DA54CC"/>
    <w:rsid w:val="00DA5609"/>
    <w:rsid w:val="00DA5709"/>
    <w:rsid w:val="00DA57F2"/>
    <w:rsid w:val="00DA5C3F"/>
    <w:rsid w:val="00DA5C71"/>
    <w:rsid w:val="00DA6213"/>
    <w:rsid w:val="00DA6AEC"/>
    <w:rsid w:val="00DA6B84"/>
    <w:rsid w:val="00DA6BBA"/>
    <w:rsid w:val="00DA6C74"/>
    <w:rsid w:val="00DA7157"/>
    <w:rsid w:val="00DA71A9"/>
    <w:rsid w:val="00DA72EB"/>
    <w:rsid w:val="00DA7A70"/>
    <w:rsid w:val="00DA7A7A"/>
    <w:rsid w:val="00DA7AC5"/>
    <w:rsid w:val="00DA7B6E"/>
    <w:rsid w:val="00DA7BA4"/>
    <w:rsid w:val="00DA7D70"/>
    <w:rsid w:val="00DA7E09"/>
    <w:rsid w:val="00DA7F64"/>
    <w:rsid w:val="00DB002E"/>
    <w:rsid w:val="00DB0232"/>
    <w:rsid w:val="00DB03A2"/>
    <w:rsid w:val="00DB03B5"/>
    <w:rsid w:val="00DB05CF"/>
    <w:rsid w:val="00DB0738"/>
    <w:rsid w:val="00DB0B95"/>
    <w:rsid w:val="00DB0C11"/>
    <w:rsid w:val="00DB0C70"/>
    <w:rsid w:val="00DB0F2C"/>
    <w:rsid w:val="00DB12E0"/>
    <w:rsid w:val="00DB1462"/>
    <w:rsid w:val="00DB19DF"/>
    <w:rsid w:val="00DB1F0F"/>
    <w:rsid w:val="00DB20C4"/>
    <w:rsid w:val="00DB25FB"/>
    <w:rsid w:val="00DB2835"/>
    <w:rsid w:val="00DB28BB"/>
    <w:rsid w:val="00DB2A99"/>
    <w:rsid w:val="00DB2AA1"/>
    <w:rsid w:val="00DB2B96"/>
    <w:rsid w:val="00DB2DD3"/>
    <w:rsid w:val="00DB2E05"/>
    <w:rsid w:val="00DB34EA"/>
    <w:rsid w:val="00DB361C"/>
    <w:rsid w:val="00DB380C"/>
    <w:rsid w:val="00DB3815"/>
    <w:rsid w:val="00DB384B"/>
    <w:rsid w:val="00DB3A82"/>
    <w:rsid w:val="00DB3F39"/>
    <w:rsid w:val="00DB41C2"/>
    <w:rsid w:val="00DB4216"/>
    <w:rsid w:val="00DB46B0"/>
    <w:rsid w:val="00DB4857"/>
    <w:rsid w:val="00DB49A2"/>
    <w:rsid w:val="00DB4A22"/>
    <w:rsid w:val="00DB4A26"/>
    <w:rsid w:val="00DB4C18"/>
    <w:rsid w:val="00DB5137"/>
    <w:rsid w:val="00DB5185"/>
    <w:rsid w:val="00DB518E"/>
    <w:rsid w:val="00DB5260"/>
    <w:rsid w:val="00DB5308"/>
    <w:rsid w:val="00DB544B"/>
    <w:rsid w:val="00DB5848"/>
    <w:rsid w:val="00DB5917"/>
    <w:rsid w:val="00DB5A0A"/>
    <w:rsid w:val="00DB5ADF"/>
    <w:rsid w:val="00DB5B86"/>
    <w:rsid w:val="00DB5E01"/>
    <w:rsid w:val="00DB5EB3"/>
    <w:rsid w:val="00DB60FB"/>
    <w:rsid w:val="00DB6409"/>
    <w:rsid w:val="00DB642C"/>
    <w:rsid w:val="00DB6438"/>
    <w:rsid w:val="00DB6480"/>
    <w:rsid w:val="00DB67A0"/>
    <w:rsid w:val="00DB6B1D"/>
    <w:rsid w:val="00DB6B53"/>
    <w:rsid w:val="00DB6C11"/>
    <w:rsid w:val="00DB7159"/>
    <w:rsid w:val="00DB73C0"/>
    <w:rsid w:val="00DB74A0"/>
    <w:rsid w:val="00DB753A"/>
    <w:rsid w:val="00DB7630"/>
    <w:rsid w:val="00DB763B"/>
    <w:rsid w:val="00DB777B"/>
    <w:rsid w:val="00DB780D"/>
    <w:rsid w:val="00DB7836"/>
    <w:rsid w:val="00DB7897"/>
    <w:rsid w:val="00DB7D3B"/>
    <w:rsid w:val="00DB7D76"/>
    <w:rsid w:val="00DB7D8E"/>
    <w:rsid w:val="00DB7E3E"/>
    <w:rsid w:val="00DC01B6"/>
    <w:rsid w:val="00DC02BC"/>
    <w:rsid w:val="00DC0335"/>
    <w:rsid w:val="00DC086D"/>
    <w:rsid w:val="00DC08E5"/>
    <w:rsid w:val="00DC0C4A"/>
    <w:rsid w:val="00DC0CD5"/>
    <w:rsid w:val="00DC0EED"/>
    <w:rsid w:val="00DC1008"/>
    <w:rsid w:val="00DC10A2"/>
    <w:rsid w:val="00DC1276"/>
    <w:rsid w:val="00DC1825"/>
    <w:rsid w:val="00DC1842"/>
    <w:rsid w:val="00DC18F5"/>
    <w:rsid w:val="00DC1B46"/>
    <w:rsid w:val="00DC1B68"/>
    <w:rsid w:val="00DC1C29"/>
    <w:rsid w:val="00DC1C5E"/>
    <w:rsid w:val="00DC1CCC"/>
    <w:rsid w:val="00DC1E5F"/>
    <w:rsid w:val="00DC1E6C"/>
    <w:rsid w:val="00DC1EF2"/>
    <w:rsid w:val="00DC1F87"/>
    <w:rsid w:val="00DC1FF8"/>
    <w:rsid w:val="00DC216B"/>
    <w:rsid w:val="00DC22EE"/>
    <w:rsid w:val="00DC2317"/>
    <w:rsid w:val="00DC2344"/>
    <w:rsid w:val="00DC240B"/>
    <w:rsid w:val="00DC247D"/>
    <w:rsid w:val="00DC273B"/>
    <w:rsid w:val="00DC289B"/>
    <w:rsid w:val="00DC289E"/>
    <w:rsid w:val="00DC29A5"/>
    <w:rsid w:val="00DC29AC"/>
    <w:rsid w:val="00DC2A89"/>
    <w:rsid w:val="00DC2F54"/>
    <w:rsid w:val="00DC2FEB"/>
    <w:rsid w:val="00DC31FE"/>
    <w:rsid w:val="00DC3245"/>
    <w:rsid w:val="00DC3613"/>
    <w:rsid w:val="00DC37C4"/>
    <w:rsid w:val="00DC391C"/>
    <w:rsid w:val="00DC39DC"/>
    <w:rsid w:val="00DC3C88"/>
    <w:rsid w:val="00DC3D34"/>
    <w:rsid w:val="00DC3D62"/>
    <w:rsid w:val="00DC3D85"/>
    <w:rsid w:val="00DC4036"/>
    <w:rsid w:val="00DC434A"/>
    <w:rsid w:val="00DC463E"/>
    <w:rsid w:val="00DC4981"/>
    <w:rsid w:val="00DC4987"/>
    <w:rsid w:val="00DC4A7E"/>
    <w:rsid w:val="00DC4C2D"/>
    <w:rsid w:val="00DC511F"/>
    <w:rsid w:val="00DC540E"/>
    <w:rsid w:val="00DC552A"/>
    <w:rsid w:val="00DC579D"/>
    <w:rsid w:val="00DC5827"/>
    <w:rsid w:val="00DC5871"/>
    <w:rsid w:val="00DC58D3"/>
    <w:rsid w:val="00DC5AA6"/>
    <w:rsid w:val="00DC5CAF"/>
    <w:rsid w:val="00DC5D52"/>
    <w:rsid w:val="00DC5F28"/>
    <w:rsid w:val="00DC5F5B"/>
    <w:rsid w:val="00DC5F6F"/>
    <w:rsid w:val="00DC5FA2"/>
    <w:rsid w:val="00DC6051"/>
    <w:rsid w:val="00DC622C"/>
    <w:rsid w:val="00DC62ED"/>
    <w:rsid w:val="00DC652B"/>
    <w:rsid w:val="00DC6546"/>
    <w:rsid w:val="00DC666A"/>
    <w:rsid w:val="00DC673F"/>
    <w:rsid w:val="00DC6B33"/>
    <w:rsid w:val="00DC6B57"/>
    <w:rsid w:val="00DC6C17"/>
    <w:rsid w:val="00DC6D5D"/>
    <w:rsid w:val="00DC6DED"/>
    <w:rsid w:val="00DC6EDE"/>
    <w:rsid w:val="00DC6FEB"/>
    <w:rsid w:val="00DC73EC"/>
    <w:rsid w:val="00DC76D0"/>
    <w:rsid w:val="00DC776C"/>
    <w:rsid w:val="00DC7A6A"/>
    <w:rsid w:val="00DC7B0D"/>
    <w:rsid w:val="00DC7CCB"/>
    <w:rsid w:val="00DC7E90"/>
    <w:rsid w:val="00DC7EC9"/>
    <w:rsid w:val="00DD0231"/>
    <w:rsid w:val="00DD0847"/>
    <w:rsid w:val="00DD0B0A"/>
    <w:rsid w:val="00DD0D0D"/>
    <w:rsid w:val="00DD0F23"/>
    <w:rsid w:val="00DD1009"/>
    <w:rsid w:val="00DD10DC"/>
    <w:rsid w:val="00DD118B"/>
    <w:rsid w:val="00DD1219"/>
    <w:rsid w:val="00DD1272"/>
    <w:rsid w:val="00DD1462"/>
    <w:rsid w:val="00DD180A"/>
    <w:rsid w:val="00DD1AEF"/>
    <w:rsid w:val="00DD1FC6"/>
    <w:rsid w:val="00DD20A0"/>
    <w:rsid w:val="00DD2107"/>
    <w:rsid w:val="00DD2236"/>
    <w:rsid w:val="00DD22A0"/>
    <w:rsid w:val="00DD258D"/>
    <w:rsid w:val="00DD25B8"/>
    <w:rsid w:val="00DD278E"/>
    <w:rsid w:val="00DD281E"/>
    <w:rsid w:val="00DD289B"/>
    <w:rsid w:val="00DD28AA"/>
    <w:rsid w:val="00DD2ADD"/>
    <w:rsid w:val="00DD2C5A"/>
    <w:rsid w:val="00DD2EA8"/>
    <w:rsid w:val="00DD3477"/>
    <w:rsid w:val="00DD3485"/>
    <w:rsid w:val="00DD3710"/>
    <w:rsid w:val="00DD389A"/>
    <w:rsid w:val="00DD38F0"/>
    <w:rsid w:val="00DD398A"/>
    <w:rsid w:val="00DD39F4"/>
    <w:rsid w:val="00DD3F51"/>
    <w:rsid w:val="00DD406A"/>
    <w:rsid w:val="00DD4267"/>
    <w:rsid w:val="00DD4739"/>
    <w:rsid w:val="00DD484E"/>
    <w:rsid w:val="00DD4925"/>
    <w:rsid w:val="00DD49C9"/>
    <w:rsid w:val="00DD49D0"/>
    <w:rsid w:val="00DD4A36"/>
    <w:rsid w:val="00DD4AC9"/>
    <w:rsid w:val="00DD4B20"/>
    <w:rsid w:val="00DD4DA8"/>
    <w:rsid w:val="00DD4DE4"/>
    <w:rsid w:val="00DD4EEF"/>
    <w:rsid w:val="00DD5102"/>
    <w:rsid w:val="00DD5116"/>
    <w:rsid w:val="00DD518E"/>
    <w:rsid w:val="00DD5482"/>
    <w:rsid w:val="00DD55C8"/>
    <w:rsid w:val="00DD56F5"/>
    <w:rsid w:val="00DD591B"/>
    <w:rsid w:val="00DD5AFA"/>
    <w:rsid w:val="00DD5CF0"/>
    <w:rsid w:val="00DD5D02"/>
    <w:rsid w:val="00DD62BF"/>
    <w:rsid w:val="00DD635A"/>
    <w:rsid w:val="00DD6554"/>
    <w:rsid w:val="00DD671D"/>
    <w:rsid w:val="00DD7059"/>
    <w:rsid w:val="00DD7366"/>
    <w:rsid w:val="00DD745E"/>
    <w:rsid w:val="00DD74A3"/>
    <w:rsid w:val="00DD77F2"/>
    <w:rsid w:val="00DD7836"/>
    <w:rsid w:val="00DD7E00"/>
    <w:rsid w:val="00DD7ECD"/>
    <w:rsid w:val="00DD7F28"/>
    <w:rsid w:val="00DE04FE"/>
    <w:rsid w:val="00DE06EE"/>
    <w:rsid w:val="00DE0941"/>
    <w:rsid w:val="00DE0F47"/>
    <w:rsid w:val="00DE0FA1"/>
    <w:rsid w:val="00DE12A5"/>
    <w:rsid w:val="00DE1309"/>
    <w:rsid w:val="00DE1475"/>
    <w:rsid w:val="00DE14CE"/>
    <w:rsid w:val="00DE1522"/>
    <w:rsid w:val="00DE162E"/>
    <w:rsid w:val="00DE1677"/>
    <w:rsid w:val="00DE1AC9"/>
    <w:rsid w:val="00DE1D76"/>
    <w:rsid w:val="00DE21D0"/>
    <w:rsid w:val="00DE26D2"/>
    <w:rsid w:val="00DE2775"/>
    <w:rsid w:val="00DE27C9"/>
    <w:rsid w:val="00DE28C6"/>
    <w:rsid w:val="00DE290D"/>
    <w:rsid w:val="00DE2E54"/>
    <w:rsid w:val="00DE308D"/>
    <w:rsid w:val="00DE318D"/>
    <w:rsid w:val="00DE345F"/>
    <w:rsid w:val="00DE35A4"/>
    <w:rsid w:val="00DE37AC"/>
    <w:rsid w:val="00DE3819"/>
    <w:rsid w:val="00DE3B8C"/>
    <w:rsid w:val="00DE3CBA"/>
    <w:rsid w:val="00DE3D39"/>
    <w:rsid w:val="00DE3E22"/>
    <w:rsid w:val="00DE3F0C"/>
    <w:rsid w:val="00DE43EE"/>
    <w:rsid w:val="00DE4475"/>
    <w:rsid w:val="00DE46CF"/>
    <w:rsid w:val="00DE498F"/>
    <w:rsid w:val="00DE4B15"/>
    <w:rsid w:val="00DE4C2E"/>
    <w:rsid w:val="00DE4CB6"/>
    <w:rsid w:val="00DE4DF5"/>
    <w:rsid w:val="00DE4E80"/>
    <w:rsid w:val="00DE5208"/>
    <w:rsid w:val="00DE5226"/>
    <w:rsid w:val="00DE52A3"/>
    <w:rsid w:val="00DE533D"/>
    <w:rsid w:val="00DE5390"/>
    <w:rsid w:val="00DE53B8"/>
    <w:rsid w:val="00DE53D4"/>
    <w:rsid w:val="00DE5457"/>
    <w:rsid w:val="00DE5927"/>
    <w:rsid w:val="00DE5ABE"/>
    <w:rsid w:val="00DE5B4C"/>
    <w:rsid w:val="00DE5B65"/>
    <w:rsid w:val="00DE5E73"/>
    <w:rsid w:val="00DE5F19"/>
    <w:rsid w:val="00DE6163"/>
    <w:rsid w:val="00DE6220"/>
    <w:rsid w:val="00DE660F"/>
    <w:rsid w:val="00DE68B3"/>
    <w:rsid w:val="00DE68F4"/>
    <w:rsid w:val="00DE6A80"/>
    <w:rsid w:val="00DE6AD2"/>
    <w:rsid w:val="00DE6CDF"/>
    <w:rsid w:val="00DE6DDA"/>
    <w:rsid w:val="00DE6EC8"/>
    <w:rsid w:val="00DE6FB6"/>
    <w:rsid w:val="00DE7248"/>
    <w:rsid w:val="00DE747C"/>
    <w:rsid w:val="00DE748A"/>
    <w:rsid w:val="00DE7858"/>
    <w:rsid w:val="00DE7A46"/>
    <w:rsid w:val="00DE7E24"/>
    <w:rsid w:val="00DE7E87"/>
    <w:rsid w:val="00DF00AD"/>
    <w:rsid w:val="00DF02C9"/>
    <w:rsid w:val="00DF0782"/>
    <w:rsid w:val="00DF0A65"/>
    <w:rsid w:val="00DF0C92"/>
    <w:rsid w:val="00DF0CDA"/>
    <w:rsid w:val="00DF0D17"/>
    <w:rsid w:val="00DF0E83"/>
    <w:rsid w:val="00DF0F4A"/>
    <w:rsid w:val="00DF12AC"/>
    <w:rsid w:val="00DF1302"/>
    <w:rsid w:val="00DF1464"/>
    <w:rsid w:val="00DF16E3"/>
    <w:rsid w:val="00DF1795"/>
    <w:rsid w:val="00DF17B2"/>
    <w:rsid w:val="00DF17D2"/>
    <w:rsid w:val="00DF19D4"/>
    <w:rsid w:val="00DF1DEE"/>
    <w:rsid w:val="00DF1E15"/>
    <w:rsid w:val="00DF1EE2"/>
    <w:rsid w:val="00DF1F65"/>
    <w:rsid w:val="00DF209E"/>
    <w:rsid w:val="00DF2143"/>
    <w:rsid w:val="00DF238C"/>
    <w:rsid w:val="00DF2450"/>
    <w:rsid w:val="00DF24F3"/>
    <w:rsid w:val="00DF26EC"/>
    <w:rsid w:val="00DF275F"/>
    <w:rsid w:val="00DF2A6B"/>
    <w:rsid w:val="00DF2E05"/>
    <w:rsid w:val="00DF2E9A"/>
    <w:rsid w:val="00DF30B3"/>
    <w:rsid w:val="00DF32F2"/>
    <w:rsid w:val="00DF330C"/>
    <w:rsid w:val="00DF3338"/>
    <w:rsid w:val="00DF3823"/>
    <w:rsid w:val="00DF3A03"/>
    <w:rsid w:val="00DF3A1B"/>
    <w:rsid w:val="00DF3AA9"/>
    <w:rsid w:val="00DF4114"/>
    <w:rsid w:val="00DF41E2"/>
    <w:rsid w:val="00DF4491"/>
    <w:rsid w:val="00DF4542"/>
    <w:rsid w:val="00DF4777"/>
    <w:rsid w:val="00DF487A"/>
    <w:rsid w:val="00DF4938"/>
    <w:rsid w:val="00DF4C98"/>
    <w:rsid w:val="00DF4D75"/>
    <w:rsid w:val="00DF4F63"/>
    <w:rsid w:val="00DF5177"/>
    <w:rsid w:val="00DF52DA"/>
    <w:rsid w:val="00DF56D6"/>
    <w:rsid w:val="00DF58CF"/>
    <w:rsid w:val="00DF599B"/>
    <w:rsid w:val="00DF5A8D"/>
    <w:rsid w:val="00DF5AB2"/>
    <w:rsid w:val="00DF5C7E"/>
    <w:rsid w:val="00DF5FDE"/>
    <w:rsid w:val="00DF628B"/>
    <w:rsid w:val="00DF6332"/>
    <w:rsid w:val="00DF65CD"/>
    <w:rsid w:val="00DF6704"/>
    <w:rsid w:val="00DF684C"/>
    <w:rsid w:val="00DF6B3A"/>
    <w:rsid w:val="00DF701D"/>
    <w:rsid w:val="00DF740D"/>
    <w:rsid w:val="00DF742C"/>
    <w:rsid w:val="00DF7758"/>
    <w:rsid w:val="00DF7939"/>
    <w:rsid w:val="00DF7E3B"/>
    <w:rsid w:val="00E0016B"/>
    <w:rsid w:val="00E001EE"/>
    <w:rsid w:val="00E0028B"/>
    <w:rsid w:val="00E00704"/>
    <w:rsid w:val="00E007FD"/>
    <w:rsid w:val="00E0084B"/>
    <w:rsid w:val="00E008AB"/>
    <w:rsid w:val="00E00BA3"/>
    <w:rsid w:val="00E00C30"/>
    <w:rsid w:val="00E00D0C"/>
    <w:rsid w:val="00E00D29"/>
    <w:rsid w:val="00E00E8C"/>
    <w:rsid w:val="00E00F4E"/>
    <w:rsid w:val="00E00FA9"/>
    <w:rsid w:val="00E010E1"/>
    <w:rsid w:val="00E0128A"/>
    <w:rsid w:val="00E014B5"/>
    <w:rsid w:val="00E01617"/>
    <w:rsid w:val="00E018C3"/>
    <w:rsid w:val="00E01987"/>
    <w:rsid w:val="00E019D4"/>
    <w:rsid w:val="00E01B40"/>
    <w:rsid w:val="00E01CFB"/>
    <w:rsid w:val="00E01D5D"/>
    <w:rsid w:val="00E01DE0"/>
    <w:rsid w:val="00E02050"/>
    <w:rsid w:val="00E02308"/>
    <w:rsid w:val="00E023EE"/>
    <w:rsid w:val="00E025AB"/>
    <w:rsid w:val="00E02716"/>
    <w:rsid w:val="00E027C0"/>
    <w:rsid w:val="00E02851"/>
    <w:rsid w:val="00E02B9F"/>
    <w:rsid w:val="00E02DFA"/>
    <w:rsid w:val="00E02E96"/>
    <w:rsid w:val="00E02F95"/>
    <w:rsid w:val="00E030D2"/>
    <w:rsid w:val="00E033A0"/>
    <w:rsid w:val="00E0345A"/>
    <w:rsid w:val="00E034ED"/>
    <w:rsid w:val="00E0361E"/>
    <w:rsid w:val="00E03806"/>
    <w:rsid w:val="00E0386A"/>
    <w:rsid w:val="00E03A4D"/>
    <w:rsid w:val="00E03BC1"/>
    <w:rsid w:val="00E03C1F"/>
    <w:rsid w:val="00E03C56"/>
    <w:rsid w:val="00E04670"/>
    <w:rsid w:val="00E047A2"/>
    <w:rsid w:val="00E04A7A"/>
    <w:rsid w:val="00E04C8E"/>
    <w:rsid w:val="00E04CB6"/>
    <w:rsid w:val="00E05308"/>
    <w:rsid w:val="00E056B6"/>
    <w:rsid w:val="00E05A70"/>
    <w:rsid w:val="00E05AF7"/>
    <w:rsid w:val="00E05B03"/>
    <w:rsid w:val="00E05C64"/>
    <w:rsid w:val="00E05C75"/>
    <w:rsid w:val="00E06035"/>
    <w:rsid w:val="00E06419"/>
    <w:rsid w:val="00E0685B"/>
    <w:rsid w:val="00E06A0F"/>
    <w:rsid w:val="00E06A6C"/>
    <w:rsid w:val="00E06BAE"/>
    <w:rsid w:val="00E06DF1"/>
    <w:rsid w:val="00E06E4D"/>
    <w:rsid w:val="00E07759"/>
    <w:rsid w:val="00E07A0A"/>
    <w:rsid w:val="00E07A63"/>
    <w:rsid w:val="00E07B96"/>
    <w:rsid w:val="00E07FFB"/>
    <w:rsid w:val="00E1000E"/>
    <w:rsid w:val="00E1003A"/>
    <w:rsid w:val="00E10557"/>
    <w:rsid w:val="00E10881"/>
    <w:rsid w:val="00E10A46"/>
    <w:rsid w:val="00E10AC0"/>
    <w:rsid w:val="00E10B18"/>
    <w:rsid w:val="00E10BA2"/>
    <w:rsid w:val="00E10C73"/>
    <w:rsid w:val="00E10E2B"/>
    <w:rsid w:val="00E10F63"/>
    <w:rsid w:val="00E10F80"/>
    <w:rsid w:val="00E1103F"/>
    <w:rsid w:val="00E11119"/>
    <w:rsid w:val="00E116A6"/>
    <w:rsid w:val="00E1183B"/>
    <w:rsid w:val="00E119A0"/>
    <w:rsid w:val="00E11A84"/>
    <w:rsid w:val="00E11F62"/>
    <w:rsid w:val="00E11FAC"/>
    <w:rsid w:val="00E12088"/>
    <w:rsid w:val="00E120A0"/>
    <w:rsid w:val="00E12276"/>
    <w:rsid w:val="00E123DE"/>
    <w:rsid w:val="00E12433"/>
    <w:rsid w:val="00E127A6"/>
    <w:rsid w:val="00E12A70"/>
    <w:rsid w:val="00E12CA2"/>
    <w:rsid w:val="00E12DA7"/>
    <w:rsid w:val="00E12F21"/>
    <w:rsid w:val="00E12F31"/>
    <w:rsid w:val="00E12FEB"/>
    <w:rsid w:val="00E13325"/>
    <w:rsid w:val="00E1351D"/>
    <w:rsid w:val="00E1354C"/>
    <w:rsid w:val="00E13564"/>
    <w:rsid w:val="00E13622"/>
    <w:rsid w:val="00E13649"/>
    <w:rsid w:val="00E1367D"/>
    <w:rsid w:val="00E13887"/>
    <w:rsid w:val="00E13952"/>
    <w:rsid w:val="00E139E6"/>
    <w:rsid w:val="00E13B53"/>
    <w:rsid w:val="00E13C34"/>
    <w:rsid w:val="00E13D5B"/>
    <w:rsid w:val="00E13E86"/>
    <w:rsid w:val="00E13F37"/>
    <w:rsid w:val="00E13F8C"/>
    <w:rsid w:val="00E140EF"/>
    <w:rsid w:val="00E1419B"/>
    <w:rsid w:val="00E142B4"/>
    <w:rsid w:val="00E142B6"/>
    <w:rsid w:val="00E14663"/>
    <w:rsid w:val="00E146EC"/>
    <w:rsid w:val="00E1496D"/>
    <w:rsid w:val="00E14A68"/>
    <w:rsid w:val="00E14ACC"/>
    <w:rsid w:val="00E14D7F"/>
    <w:rsid w:val="00E15110"/>
    <w:rsid w:val="00E15191"/>
    <w:rsid w:val="00E15370"/>
    <w:rsid w:val="00E153E3"/>
    <w:rsid w:val="00E15467"/>
    <w:rsid w:val="00E15629"/>
    <w:rsid w:val="00E156D4"/>
    <w:rsid w:val="00E157FD"/>
    <w:rsid w:val="00E15ACD"/>
    <w:rsid w:val="00E15CD1"/>
    <w:rsid w:val="00E15CE2"/>
    <w:rsid w:val="00E15DAF"/>
    <w:rsid w:val="00E1615E"/>
    <w:rsid w:val="00E16182"/>
    <w:rsid w:val="00E16321"/>
    <w:rsid w:val="00E166BE"/>
    <w:rsid w:val="00E166F4"/>
    <w:rsid w:val="00E1686B"/>
    <w:rsid w:val="00E16FF4"/>
    <w:rsid w:val="00E171F5"/>
    <w:rsid w:val="00E17204"/>
    <w:rsid w:val="00E17678"/>
    <w:rsid w:val="00E17B21"/>
    <w:rsid w:val="00E17C31"/>
    <w:rsid w:val="00E17FB7"/>
    <w:rsid w:val="00E2041A"/>
    <w:rsid w:val="00E204CD"/>
    <w:rsid w:val="00E204DB"/>
    <w:rsid w:val="00E2060D"/>
    <w:rsid w:val="00E207E8"/>
    <w:rsid w:val="00E2090E"/>
    <w:rsid w:val="00E20AAC"/>
    <w:rsid w:val="00E20F9C"/>
    <w:rsid w:val="00E210EF"/>
    <w:rsid w:val="00E21163"/>
    <w:rsid w:val="00E213E6"/>
    <w:rsid w:val="00E21511"/>
    <w:rsid w:val="00E215AF"/>
    <w:rsid w:val="00E215E3"/>
    <w:rsid w:val="00E21754"/>
    <w:rsid w:val="00E21AA2"/>
    <w:rsid w:val="00E21EA6"/>
    <w:rsid w:val="00E22152"/>
    <w:rsid w:val="00E224AF"/>
    <w:rsid w:val="00E226F1"/>
    <w:rsid w:val="00E2276B"/>
    <w:rsid w:val="00E228B4"/>
    <w:rsid w:val="00E22CD6"/>
    <w:rsid w:val="00E232A9"/>
    <w:rsid w:val="00E2332A"/>
    <w:rsid w:val="00E23340"/>
    <w:rsid w:val="00E23737"/>
    <w:rsid w:val="00E23864"/>
    <w:rsid w:val="00E238A6"/>
    <w:rsid w:val="00E238B8"/>
    <w:rsid w:val="00E23941"/>
    <w:rsid w:val="00E23969"/>
    <w:rsid w:val="00E23BA8"/>
    <w:rsid w:val="00E23C54"/>
    <w:rsid w:val="00E23CD0"/>
    <w:rsid w:val="00E23DDC"/>
    <w:rsid w:val="00E23F65"/>
    <w:rsid w:val="00E2408F"/>
    <w:rsid w:val="00E2428D"/>
    <w:rsid w:val="00E242CC"/>
    <w:rsid w:val="00E245B9"/>
    <w:rsid w:val="00E24BA2"/>
    <w:rsid w:val="00E24BA8"/>
    <w:rsid w:val="00E24C82"/>
    <w:rsid w:val="00E24F63"/>
    <w:rsid w:val="00E24F85"/>
    <w:rsid w:val="00E24FFA"/>
    <w:rsid w:val="00E25022"/>
    <w:rsid w:val="00E2502C"/>
    <w:rsid w:val="00E2510D"/>
    <w:rsid w:val="00E25145"/>
    <w:rsid w:val="00E25345"/>
    <w:rsid w:val="00E2575E"/>
    <w:rsid w:val="00E2583A"/>
    <w:rsid w:val="00E258A7"/>
    <w:rsid w:val="00E25BFC"/>
    <w:rsid w:val="00E25EDF"/>
    <w:rsid w:val="00E260A6"/>
    <w:rsid w:val="00E26114"/>
    <w:rsid w:val="00E263E0"/>
    <w:rsid w:val="00E2649A"/>
    <w:rsid w:val="00E264DC"/>
    <w:rsid w:val="00E264F9"/>
    <w:rsid w:val="00E265D4"/>
    <w:rsid w:val="00E26657"/>
    <w:rsid w:val="00E2684A"/>
    <w:rsid w:val="00E268C6"/>
    <w:rsid w:val="00E268F2"/>
    <w:rsid w:val="00E26A34"/>
    <w:rsid w:val="00E26A7A"/>
    <w:rsid w:val="00E26AE7"/>
    <w:rsid w:val="00E26B07"/>
    <w:rsid w:val="00E26DC5"/>
    <w:rsid w:val="00E26E02"/>
    <w:rsid w:val="00E26EC9"/>
    <w:rsid w:val="00E26EF7"/>
    <w:rsid w:val="00E26F41"/>
    <w:rsid w:val="00E26F93"/>
    <w:rsid w:val="00E27406"/>
    <w:rsid w:val="00E27500"/>
    <w:rsid w:val="00E275D6"/>
    <w:rsid w:val="00E27696"/>
    <w:rsid w:val="00E27AC0"/>
    <w:rsid w:val="00E27B04"/>
    <w:rsid w:val="00E27B1C"/>
    <w:rsid w:val="00E30124"/>
    <w:rsid w:val="00E302AF"/>
    <w:rsid w:val="00E302DB"/>
    <w:rsid w:val="00E30836"/>
    <w:rsid w:val="00E3090F"/>
    <w:rsid w:val="00E30999"/>
    <w:rsid w:val="00E30A2D"/>
    <w:rsid w:val="00E30A56"/>
    <w:rsid w:val="00E30CC6"/>
    <w:rsid w:val="00E30D03"/>
    <w:rsid w:val="00E311F2"/>
    <w:rsid w:val="00E31307"/>
    <w:rsid w:val="00E31428"/>
    <w:rsid w:val="00E3157C"/>
    <w:rsid w:val="00E317BC"/>
    <w:rsid w:val="00E31881"/>
    <w:rsid w:val="00E318AF"/>
    <w:rsid w:val="00E31917"/>
    <w:rsid w:val="00E319D4"/>
    <w:rsid w:val="00E31A6C"/>
    <w:rsid w:val="00E31B59"/>
    <w:rsid w:val="00E31EDC"/>
    <w:rsid w:val="00E31F77"/>
    <w:rsid w:val="00E31FB4"/>
    <w:rsid w:val="00E320DF"/>
    <w:rsid w:val="00E321F8"/>
    <w:rsid w:val="00E328B0"/>
    <w:rsid w:val="00E328C8"/>
    <w:rsid w:val="00E328CF"/>
    <w:rsid w:val="00E32984"/>
    <w:rsid w:val="00E329DD"/>
    <w:rsid w:val="00E32A1D"/>
    <w:rsid w:val="00E32B84"/>
    <w:rsid w:val="00E32C21"/>
    <w:rsid w:val="00E32D1A"/>
    <w:rsid w:val="00E32E02"/>
    <w:rsid w:val="00E32FAA"/>
    <w:rsid w:val="00E32FC8"/>
    <w:rsid w:val="00E32FEA"/>
    <w:rsid w:val="00E330D6"/>
    <w:rsid w:val="00E33107"/>
    <w:rsid w:val="00E33176"/>
    <w:rsid w:val="00E331AB"/>
    <w:rsid w:val="00E332B5"/>
    <w:rsid w:val="00E3335A"/>
    <w:rsid w:val="00E33395"/>
    <w:rsid w:val="00E33529"/>
    <w:rsid w:val="00E33B69"/>
    <w:rsid w:val="00E33C4B"/>
    <w:rsid w:val="00E33CED"/>
    <w:rsid w:val="00E33D07"/>
    <w:rsid w:val="00E33E5C"/>
    <w:rsid w:val="00E3400D"/>
    <w:rsid w:val="00E343B6"/>
    <w:rsid w:val="00E3451D"/>
    <w:rsid w:val="00E34574"/>
    <w:rsid w:val="00E347F1"/>
    <w:rsid w:val="00E34864"/>
    <w:rsid w:val="00E34C7E"/>
    <w:rsid w:val="00E34E09"/>
    <w:rsid w:val="00E35062"/>
    <w:rsid w:val="00E353C8"/>
    <w:rsid w:val="00E353F0"/>
    <w:rsid w:val="00E35563"/>
    <w:rsid w:val="00E35DD3"/>
    <w:rsid w:val="00E35F98"/>
    <w:rsid w:val="00E35FBB"/>
    <w:rsid w:val="00E360F9"/>
    <w:rsid w:val="00E3644F"/>
    <w:rsid w:val="00E365DE"/>
    <w:rsid w:val="00E3702C"/>
    <w:rsid w:val="00E37070"/>
    <w:rsid w:val="00E370FC"/>
    <w:rsid w:val="00E37368"/>
    <w:rsid w:val="00E373A2"/>
    <w:rsid w:val="00E3755D"/>
    <w:rsid w:val="00E37566"/>
    <w:rsid w:val="00E376D0"/>
    <w:rsid w:val="00E379B9"/>
    <w:rsid w:val="00E37BC1"/>
    <w:rsid w:val="00E37CD7"/>
    <w:rsid w:val="00E40143"/>
    <w:rsid w:val="00E4027F"/>
    <w:rsid w:val="00E40458"/>
    <w:rsid w:val="00E404AA"/>
    <w:rsid w:val="00E405C6"/>
    <w:rsid w:val="00E4062E"/>
    <w:rsid w:val="00E40670"/>
    <w:rsid w:val="00E4088A"/>
    <w:rsid w:val="00E40A70"/>
    <w:rsid w:val="00E40B61"/>
    <w:rsid w:val="00E40C38"/>
    <w:rsid w:val="00E40C9C"/>
    <w:rsid w:val="00E40DE6"/>
    <w:rsid w:val="00E410CA"/>
    <w:rsid w:val="00E41126"/>
    <w:rsid w:val="00E41287"/>
    <w:rsid w:val="00E41569"/>
    <w:rsid w:val="00E41635"/>
    <w:rsid w:val="00E4198A"/>
    <w:rsid w:val="00E41DB8"/>
    <w:rsid w:val="00E41E8D"/>
    <w:rsid w:val="00E42083"/>
    <w:rsid w:val="00E4224F"/>
    <w:rsid w:val="00E429AC"/>
    <w:rsid w:val="00E42B7C"/>
    <w:rsid w:val="00E42FEA"/>
    <w:rsid w:val="00E43028"/>
    <w:rsid w:val="00E4302C"/>
    <w:rsid w:val="00E4324F"/>
    <w:rsid w:val="00E43299"/>
    <w:rsid w:val="00E4337B"/>
    <w:rsid w:val="00E434F7"/>
    <w:rsid w:val="00E43784"/>
    <w:rsid w:val="00E437A4"/>
    <w:rsid w:val="00E438E5"/>
    <w:rsid w:val="00E43A4A"/>
    <w:rsid w:val="00E43E8D"/>
    <w:rsid w:val="00E43E97"/>
    <w:rsid w:val="00E43EAF"/>
    <w:rsid w:val="00E43ED7"/>
    <w:rsid w:val="00E43F45"/>
    <w:rsid w:val="00E4415A"/>
    <w:rsid w:val="00E44195"/>
    <w:rsid w:val="00E443C2"/>
    <w:rsid w:val="00E4454D"/>
    <w:rsid w:val="00E445F4"/>
    <w:rsid w:val="00E44855"/>
    <w:rsid w:val="00E449E0"/>
    <w:rsid w:val="00E45068"/>
    <w:rsid w:val="00E45287"/>
    <w:rsid w:val="00E452B9"/>
    <w:rsid w:val="00E4548D"/>
    <w:rsid w:val="00E45AA2"/>
    <w:rsid w:val="00E45D0B"/>
    <w:rsid w:val="00E45EA4"/>
    <w:rsid w:val="00E45F21"/>
    <w:rsid w:val="00E45FCF"/>
    <w:rsid w:val="00E46160"/>
    <w:rsid w:val="00E46172"/>
    <w:rsid w:val="00E46637"/>
    <w:rsid w:val="00E466D7"/>
    <w:rsid w:val="00E46C1B"/>
    <w:rsid w:val="00E46F75"/>
    <w:rsid w:val="00E4773F"/>
    <w:rsid w:val="00E47950"/>
    <w:rsid w:val="00E47C38"/>
    <w:rsid w:val="00E47EA2"/>
    <w:rsid w:val="00E50233"/>
    <w:rsid w:val="00E502E8"/>
    <w:rsid w:val="00E50417"/>
    <w:rsid w:val="00E5048D"/>
    <w:rsid w:val="00E504D4"/>
    <w:rsid w:val="00E5059D"/>
    <w:rsid w:val="00E50842"/>
    <w:rsid w:val="00E508C7"/>
    <w:rsid w:val="00E50A7F"/>
    <w:rsid w:val="00E50AA7"/>
    <w:rsid w:val="00E510BA"/>
    <w:rsid w:val="00E51148"/>
    <w:rsid w:val="00E511D3"/>
    <w:rsid w:val="00E51298"/>
    <w:rsid w:val="00E5145A"/>
    <w:rsid w:val="00E5169D"/>
    <w:rsid w:val="00E5183A"/>
    <w:rsid w:val="00E5184C"/>
    <w:rsid w:val="00E51A19"/>
    <w:rsid w:val="00E51B1B"/>
    <w:rsid w:val="00E51BF2"/>
    <w:rsid w:val="00E51C72"/>
    <w:rsid w:val="00E51F55"/>
    <w:rsid w:val="00E525F2"/>
    <w:rsid w:val="00E527F2"/>
    <w:rsid w:val="00E52817"/>
    <w:rsid w:val="00E531BB"/>
    <w:rsid w:val="00E53261"/>
    <w:rsid w:val="00E5328C"/>
    <w:rsid w:val="00E5354E"/>
    <w:rsid w:val="00E53836"/>
    <w:rsid w:val="00E53B47"/>
    <w:rsid w:val="00E53D19"/>
    <w:rsid w:val="00E540B5"/>
    <w:rsid w:val="00E5410F"/>
    <w:rsid w:val="00E5424E"/>
    <w:rsid w:val="00E54279"/>
    <w:rsid w:val="00E54587"/>
    <w:rsid w:val="00E548CE"/>
    <w:rsid w:val="00E54D4F"/>
    <w:rsid w:val="00E54DBF"/>
    <w:rsid w:val="00E54DC2"/>
    <w:rsid w:val="00E54EB8"/>
    <w:rsid w:val="00E55077"/>
    <w:rsid w:val="00E55394"/>
    <w:rsid w:val="00E55553"/>
    <w:rsid w:val="00E55627"/>
    <w:rsid w:val="00E55735"/>
    <w:rsid w:val="00E55A0E"/>
    <w:rsid w:val="00E55CE0"/>
    <w:rsid w:val="00E55D51"/>
    <w:rsid w:val="00E55ED6"/>
    <w:rsid w:val="00E5618F"/>
    <w:rsid w:val="00E561DB"/>
    <w:rsid w:val="00E56342"/>
    <w:rsid w:val="00E5639E"/>
    <w:rsid w:val="00E563F8"/>
    <w:rsid w:val="00E56470"/>
    <w:rsid w:val="00E5652E"/>
    <w:rsid w:val="00E56C9C"/>
    <w:rsid w:val="00E56F09"/>
    <w:rsid w:val="00E57542"/>
    <w:rsid w:val="00E575C1"/>
    <w:rsid w:val="00E579EB"/>
    <w:rsid w:val="00E579FD"/>
    <w:rsid w:val="00E57C21"/>
    <w:rsid w:val="00E57D2C"/>
    <w:rsid w:val="00E60108"/>
    <w:rsid w:val="00E60137"/>
    <w:rsid w:val="00E601ED"/>
    <w:rsid w:val="00E6026B"/>
    <w:rsid w:val="00E60467"/>
    <w:rsid w:val="00E604D0"/>
    <w:rsid w:val="00E604D2"/>
    <w:rsid w:val="00E605C2"/>
    <w:rsid w:val="00E60611"/>
    <w:rsid w:val="00E607B5"/>
    <w:rsid w:val="00E60B1E"/>
    <w:rsid w:val="00E60B3D"/>
    <w:rsid w:val="00E60F21"/>
    <w:rsid w:val="00E61135"/>
    <w:rsid w:val="00E61215"/>
    <w:rsid w:val="00E61BA4"/>
    <w:rsid w:val="00E61CA7"/>
    <w:rsid w:val="00E62004"/>
    <w:rsid w:val="00E62289"/>
    <w:rsid w:val="00E62414"/>
    <w:rsid w:val="00E62490"/>
    <w:rsid w:val="00E62523"/>
    <w:rsid w:val="00E62543"/>
    <w:rsid w:val="00E62683"/>
    <w:rsid w:val="00E62828"/>
    <w:rsid w:val="00E62A43"/>
    <w:rsid w:val="00E62C23"/>
    <w:rsid w:val="00E62CAF"/>
    <w:rsid w:val="00E62CF5"/>
    <w:rsid w:val="00E62D68"/>
    <w:rsid w:val="00E62DC3"/>
    <w:rsid w:val="00E630B6"/>
    <w:rsid w:val="00E6357D"/>
    <w:rsid w:val="00E637C9"/>
    <w:rsid w:val="00E63968"/>
    <w:rsid w:val="00E63B28"/>
    <w:rsid w:val="00E63CE6"/>
    <w:rsid w:val="00E63D6E"/>
    <w:rsid w:val="00E63F34"/>
    <w:rsid w:val="00E64277"/>
    <w:rsid w:val="00E6452C"/>
    <w:rsid w:val="00E645A5"/>
    <w:rsid w:val="00E646BD"/>
    <w:rsid w:val="00E6489B"/>
    <w:rsid w:val="00E6492C"/>
    <w:rsid w:val="00E649A5"/>
    <w:rsid w:val="00E64A19"/>
    <w:rsid w:val="00E64B2D"/>
    <w:rsid w:val="00E64B93"/>
    <w:rsid w:val="00E64EA5"/>
    <w:rsid w:val="00E650A2"/>
    <w:rsid w:val="00E653D9"/>
    <w:rsid w:val="00E65421"/>
    <w:rsid w:val="00E6547F"/>
    <w:rsid w:val="00E65551"/>
    <w:rsid w:val="00E656B4"/>
    <w:rsid w:val="00E659A6"/>
    <w:rsid w:val="00E65A8D"/>
    <w:rsid w:val="00E65AD5"/>
    <w:rsid w:val="00E65AE4"/>
    <w:rsid w:val="00E65B1C"/>
    <w:rsid w:val="00E65F88"/>
    <w:rsid w:val="00E6602D"/>
    <w:rsid w:val="00E66125"/>
    <w:rsid w:val="00E66147"/>
    <w:rsid w:val="00E66378"/>
    <w:rsid w:val="00E6643A"/>
    <w:rsid w:val="00E66751"/>
    <w:rsid w:val="00E667B2"/>
    <w:rsid w:val="00E668D9"/>
    <w:rsid w:val="00E669C3"/>
    <w:rsid w:val="00E669FE"/>
    <w:rsid w:val="00E66A34"/>
    <w:rsid w:val="00E66A44"/>
    <w:rsid w:val="00E66A48"/>
    <w:rsid w:val="00E66B75"/>
    <w:rsid w:val="00E66D7D"/>
    <w:rsid w:val="00E66FCF"/>
    <w:rsid w:val="00E67060"/>
    <w:rsid w:val="00E67116"/>
    <w:rsid w:val="00E67265"/>
    <w:rsid w:val="00E67377"/>
    <w:rsid w:val="00E67560"/>
    <w:rsid w:val="00E677D6"/>
    <w:rsid w:val="00E67817"/>
    <w:rsid w:val="00E67B1D"/>
    <w:rsid w:val="00E67F2D"/>
    <w:rsid w:val="00E67F30"/>
    <w:rsid w:val="00E67FF5"/>
    <w:rsid w:val="00E7030F"/>
    <w:rsid w:val="00E7036B"/>
    <w:rsid w:val="00E705A3"/>
    <w:rsid w:val="00E7068B"/>
    <w:rsid w:val="00E706C5"/>
    <w:rsid w:val="00E70795"/>
    <w:rsid w:val="00E708B0"/>
    <w:rsid w:val="00E708C6"/>
    <w:rsid w:val="00E70A11"/>
    <w:rsid w:val="00E70CA5"/>
    <w:rsid w:val="00E70D1D"/>
    <w:rsid w:val="00E70DA8"/>
    <w:rsid w:val="00E70E04"/>
    <w:rsid w:val="00E70E3E"/>
    <w:rsid w:val="00E71454"/>
    <w:rsid w:val="00E7169E"/>
    <w:rsid w:val="00E719C7"/>
    <w:rsid w:val="00E71ACB"/>
    <w:rsid w:val="00E71B87"/>
    <w:rsid w:val="00E71BF9"/>
    <w:rsid w:val="00E71E5F"/>
    <w:rsid w:val="00E71F9D"/>
    <w:rsid w:val="00E72462"/>
    <w:rsid w:val="00E72B82"/>
    <w:rsid w:val="00E72CB1"/>
    <w:rsid w:val="00E72E77"/>
    <w:rsid w:val="00E72EE2"/>
    <w:rsid w:val="00E73022"/>
    <w:rsid w:val="00E731F4"/>
    <w:rsid w:val="00E73496"/>
    <w:rsid w:val="00E7366E"/>
    <w:rsid w:val="00E736AF"/>
    <w:rsid w:val="00E7386E"/>
    <w:rsid w:val="00E73998"/>
    <w:rsid w:val="00E73B9D"/>
    <w:rsid w:val="00E73D56"/>
    <w:rsid w:val="00E73F73"/>
    <w:rsid w:val="00E74086"/>
    <w:rsid w:val="00E740F6"/>
    <w:rsid w:val="00E74225"/>
    <w:rsid w:val="00E74378"/>
    <w:rsid w:val="00E743E2"/>
    <w:rsid w:val="00E74483"/>
    <w:rsid w:val="00E747F9"/>
    <w:rsid w:val="00E74860"/>
    <w:rsid w:val="00E7492C"/>
    <w:rsid w:val="00E74BC4"/>
    <w:rsid w:val="00E74D5F"/>
    <w:rsid w:val="00E74EAD"/>
    <w:rsid w:val="00E74FE8"/>
    <w:rsid w:val="00E750DB"/>
    <w:rsid w:val="00E750E7"/>
    <w:rsid w:val="00E7512F"/>
    <w:rsid w:val="00E755FE"/>
    <w:rsid w:val="00E7573F"/>
    <w:rsid w:val="00E75A32"/>
    <w:rsid w:val="00E76027"/>
    <w:rsid w:val="00E7639F"/>
    <w:rsid w:val="00E7655C"/>
    <w:rsid w:val="00E7661F"/>
    <w:rsid w:val="00E7672C"/>
    <w:rsid w:val="00E7693B"/>
    <w:rsid w:val="00E76B58"/>
    <w:rsid w:val="00E76C83"/>
    <w:rsid w:val="00E76ECC"/>
    <w:rsid w:val="00E7718B"/>
    <w:rsid w:val="00E771E9"/>
    <w:rsid w:val="00E77308"/>
    <w:rsid w:val="00E77667"/>
    <w:rsid w:val="00E777FF"/>
    <w:rsid w:val="00E7792E"/>
    <w:rsid w:val="00E779B0"/>
    <w:rsid w:val="00E77ABB"/>
    <w:rsid w:val="00E80196"/>
    <w:rsid w:val="00E80390"/>
    <w:rsid w:val="00E803A1"/>
    <w:rsid w:val="00E80642"/>
    <w:rsid w:val="00E80774"/>
    <w:rsid w:val="00E80ADB"/>
    <w:rsid w:val="00E80C8A"/>
    <w:rsid w:val="00E80EE7"/>
    <w:rsid w:val="00E80FB4"/>
    <w:rsid w:val="00E81202"/>
    <w:rsid w:val="00E8122F"/>
    <w:rsid w:val="00E81333"/>
    <w:rsid w:val="00E813A1"/>
    <w:rsid w:val="00E814BA"/>
    <w:rsid w:val="00E8183B"/>
    <w:rsid w:val="00E81843"/>
    <w:rsid w:val="00E818E5"/>
    <w:rsid w:val="00E8192C"/>
    <w:rsid w:val="00E81B7D"/>
    <w:rsid w:val="00E81E5F"/>
    <w:rsid w:val="00E81F16"/>
    <w:rsid w:val="00E8213E"/>
    <w:rsid w:val="00E8222D"/>
    <w:rsid w:val="00E823A4"/>
    <w:rsid w:val="00E825EF"/>
    <w:rsid w:val="00E827D5"/>
    <w:rsid w:val="00E82A5E"/>
    <w:rsid w:val="00E82AD9"/>
    <w:rsid w:val="00E82B4A"/>
    <w:rsid w:val="00E82B50"/>
    <w:rsid w:val="00E82B82"/>
    <w:rsid w:val="00E82C73"/>
    <w:rsid w:val="00E82DE3"/>
    <w:rsid w:val="00E82DF5"/>
    <w:rsid w:val="00E82E73"/>
    <w:rsid w:val="00E82F4C"/>
    <w:rsid w:val="00E832A1"/>
    <w:rsid w:val="00E83472"/>
    <w:rsid w:val="00E83562"/>
    <w:rsid w:val="00E8363A"/>
    <w:rsid w:val="00E838BF"/>
    <w:rsid w:val="00E8398E"/>
    <w:rsid w:val="00E83B18"/>
    <w:rsid w:val="00E83C13"/>
    <w:rsid w:val="00E83C5B"/>
    <w:rsid w:val="00E83F84"/>
    <w:rsid w:val="00E83F99"/>
    <w:rsid w:val="00E8404E"/>
    <w:rsid w:val="00E84149"/>
    <w:rsid w:val="00E84389"/>
    <w:rsid w:val="00E844C5"/>
    <w:rsid w:val="00E844E2"/>
    <w:rsid w:val="00E848C5"/>
    <w:rsid w:val="00E849C8"/>
    <w:rsid w:val="00E84BE7"/>
    <w:rsid w:val="00E851E4"/>
    <w:rsid w:val="00E85327"/>
    <w:rsid w:val="00E853B0"/>
    <w:rsid w:val="00E8558B"/>
    <w:rsid w:val="00E85613"/>
    <w:rsid w:val="00E8561B"/>
    <w:rsid w:val="00E8591B"/>
    <w:rsid w:val="00E85A31"/>
    <w:rsid w:val="00E85B87"/>
    <w:rsid w:val="00E85D3C"/>
    <w:rsid w:val="00E85F07"/>
    <w:rsid w:val="00E86184"/>
    <w:rsid w:val="00E86213"/>
    <w:rsid w:val="00E8628C"/>
    <w:rsid w:val="00E8677D"/>
    <w:rsid w:val="00E868B5"/>
    <w:rsid w:val="00E86DA5"/>
    <w:rsid w:val="00E86DCA"/>
    <w:rsid w:val="00E8721A"/>
    <w:rsid w:val="00E87346"/>
    <w:rsid w:val="00E8738B"/>
    <w:rsid w:val="00E8741B"/>
    <w:rsid w:val="00E8766A"/>
    <w:rsid w:val="00E8773A"/>
    <w:rsid w:val="00E8799D"/>
    <w:rsid w:val="00E87A4D"/>
    <w:rsid w:val="00E87D2E"/>
    <w:rsid w:val="00E87E9D"/>
    <w:rsid w:val="00E87FA3"/>
    <w:rsid w:val="00E900DA"/>
    <w:rsid w:val="00E904D5"/>
    <w:rsid w:val="00E90616"/>
    <w:rsid w:val="00E90969"/>
    <w:rsid w:val="00E91255"/>
    <w:rsid w:val="00E91269"/>
    <w:rsid w:val="00E913BC"/>
    <w:rsid w:val="00E914FA"/>
    <w:rsid w:val="00E91505"/>
    <w:rsid w:val="00E91683"/>
    <w:rsid w:val="00E9171B"/>
    <w:rsid w:val="00E917E1"/>
    <w:rsid w:val="00E91A1B"/>
    <w:rsid w:val="00E91AA3"/>
    <w:rsid w:val="00E921A3"/>
    <w:rsid w:val="00E92301"/>
    <w:rsid w:val="00E925C4"/>
    <w:rsid w:val="00E9274E"/>
    <w:rsid w:val="00E92841"/>
    <w:rsid w:val="00E928A7"/>
    <w:rsid w:val="00E9292D"/>
    <w:rsid w:val="00E92ABC"/>
    <w:rsid w:val="00E92D31"/>
    <w:rsid w:val="00E92EDF"/>
    <w:rsid w:val="00E92FCA"/>
    <w:rsid w:val="00E93094"/>
    <w:rsid w:val="00E93508"/>
    <w:rsid w:val="00E93991"/>
    <w:rsid w:val="00E9399A"/>
    <w:rsid w:val="00E9399E"/>
    <w:rsid w:val="00E93B7B"/>
    <w:rsid w:val="00E93C44"/>
    <w:rsid w:val="00E93E34"/>
    <w:rsid w:val="00E943E7"/>
    <w:rsid w:val="00E946B3"/>
    <w:rsid w:val="00E9497E"/>
    <w:rsid w:val="00E950E1"/>
    <w:rsid w:val="00E95182"/>
    <w:rsid w:val="00E95350"/>
    <w:rsid w:val="00E9536D"/>
    <w:rsid w:val="00E953C4"/>
    <w:rsid w:val="00E95560"/>
    <w:rsid w:val="00E9573D"/>
    <w:rsid w:val="00E957B9"/>
    <w:rsid w:val="00E957C6"/>
    <w:rsid w:val="00E95855"/>
    <w:rsid w:val="00E95A02"/>
    <w:rsid w:val="00E95A12"/>
    <w:rsid w:val="00E95B03"/>
    <w:rsid w:val="00E95B0D"/>
    <w:rsid w:val="00E96944"/>
    <w:rsid w:val="00E9695A"/>
    <w:rsid w:val="00E96B18"/>
    <w:rsid w:val="00E96CD4"/>
    <w:rsid w:val="00E970C2"/>
    <w:rsid w:val="00E9754B"/>
    <w:rsid w:val="00E97835"/>
    <w:rsid w:val="00E97B34"/>
    <w:rsid w:val="00EA021E"/>
    <w:rsid w:val="00EA0266"/>
    <w:rsid w:val="00EA0547"/>
    <w:rsid w:val="00EA0603"/>
    <w:rsid w:val="00EA064B"/>
    <w:rsid w:val="00EA06E4"/>
    <w:rsid w:val="00EA0832"/>
    <w:rsid w:val="00EA0D12"/>
    <w:rsid w:val="00EA0DA0"/>
    <w:rsid w:val="00EA0F3D"/>
    <w:rsid w:val="00EA10EF"/>
    <w:rsid w:val="00EA12A0"/>
    <w:rsid w:val="00EA1524"/>
    <w:rsid w:val="00EA157D"/>
    <w:rsid w:val="00EA1609"/>
    <w:rsid w:val="00EA1810"/>
    <w:rsid w:val="00EA1B68"/>
    <w:rsid w:val="00EA20AB"/>
    <w:rsid w:val="00EA213D"/>
    <w:rsid w:val="00EA2197"/>
    <w:rsid w:val="00EA23E6"/>
    <w:rsid w:val="00EA2400"/>
    <w:rsid w:val="00EA2818"/>
    <w:rsid w:val="00EA28C5"/>
    <w:rsid w:val="00EA28E8"/>
    <w:rsid w:val="00EA291F"/>
    <w:rsid w:val="00EA29F2"/>
    <w:rsid w:val="00EA35B3"/>
    <w:rsid w:val="00EA381E"/>
    <w:rsid w:val="00EA399B"/>
    <w:rsid w:val="00EA3B28"/>
    <w:rsid w:val="00EA4319"/>
    <w:rsid w:val="00EA43AF"/>
    <w:rsid w:val="00EA43F0"/>
    <w:rsid w:val="00EA4862"/>
    <w:rsid w:val="00EA48B8"/>
    <w:rsid w:val="00EA4D51"/>
    <w:rsid w:val="00EA4E08"/>
    <w:rsid w:val="00EA5047"/>
    <w:rsid w:val="00EA56D9"/>
    <w:rsid w:val="00EA574B"/>
    <w:rsid w:val="00EA5764"/>
    <w:rsid w:val="00EA5934"/>
    <w:rsid w:val="00EA5FE7"/>
    <w:rsid w:val="00EA6045"/>
    <w:rsid w:val="00EA620B"/>
    <w:rsid w:val="00EA6539"/>
    <w:rsid w:val="00EA65BF"/>
    <w:rsid w:val="00EA692E"/>
    <w:rsid w:val="00EA6AD2"/>
    <w:rsid w:val="00EA6B6C"/>
    <w:rsid w:val="00EA6B8C"/>
    <w:rsid w:val="00EA6BD2"/>
    <w:rsid w:val="00EA6C0D"/>
    <w:rsid w:val="00EA6FE1"/>
    <w:rsid w:val="00EA7155"/>
    <w:rsid w:val="00EA71DD"/>
    <w:rsid w:val="00EA7619"/>
    <w:rsid w:val="00EA7648"/>
    <w:rsid w:val="00EA7657"/>
    <w:rsid w:val="00EA7B20"/>
    <w:rsid w:val="00EA7C4C"/>
    <w:rsid w:val="00EA7CF7"/>
    <w:rsid w:val="00EA7D0C"/>
    <w:rsid w:val="00EA7E74"/>
    <w:rsid w:val="00EA7F2F"/>
    <w:rsid w:val="00EA7FA2"/>
    <w:rsid w:val="00EB0050"/>
    <w:rsid w:val="00EB01F1"/>
    <w:rsid w:val="00EB034F"/>
    <w:rsid w:val="00EB076F"/>
    <w:rsid w:val="00EB0835"/>
    <w:rsid w:val="00EB096C"/>
    <w:rsid w:val="00EB0FF4"/>
    <w:rsid w:val="00EB1083"/>
    <w:rsid w:val="00EB12FD"/>
    <w:rsid w:val="00EB13E5"/>
    <w:rsid w:val="00EB1465"/>
    <w:rsid w:val="00EB14E5"/>
    <w:rsid w:val="00EB1773"/>
    <w:rsid w:val="00EB1F33"/>
    <w:rsid w:val="00EB1F8D"/>
    <w:rsid w:val="00EB20F1"/>
    <w:rsid w:val="00EB215A"/>
    <w:rsid w:val="00EB2260"/>
    <w:rsid w:val="00EB22E6"/>
    <w:rsid w:val="00EB243A"/>
    <w:rsid w:val="00EB2804"/>
    <w:rsid w:val="00EB28C3"/>
    <w:rsid w:val="00EB2DEA"/>
    <w:rsid w:val="00EB349C"/>
    <w:rsid w:val="00EB3552"/>
    <w:rsid w:val="00EB37B6"/>
    <w:rsid w:val="00EB37E7"/>
    <w:rsid w:val="00EB380E"/>
    <w:rsid w:val="00EB3DC6"/>
    <w:rsid w:val="00EB3E13"/>
    <w:rsid w:val="00EB401D"/>
    <w:rsid w:val="00EB408D"/>
    <w:rsid w:val="00EB4118"/>
    <w:rsid w:val="00EB41B1"/>
    <w:rsid w:val="00EB421F"/>
    <w:rsid w:val="00EB42A6"/>
    <w:rsid w:val="00EB42C6"/>
    <w:rsid w:val="00EB4458"/>
    <w:rsid w:val="00EB44A5"/>
    <w:rsid w:val="00EB4526"/>
    <w:rsid w:val="00EB45FF"/>
    <w:rsid w:val="00EB4701"/>
    <w:rsid w:val="00EB4B49"/>
    <w:rsid w:val="00EB4C7F"/>
    <w:rsid w:val="00EB4D1A"/>
    <w:rsid w:val="00EB4D8D"/>
    <w:rsid w:val="00EB4EFF"/>
    <w:rsid w:val="00EB508E"/>
    <w:rsid w:val="00EB50D1"/>
    <w:rsid w:val="00EB515C"/>
    <w:rsid w:val="00EB5214"/>
    <w:rsid w:val="00EB545D"/>
    <w:rsid w:val="00EB56E6"/>
    <w:rsid w:val="00EB5787"/>
    <w:rsid w:val="00EB59AA"/>
    <w:rsid w:val="00EB5A53"/>
    <w:rsid w:val="00EB5BD0"/>
    <w:rsid w:val="00EB5C82"/>
    <w:rsid w:val="00EB5C87"/>
    <w:rsid w:val="00EB5D9D"/>
    <w:rsid w:val="00EB5FBE"/>
    <w:rsid w:val="00EB6084"/>
    <w:rsid w:val="00EB61B5"/>
    <w:rsid w:val="00EB69C2"/>
    <w:rsid w:val="00EB6A6C"/>
    <w:rsid w:val="00EB6C2F"/>
    <w:rsid w:val="00EB6E3B"/>
    <w:rsid w:val="00EB72C1"/>
    <w:rsid w:val="00EB7555"/>
    <w:rsid w:val="00EB759E"/>
    <w:rsid w:val="00EB785E"/>
    <w:rsid w:val="00EB78BF"/>
    <w:rsid w:val="00EB7947"/>
    <w:rsid w:val="00EB7989"/>
    <w:rsid w:val="00EB7A20"/>
    <w:rsid w:val="00EB7A86"/>
    <w:rsid w:val="00EB7D2A"/>
    <w:rsid w:val="00EC00F1"/>
    <w:rsid w:val="00EC0382"/>
    <w:rsid w:val="00EC039C"/>
    <w:rsid w:val="00EC0445"/>
    <w:rsid w:val="00EC0543"/>
    <w:rsid w:val="00EC0749"/>
    <w:rsid w:val="00EC083B"/>
    <w:rsid w:val="00EC0AB2"/>
    <w:rsid w:val="00EC0B63"/>
    <w:rsid w:val="00EC0D68"/>
    <w:rsid w:val="00EC0DCF"/>
    <w:rsid w:val="00EC11D3"/>
    <w:rsid w:val="00EC11F2"/>
    <w:rsid w:val="00EC11FF"/>
    <w:rsid w:val="00EC12A9"/>
    <w:rsid w:val="00EC1489"/>
    <w:rsid w:val="00EC16CA"/>
    <w:rsid w:val="00EC17AC"/>
    <w:rsid w:val="00EC18A2"/>
    <w:rsid w:val="00EC19C7"/>
    <w:rsid w:val="00EC1A5F"/>
    <w:rsid w:val="00EC1AEE"/>
    <w:rsid w:val="00EC1C26"/>
    <w:rsid w:val="00EC1C63"/>
    <w:rsid w:val="00EC2068"/>
    <w:rsid w:val="00EC229B"/>
    <w:rsid w:val="00EC24B5"/>
    <w:rsid w:val="00EC2611"/>
    <w:rsid w:val="00EC272A"/>
    <w:rsid w:val="00EC2990"/>
    <w:rsid w:val="00EC2C03"/>
    <w:rsid w:val="00EC2D6B"/>
    <w:rsid w:val="00EC2DDB"/>
    <w:rsid w:val="00EC2F39"/>
    <w:rsid w:val="00EC2FE8"/>
    <w:rsid w:val="00EC3121"/>
    <w:rsid w:val="00EC318D"/>
    <w:rsid w:val="00EC31BF"/>
    <w:rsid w:val="00EC342C"/>
    <w:rsid w:val="00EC3616"/>
    <w:rsid w:val="00EC3628"/>
    <w:rsid w:val="00EC36F4"/>
    <w:rsid w:val="00EC376F"/>
    <w:rsid w:val="00EC3798"/>
    <w:rsid w:val="00EC37D2"/>
    <w:rsid w:val="00EC3D9F"/>
    <w:rsid w:val="00EC3DA0"/>
    <w:rsid w:val="00EC3F60"/>
    <w:rsid w:val="00EC4245"/>
    <w:rsid w:val="00EC4713"/>
    <w:rsid w:val="00EC4964"/>
    <w:rsid w:val="00EC49A7"/>
    <w:rsid w:val="00EC4A14"/>
    <w:rsid w:val="00EC4D62"/>
    <w:rsid w:val="00EC4D7C"/>
    <w:rsid w:val="00EC4E6D"/>
    <w:rsid w:val="00EC4EBF"/>
    <w:rsid w:val="00EC4F07"/>
    <w:rsid w:val="00EC4F32"/>
    <w:rsid w:val="00EC5017"/>
    <w:rsid w:val="00EC5301"/>
    <w:rsid w:val="00EC55D0"/>
    <w:rsid w:val="00EC5614"/>
    <w:rsid w:val="00EC5658"/>
    <w:rsid w:val="00EC567E"/>
    <w:rsid w:val="00EC58FA"/>
    <w:rsid w:val="00EC5E18"/>
    <w:rsid w:val="00EC5E7D"/>
    <w:rsid w:val="00EC5F4B"/>
    <w:rsid w:val="00EC604A"/>
    <w:rsid w:val="00EC615D"/>
    <w:rsid w:val="00EC65BA"/>
    <w:rsid w:val="00EC6698"/>
    <w:rsid w:val="00EC6707"/>
    <w:rsid w:val="00EC684B"/>
    <w:rsid w:val="00EC695E"/>
    <w:rsid w:val="00EC69B9"/>
    <w:rsid w:val="00EC6B0E"/>
    <w:rsid w:val="00EC6B87"/>
    <w:rsid w:val="00EC6D21"/>
    <w:rsid w:val="00EC723C"/>
    <w:rsid w:val="00EC76D3"/>
    <w:rsid w:val="00EC77E2"/>
    <w:rsid w:val="00EC7A69"/>
    <w:rsid w:val="00EC7C6A"/>
    <w:rsid w:val="00EC7CE8"/>
    <w:rsid w:val="00EC7DD6"/>
    <w:rsid w:val="00EC7DDF"/>
    <w:rsid w:val="00EC7F9D"/>
    <w:rsid w:val="00EC7FEB"/>
    <w:rsid w:val="00ED0016"/>
    <w:rsid w:val="00ED0041"/>
    <w:rsid w:val="00ED02FB"/>
    <w:rsid w:val="00ED035C"/>
    <w:rsid w:val="00ED057D"/>
    <w:rsid w:val="00ED0F54"/>
    <w:rsid w:val="00ED1000"/>
    <w:rsid w:val="00ED105D"/>
    <w:rsid w:val="00ED1298"/>
    <w:rsid w:val="00ED13D3"/>
    <w:rsid w:val="00ED14F1"/>
    <w:rsid w:val="00ED1544"/>
    <w:rsid w:val="00ED158C"/>
    <w:rsid w:val="00ED1703"/>
    <w:rsid w:val="00ED1725"/>
    <w:rsid w:val="00ED1758"/>
    <w:rsid w:val="00ED17B6"/>
    <w:rsid w:val="00ED185B"/>
    <w:rsid w:val="00ED1A79"/>
    <w:rsid w:val="00ED1DB7"/>
    <w:rsid w:val="00ED1F0E"/>
    <w:rsid w:val="00ED207B"/>
    <w:rsid w:val="00ED21AE"/>
    <w:rsid w:val="00ED22E0"/>
    <w:rsid w:val="00ED23E2"/>
    <w:rsid w:val="00ED24FE"/>
    <w:rsid w:val="00ED2509"/>
    <w:rsid w:val="00ED292E"/>
    <w:rsid w:val="00ED2AC3"/>
    <w:rsid w:val="00ED2B41"/>
    <w:rsid w:val="00ED2BFD"/>
    <w:rsid w:val="00ED2E71"/>
    <w:rsid w:val="00ED2FF3"/>
    <w:rsid w:val="00ED31D0"/>
    <w:rsid w:val="00ED3253"/>
    <w:rsid w:val="00ED33A3"/>
    <w:rsid w:val="00ED35D3"/>
    <w:rsid w:val="00ED364A"/>
    <w:rsid w:val="00ED371B"/>
    <w:rsid w:val="00ED3852"/>
    <w:rsid w:val="00ED3A48"/>
    <w:rsid w:val="00ED3A7C"/>
    <w:rsid w:val="00ED3A96"/>
    <w:rsid w:val="00ED3A9A"/>
    <w:rsid w:val="00ED3E4E"/>
    <w:rsid w:val="00ED3ED6"/>
    <w:rsid w:val="00ED4119"/>
    <w:rsid w:val="00ED42EE"/>
    <w:rsid w:val="00ED43A6"/>
    <w:rsid w:val="00ED451D"/>
    <w:rsid w:val="00ED4543"/>
    <w:rsid w:val="00ED4807"/>
    <w:rsid w:val="00ED49EF"/>
    <w:rsid w:val="00ED4A6B"/>
    <w:rsid w:val="00ED4BA2"/>
    <w:rsid w:val="00ED4EC0"/>
    <w:rsid w:val="00ED4ED8"/>
    <w:rsid w:val="00ED5004"/>
    <w:rsid w:val="00ED51C0"/>
    <w:rsid w:val="00ED5208"/>
    <w:rsid w:val="00ED5263"/>
    <w:rsid w:val="00ED52B3"/>
    <w:rsid w:val="00ED54B1"/>
    <w:rsid w:val="00ED5599"/>
    <w:rsid w:val="00ED55FD"/>
    <w:rsid w:val="00ED5A0D"/>
    <w:rsid w:val="00ED5C8A"/>
    <w:rsid w:val="00ED5E4C"/>
    <w:rsid w:val="00ED5E9E"/>
    <w:rsid w:val="00ED5EBB"/>
    <w:rsid w:val="00ED5F25"/>
    <w:rsid w:val="00ED60C1"/>
    <w:rsid w:val="00ED614A"/>
    <w:rsid w:val="00ED634A"/>
    <w:rsid w:val="00ED6364"/>
    <w:rsid w:val="00ED67A9"/>
    <w:rsid w:val="00ED6AB9"/>
    <w:rsid w:val="00ED6D5D"/>
    <w:rsid w:val="00ED6DFD"/>
    <w:rsid w:val="00ED6E6F"/>
    <w:rsid w:val="00ED71DA"/>
    <w:rsid w:val="00ED7230"/>
    <w:rsid w:val="00ED7444"/>
    <w:rsid w:val="00ED755D"/>
    <w:rsid w:val="00ED76A9"/>
    <w:rsid w:val="00ED7723"/>
    <w:rsid w:val="00ED7B41"/>
    <w:rsid w:val="00ED7B8B"/>
    <w:rsid w:val="00ED7C59"/>
    <w:rsid w:val="00ED7C95"/>
    <w:rsid w:val="00ED7E86"/>
    <w:rsid w:val="00ED7FBC"/>
    <w:rsid w:val="00EE0378"/>
    <w:rsid w:val="00EE0872"/>
    <w:rsid w:val="00EE0E74"/>
    <w:rsid w:val="00EE1232"/>
    <w:rsid w:val="00EE154B"/>
    <w:rsid w:val="00EE18DA"/>
    <w:rsid w:val="00EE1B32"/>
    <w:rsid w:val="00EE1FD2"/>
    <w:rsid w:val="00EE229D"/>
    <w:rsid w:val="00EE2310"/>
    <w:rsid w:val="00EE2317"/>
    <w:rsid w:val="00EE2331"/>
    <w:rsid w:val="00EE23ED"/>
    <w:rsid w:val="00EE25AC"/>
    <w:rsid w:val="00EE2854"/>
    <w:rsid w:val="00EE2C13"/>
    <w:rsid w:val="00EE2C33"/>
    <w:rsid w:val="00EE2C5F"/>
    <w:rsid w:val="00EE2EB2"/>
    <w:rsid w:val="00EE3042"/>
    <w:rsid w:val="00EE3127"/>
    <w:rsid w:val="00EE357F"/>
    <w:rsid w:val="00EE3620"/>
    <w:rsid w:val="00EE36C6"/>
    <w:rsid w:val="00EE3816"/>
    <w:rsid w:val="00EE385D"/>
    <w:rsid w:val="00EE39F8"/>
    <w:rsid w:val="00EE3D82"/>
    <w:rsid w:val="00EE3E28"/>
    <w:rsid w:val="00EE3E40"/>
    <w:rsid w:val="00EE3E69"/>
    <w:rsid w:val="00EE3F00"/>
    <w:rsid w:val="00EE4223"/>
    <w:rsid w:val="00EE4332"/>
    <w:rsid w:val="00EE4370"/>
    <w:rsid w:val="00EE45BF"/>
    <w:rsid w:val="00EE476A"/>
    <w:rsid w:val="00EE492F"/>
    <w:rsid w:val="00EE4B99"/>
    <w:rsid w:val="00EE4D26"/>
    <w:rsid w:val="00EE509D"/>
    <w:rsid w:val="00EE520A"/>
    <w:rsid w:val="00EE529D"/>
    <w:rsid w:val="00EE55A8"/>
    <w:rsid w:val="00EE5CBF"/>
    <w:rsid w:val="00EE5CF2"/>
    <w:rsid w:val="00EE5E0A"/>
    <w:rsid w:val="00EE5E3C"/>
    <w:rsid w:val="00EE5F56"/>
    <w:rsid w:val="00EE5FA8"/>
    <w:rsid w:val="00EE600C"/>
    <w:rsid w:val="00EE6149"/>
    <w:rsid w:val="00EE6155"/>
    <w:rsid w:val="00EE62F9"/>
    <w:rsid w:val="00EE6643"/>
    <w:rsid w:val="00EE6668"/>
    <w:rsid w:val="00EE66E5"/>
    <w:rsid w:val="00EE68CA"/>
    <w:rsid w:val="00EE698F"/>
    <w:rsid w:val="00EE69D3"/>
    <w:rsid w:val="00EE6A6E"/>
    <w:rsid w:val="00EE6A90"/>
    <w:rsid w:val="00EE6AC8"/>
    <w:rsid w:val="00EE6C67"/>
    <w:rsid w:val="00EE6C95"/>
    <w:rsid w:val="00EE7013"/>
    <w:rsid w:val="00EE7081"/>
    <w:rsid w:val="00EE70E3"/>
    <w:rsid w:val="00EE71A3"/>
    <w:rsid w:val="00EE7347"/>
    <w:rsid w:val="00EE742B"/>
    <w:rsid w:val="00EE7572"/>
    <w:rsid w:val="00EE76F3"/>
    <w:rsid w:val="00EE7707"/>
    <w:rsid w:val="00EE7890"/>
    <w:rsid w:val="00EE7A01"/>
    <w:rsid w:val="00EE7E19"/>
    <w:rsid w:val="00EE7F62"/>
    <w:rsid w:val="00EF01C5"/>
    <w:rsid w:val="00EF01EC"/>
    <w:rsid w:val="00EF021C"/>
    <w:rsid w:val="00EF02DE"/>
    <w:rsid w:val="00EF03E1"/>
    <w:rsid w:val="00EF078A"/>
    <w:rsid w:val="00EF09C5"/>
    <w:rsid w:val="00EF0A12"/>
    <w:rsid w:val="00EF0B38"/>
    <w:rsid w:val="00EF0C0A"/>
    <w:rsid w:val="00EF111B"/>
    <w:rsid w:val="00EF1147"/>
    <w:rsid w:val="00EF13FB"/>
    <w:rsid w:val="00EF188D"/>
    <w:rsid w:val="00EF1C19"/>
    <w:rsid w:val="00EF1E1B"/>
    <w:rsid w:val="00EF1FE6"/>
    <w:rsid w:val="00EF1FEE"/>
    <w:rsid w:val="00EF2105"/>
    <w:rsid w:val="00EF21D0"/>
    <w:rsid w:val="00EF2292"/>
    <w:rsid w:val="00EF2465"/>
    <w:rsid w:val="00EF261D"/>
    <w:rsid w:val="00EF27E1"/>
    <w:rsid w:val="00EF2890"/>
    <w:rsid w:val="00EF2ADB"/>
    <w:rsid w:val="00EF2B4B"/>
    <w:rsid w:val="00EF2F60"/>
    <w:rsid w:val="00EF3163"/>
    <w:rsid w:val="00EF3164"/>
    <w:rsid w:val="00EF36BB"/>
    <w:rsid w:val="00EF37AD"/>
    <w:rsid w:val="00EF3A84"/>
    <w:rsid w:val="00EF3C70"/>
    <w:rsid w:val="00EF3D72"/>
    <w:rsid w:val="00EF3DAA"/>
    <w:rsid w:val="00EF3EE0"/>
    <w:rsid w:val="00EF3F3D"/>
    <w:rsid w:val="00EF410B"/>
    <w:rsid w:val="00EF4154"/>
    <w:rsid w:val="00EF422B"/>
    <w:rsid w:val="00EF429B"/>
    <w:rsid w:val="00EF445F"/>
    <w:rsid w:val="00EF4504"/>
    <w:rsid w:val="00EF4612"/>
    <w:rsid w:val="00EF4670"/>
    <w:rsid w:val="00EF4767"/>
    <w:rsid w:val="00EF48D8"/>
    <w:rsid w:val="00EF492C"/>
    <w:rsid w:val="00EF4BA7"/>
    <w:rsid w:val="00EF4CB1"/>
    <w:rsid w:val="00EF4CBD"/>
    <w:rsid w:val="00EF4DF0"/>
    <w:rsid w:val="00EF4E13"/>
    <w:rsid w:val="00EF4F3D"/>
    <w:rsid w:val="00EF4F86"/>
    <w:rsid w:val="00EF4FE8"/>
    <w:rsid w:val="00EF5491"/>
    <w:rsid w:val="00EF5590"/>
    <w:rsid w:val="00EF570C"/>
    <w:rsid w:val="00EF59F7"/>
    <w:rsid w:val="00EF5AC3"/>
    <w:rsid w:val="00EF5B76"/>
    <w:rsid w:val="00EF5BB8"/>
    <w:rsid w:val="00EF5E3B"/>
    <w:rsid w:val="00EF5FCB"/>
    <w:rsid w:val="00EF61DA"/>
    <w:rsid w:val="00EF61DE"/>
    <w:rsid w:val="00EF6305"/>
    <w:rsid w:val="00EF63CE"/>
    <w:rsid w:val="00EF642E"/>
    <w:rsid w:val="00EF6484"/>
    <w:rsid w:val="00EF68DB"/>
    <w:rsid w:val="00EF6945"/>
    <w:rsid w:val="00EF69BE"/>
    <w:rsid w:val="00EF6AE2"/>
    <w:rsid w:val="00EF6C51"/>
    <w:rsid w:val="00EF6C5F"/>
    <w:rsid w:val="00EF6F61"/>
    <w:rsid w:val="00EF71D7"/>
    <w:rsid w:val="00EF745A"/>
    <w:rsid w:val="00EF74C7"/>
    <w:rsid w:val="00EF7519"/>
    <w:rsid w:val="00EF7754"/>
    <w:rsid w:val="00EF7A4D"/>
    <w:rsid w:val="00EF7B87"/>
    <w:rsid w:val="00EF7B88"/>
    <w:rsid w:val="00EF7EB8"/>
    <w:rsid w:val="00F0006A"/>
    <w:rsid w:val="00F00170"/>
    <w:rsid w:val="00F00640"/>
    <w:rsid w:val="00F0064F"/>
    <w:rsid w:val="00F00672"/>
    <w:rsid w:val="00F00767"/>
    <w:rsid w:val="00F00A52"/>
    <w:rsid w:val="00F00B1F"/>
    <w:rsid w:val="00F00BB2"/>
    <w:rsid w:val="00F00C52"/>
    <w:rsid w:val="00F00CCD"/>
    <w:rsid w:val="00F00E88"/>
    <w:rsid w:val="00F00E9B"/>
    <w:rsid w:val="00F00EF4"/>
    <w:rsid w:val="00F01413"/>
    <w:rsid w:val="00F01502"/>
    <w:rsid w:val="00F0158E"/>
    <w:rsid w:val="00F018E1"/>
    <w:rsid w:val="00F01B77"/>
    <w:rsid w:val="00F01DE4"/>
    <w:rsid w:val="00F01E2F"/>
    <w:rsid w:val="00F01E30"/>
    <w:rsid w:val="00F01F5E"/>
    <w:rsid w:val="00F020DB"/>
    <w:rsid w:val="00F0227E"/>
    <w:rsid w:val="00F0228D"/>
    <w:rsid w:val="00F0232D"/>
    <w:rsid w:val="00F0246C"/>
    <w:rsid w:val="00F02529"/>
    <w:rsid w:val="00F026BA"/>
    <w:rsid w:val="00F02B2E"/>
    <w:rsid w:val="00F02E19"/>
    <w:rsid w:val="00F02EC1"/>
    <w:rsid w:val="00F02ED6"/>
    <w:rsid w:val="00F03011"/>
    <w:rsid w:val="00F030F5"/>
    <w:rsid w:val="00F03185"/>
    <w:rsid w:val="00F0342E"/>
    <w:rsid w:val="00F03525"/>
    <w:rsid w:val="00F0362C"/>
    <w:rsid w:val="00F04020"/>
    <w:rsid w:val="00F04354"/>
    <w:rsid w:val="00F0445E"/>
    <w:rsid w:val="00F04C9B"/>
    <w:rsid w:val="00F04D5A"/>
    <w:rsid w:val="00F04DFA"/>
    <w:rsid w:val="00F04FC7"/>
    <w:rsid w:val="00F05109"/>
    <w:rsid w:val="00F05293"/>
    <w:rsid w:val="00F05628"/>
    <w:rsid w:val="00F056DC"/>
    <w:rsid w:val="00F058A3"/>
    <w:rsid w:val="00F05A87"/>
    <w:rsid w:val="00F05E1A"/>
    <w:rsid w:val="00F05E7B"/>
    <w:rsid w:val="00F05EC1"/>
    <w:rsid w:val="00F05FE3"/>
    <w:rsid w:val="00F0605C"/>
    <w:rsid w:val="00F060FA"/>
    <w:rsid w:val="00F06137"/>
    <w:rsid w:val="00F061C0"/>
    <w:rsid w:val="00F0642E"/>
    <w:rsid w:val="00F06460"/>
    <w:rsid w:val="00F0650E"/>
    <w:rsid w:val="00F06644"/>
    <w:rsid w:val="00F06789"/>
    <w:rsid w:val="00F067F0"/>
    <w:rsid w:val="00F06A8B"/>
    <w:rsid w:val="00F06BC4"/>
    <w:rsid w:val="00F06C5A"/>
    <w:rsid w:val="00F06F00"/>
    <w:rsid w:val="00F06FF8"/>
    <w:rsid w:val="00F07176"/>
    <w:rsid w:val="00F074B1"/>
    <w:rsid w:val="00F07553"/>
    <w:rsid w:val="00F07737"/>
    <w:rsid w:val="00F0783B"/>
    <w:rsid w:val="00F0790C"/>
    <w:rsid w:val="00F0797A"/>
    <w:rsid w:val="00F079B3"/>
    <w:rsid w:val="00F07B6B"/>
    <w:rsid w:val="00F07BFA"/>
    <w:rsid w:val="00F07C2B"/>
    <w:rsid w:val="00F07F44"/>
    <w:rsid w:val="00F1045B"/>
    <w:rsid w:val="00F1054D"/>
    <w:rsid w:val="00F105F6"/>
    <w:rsid w:val="00F1060B"/>
    <w:rsid w:val="00F10951"/>
    <w:rsid w:val="00F10AF8"/>
    <w:rsid w:val="00F10D09"/>
    <w:rsid w:val="00F10E2C"/>
    <w:rsid w:val="00F11499"/>
    <w:rsid w:val="00F1153B"/>
    <w:rsid w:val="00F1163D"/>
    <w:rsid w:val="00F11A3D"/>
    <w:rsid w:val="00F11B11"/>
    <w:rsid w:val="00F11E4B"/>
    <w:rsid w:val="00F11FC4"/>
    <w:rsid w:val="00F12044"/>
    <w:rsid w:val="00F1214B"/>
    <w:rsid w:val="00F121EC"/>
    <w:rsid w:val="00F1238F"/>
    <w:rsid w:val="00F124A6"/>
    <w:rsid w:val="00F1283C"/>
    <w:rsid w:val="00F12A90"/>
    <w:rsid w:val="00F12B24"/>
    <w:rsid w:val="00F12D61"/>
    <w:rsid w:val="00F12D84"/>
    <w:rsid w:val="00F12EA1"/>
    <w:rsid w:val="00F13006"/>
    <w:rsid w:val="00F130C8"/>
    <w:rsid w:val="00F13257"/>
    <w:rsid w:val="00F13424"/>
    <w:rsid w:val="00F13797"/>
    <w:rsid w:val="00F13A3A"/>
    <w:rsid w:val="00F13B0B"/>
    <w:rsid w:val="00F13B73"/>
    <w:rsid w:val="00F13C19"/>
    <w:rsid w:val="00F13D88"/>
    <w:rsid w:val="00F13DEB"/>
    <w:rsid w:val="00F1433C"/>
    <w:rsid w:val="00F143BC"/>
    <w:rsid w:val="00F1443B"/>
    <w:rsid w:val="00F144BA"/>
    <w:rsid w:val="00F145CC"/>
    <w:rsid w:val="00F1493A"/>
    <w:rsid w:val="00F149A9"/>
    <w:rsid w:val="00F14B70"/>
    <w:rsid w:val="00F14C10"/>
    <w:rsid w:val="00F14CDD"/>
    <w:rsid w:val="00F14CEF"/>
    <w:rsid w:val="00F14DC4"/>
    <w:rsid w:val="00F15269"/>
    <w:rsid w:val="00F1527D"/>
    <w:rsid w:val="00F15951"/>
    <w:rsid w:val="00F159D7"/>
    <w:rsid w:val="00F15A84"/>
    <w:rsid w:val="00F15CE6"/>
    <w:rsid w:val="00F15F99"/>
    <w:rsid w:val="00F15FAD"/>
    <w:rsid w:val="00F16095"/>
    <w:rsid w:val="00F160A1"/>
    <w:rsid w:val="00F161CA"/>
    <w:rsid w:val="00F1655A"/>
    <w:rsid w:val="00F1699E"/>
    <w:rsid w:val="00F16A5D"/>
    <w:rsid w:val="00F16AB2"/>
    <w:rsid w:val="00F16D5C"/>
    <w:rsid w:val="00F16DAF"/>
    <w:rsid w:val="00F16EC3"/>
    <w:rsid w:val="00F17061"/>
    <w:rsid w:val="00F1736B"/>
    <w:rsid w:val="00F17492"/>
    <w:rsid w:val="00F17493"/>
    <w:rsid w:val="00F1749B"/>
    <w:rsid w:val="00F1770B"/>
    <w:rsid w:val="00F1792B"/>
    <w:rsid w:val="00F179D3"/>
    <w:rsid w:val="00F17A16"/>
    <w:rsid w:val="00F17BFF"/>
    <w:rsid w:val="00F17D4F"/>
    <w:rsid w:val="00F17D73"/>
    <w:rsid w:val="00F201BE"/>
    <w:rsid w:val="00F203A0"/>
    <w:rsid w:val="00F204C9"/>
    <w:rsid w:val="00F205DD"/>
    <w:rsid w:val="00F20793"/>
    <w:rsid w:val="00F20880"/>
    <w:rsid w:val="00F20C77"/>
    <w:rsid w:val="00F20C8A"/>
    <w:rsid w:val="00F20D11"/>
    <w:rsid w:val="00F20D6B"/>
    <w:rsid w:val="00F2129F"/>
    <w:rsid w:val="00F21382"/>
    <w:rsid w:val="00F213B4"/>
    <w:rsid w:val="00F21544"/>
    <w:rsid w:val="00F2158C"/>
    <w:rsid w:val="00F215E0"/>
    <w:rsid w:val="00F216DC"/>
    <w:rsid w:val="00F217F4"/>
    <w:rsid w:val="00F21A56"/>
    <w:rsid w:val="00F21A91"/>
    <w:rsid w:val="00F21A97"/>
    <w:rsid w:val="00F21E13"/>
    <w:rsid w:val="00F22049"/>
    <w:rsid w:val="00F22543"/>
    <w:rsid w:val="00F225BC"/>
    <w:rsid w:val="00F22A66"/>
    <w:rsid w:val="00F22F8B"/>
    <w:rsid w:val="00F230CD"/>
    <w:rsid w:val="00F232C3"/>
    <w:rsid w:val="00F232D8"/>
    <w:rsid w:val="00F233D7"/>
    <w:rsid w:val="00F2356E"/>
    <w:rsid w:val="00F23662"/>
    <w:rsid w:val="00F237EA"/>
    <w:rsid w:val="00F238AB"/>
    <w:rsid w:val="00F23C8E"/>
    <w:rsid w:val="00F23CC5"/>
    <w:rsid w:val="00F23E82"/>
    <w:rsid w:val="00F23F56"/>
    <w:rsid w:val="00F24097"/>
    <w:rsid w:val="00F240A3"/>
    <w:rsid w:val="00F241D9"/>
    <w:rsid w:val="00F24221"/>
    <w:rsid w:val="00F24579"/>
    <w:rsid w:val="00F246DB"/>
    <w:rsid w:val="00F24713"/>
    <w:rsid w:val="00F24806"/>
    <w:rsid w:val="00F2483A"/>
    <w:rsid w:val="00F24CAC"/>
    <w:rsid w:val="00F24DAA"/>
    <w:rsid w:val="00F24FA0"/>
    <w:rsid w:val="00F251C4"/>
    <w:rsid w:val="00F251CA"/>
    <w:rsid w:val="00F2527A"/>
    <w:rsid w:val="00F254B9"/>
    <w:rsid w:val="00F25518"/>
    <w:rsid w:val="00F25A08"/>
    <w:rsid w:val="00F25B36"/>
    <w:rsid w:val="00F25C28"/>
    <w:rsid w:val="00F25DF3"/>
    <w:rsid w:val="00F25E13"/>
    <w:rsid w:val="00F261D0"/>
    <w:rsid w:val="00F262CD"/>
    <w:rsid w:val="00F265DE"/>
    <w:rsid w:val="00F26675"/>
    <w:rsid w:val="00F26A42"/>
    <w:rsid w:val="00F26C25"/>
    <w:rsid w:val="00F2735C"/>
    <w:rsid w:val="00F275AF"/>
    <w:rsid w:val="00F279C8"/>
    <w:rsid w:val="00F27ACA"/>
    <w:rsid w:val="00F27B09"/>
    <w:rsid w:val="00F27C0D"/>
    <w:rsid w:val="00F27C41"/>
    <w:rsid w:val="00F3020C"/>
    <w:rsid w:val="00F302EE"/>
    <w:rsid w:val="00F30383"/>
    <w:rsid w:val="00F303DE"/>
    <w:rsid w:val="00F3055F"/>
    <w:rsid w:val="00F306DC"/>
    <w:rsid w:val="00F30928"/>
    <w:rsid w:val="00F309BD"/>
    <w:rsid w:val="00F30A5F"/>
    <w:rsid w:val="00F30B22"/>
    <w:rsid w:val="00F30BD4"/>
    <w:rsid w:val="00F30D39"/>
    <w:rsid w:val="00F30FC6"/>
    <w:rsid w:val="00F31054"/>
    <w:rsid w:val="00F31277"/>
    <w:rsid w:val="00F3177E"/>
    <w:rsid w:val="00F317BF"/>
    <w:rsid w:val="00F31847"/>
    <w:rsid w:val="00F31A50"/>
    <w:rsid w:val="00F31ED1"/>
    <w:rsid w:val="00F31FB2"/>
    <w:rsid w:val="00F32098"/>
    <w:rsid w:val="00F32173"/>
    <w:rsid w:val="00F32180"/>
    <w:rsid w:val="00F323C7"/>
    <w:rsid w:val="00F32550"/>
    <w:rsid w:val="00F326C8"/>
    <w:rsid w:val="00F328ED"/>
    <w:rsid w:val="00F32A65"/>
    <w:rsid w:val="00F32B6D"/>
    <w:rsid w:val="00F32D44"/>
    <w:rsid w:val="00F3318D"/>
    <w:rsid w:val="00F333D3"/>
    <w:rsid w:val="00F333EA"/>
    <w:rsid w:val="00F335E0"/>
    <w:rsid w:val="00F3385A"/>
    <w:rsid w:val="00F33B3B"/>
    <w:rsid w:val="00F33C22"/>
    <w:rsid w:val="00F33C81"/>
    <w:rsid w:val="00F34304"/>
    <w:rsid w:val="00F3432C"/>
    <w:rsid w:val="00F34494"/>
    <w:rsid w:val="00F34514"/>
    <w:rsid w:val="00F3468E"/>
    <w:rsid w:val="00F34708"/>
    <w:rsid w:val="00F348CE"/>
    <w:rsid w:val="00F3490E"/>
    <w:rsid w:val="00F34990"/>
    <w:rsid w:val="00F34B3F"/>
    <w:rsid w:val="00F34B50"/>
    <w:rsid w:val="00F3505B"/>
    <w:rsid w:val="00F3543F"/>
    <w:rsid w:val="00F3552F"/>
    <w:rsid w:val="00F35679"/>
    <w:rsid w:val="00F3586D"/>
    <w:rsid w:val="00F35A02"/>
    <w:rsid w:val="00F35B71"/>
    <w:rsid w:val="00F35C2B"/>
    <w:rsid w:val="00F35C51"/>
    <w:rsid w:val="00F360FA"/>
    <w:rsid w:val="00F36145"/>
    <w:rsid w:val="00F361A9"/>
    <w:rsid w:val="00F364DC"/>
    <w:rsid w:val="00F3686A"/>
    <w:rsid w:val="00F36BAC"/>
    <w:rsid w:val="00F36CD8"/>
    <w:rsid w:val="00F36E1B"/>
    <w:rsid w:val="00F36E8A"/>
    <w:rsid w:val="00F3700D"/>
    <w:rsid w:val="00F370E1"/>
    <w:rsid w:val="00F37254"/>
    <w:rsid w:val="00F37290"/>
    <w:rsid w:val="00F373B6"/>
    <w:rsid w:val="00F3763E"/>
    <w:rsid w:val="00F376C8"/>
    <w:rsid w:val="00F37788"/>
    <w:rsid w:val="00F3794E"/>
    <w:rsid w:val="00F37C9A"/>
    <w:rsid w:val="00F37DB8"/>
    <w:rsid w:val="00F37DE2"/>
    <w:rsid w:val="00F40423"/>
    <w:rsid w:val="00F40681"/>
    <w:rsid w:val="00F406A8"/>
    <w:rsid w:val="00F40E85"/>
    <w:rsid w:val="00F4105D"/>
    <w:rsid w:val="00F41195"/>
    <w:rsid w:val="00F414B6"/>
    <w:rsid w:val="00F4193B"/>
    <w:rsid w:val="00F41CA7"/>
    <w:rsid w:val="00F41D0E"/>
    <w:rsid w:val="00F41D6B"/>
    <w:rsid w:val="00F42064"/>
    <w:rsid w:val="00F4213C"/>
    <w:rsid w:val="00F421E8"/>
    <w:rsid w:val="00F42216"/>
    <w:rsid w:val="00F42307"/>
    <w:rsid w:val="00F42394"/>
    <w:rsid w:val="00F4242C"/>
    <w:rsid w:val="00F42C67"/>
    <w:rsid w:val="00F42D97"/>
    <w:rsid w:val="00F42F5B"/>
    <w:rsid w:val="00F4325F"/>
    <w:rsid w:val="00F433BC"/>
    <w:rsid w:val="00F439D4"/>
    <w:rsid w:val="00F43BD5"/>
    <w:rsid w:val="00F43DCD"/>
    <w:rsid w:val="00F43DF7"/>
    <w:rsid w:val="00F44122"/>
    <w:rsid w:val="00F44327"/>
    <w:rsid w:val="00F44A53"/>
    <w:rsid w:val="00F44D4E"/>
    <w:rsid w:val="00F44FAA"/>
    <w:rsid w:val="00F44FD4"/>
    <w:rsid w:val="00F44FEA"/>
    <w:rsid w:val="00F452F9"/>
    <w:rsid w:val="00F4553E"/>
    <w:rsid w:val="00F455B9"/>
    <w:rsid w:val="00F4586A"/>
    <w:rsid w:val="00F458AE"/>
    <w:rsid w:val="00F45BE0"/>
    <w:rsid w:val="00F45D92"/>
    <w:rsid w:val="00F45EF5"/>
    <w:rsid w:val="00F45F5B"/>
    <w:rsid w:val="00F4615D"/>
    <w:rsid w:val="00F4635E"/>
    <w:rsid w:val="00F4638F"/>
    <w:rsid w:val="00F467B0"/>
    <w:rsid w:val="00F46845"/>
    <w:rsid w:val="00F468CA"/>
    <w:rsid w:val="00F4693D"/>
    <w:rsid w:val="00F46986"/>
    <w:rsid w:val="00F46A62"/>
    <w:rsid w:val="00F46E69"/>
    <w:rsid w:val="00F46F2F"/>
    <w:rsid w:val="00F47127"/>
    <w:rsid w:val="00F4718B"/>
    <w:rsid w:val="00F4785C"/>
    <w:rsid w:val="00F47A4E"/>
    <w:rsid w:val="00F47B49"/>
    <w:rsid w:val="00F47B72"/>
    <w:rsid w:val="00F47ED1"/>
    <w:rsid w:val="00F503B5"/>
    <w:rsid w:val="00F503F1"/>
    <w:rsid w:val="00F50534"/>
    <w:rsid w:val="00F50639"/>
    <w:rsid w:val="00F507E1"/>
    <w:rsid w:val="00F507FE"/>
    <w:rsid w:val="00F5081D"/>
    <w:rsid w:val="00F50D0C"/>
    <w:rsid w:val="00F50E5E"/>
    <w:rsid w:val="00F50FF7"/>
    <w:rsid w:val="00F5120D"/>
    <w:rsid w:val="00F5123F"/>
    <w:rsid w:val="00F51353"/>
    <w:rsid w:val="00F514CE"/>
    <w:rsid w:val="00F515AC"/>
    <w:rsid w:val="00F516E1"/>
    <w:rsid w:val="00F51884"/>
    <w:rsid w:val="00F519BA"/>
    <w:rsid w:val="00F51DA8"/>
    <w:rsid w:val="00F51E95"/>
    <w:rsid w:val="00F52048"/>
    <w:rsid w:val="00F52524"/>
    <w:rsid w:val="00F52635"/>
    <w:rsid w:val="00F5268E"/>
    <w:rsid w:val="00F527D4"/>
    <w:rsid w:val="00F5297C"/>
    <w:rsid w:val="00F52C01"/>
    <w:rsid w:val="00F52CB5"/>
    <w:rsid w:val="00F52D7C"/>
    <w:rsid w:val="00F530D1"/>
    <w:rsid w:val="00F53397"/>
    <w:rsid w:val="00F53610"/>
    <w:rsid w:val="00F5399D"/>
    <w:rsid w:val="00F539C8"/>
    <w:rsid w:val="00F53AB9"/>
    <w:rsid w:val="00F53BB2"/>
    <w:rsid w:val="00F53BDE"/>
    <w:rsid w:val="00F53BE8"/>
    <w:rsid w:val="00F53C0D"/>
    <w:rsid w:val="00F53CDC"/>
    <w:rsid w:val="00F54000"/>
    <w:rsid w:val="00F5403C"/>
    <w:rsid w:val="00F5415B"/>
    <w:rsid w:val="00F54236"/>
    <w:rsid w:val="00F54581"/>
    <w:rsid w:val="00F546C8"/>
    <w:rsid w:val="00F54819"/>
    <w:rsid w:val="00F548E0"/>
    <w:rsid w:val="00F54A28"/>
    <w:rsid w:val="00F54F12"/>
    <w:rsid w:val="00F54F6E"/>
    <w:rsid w:val="00F550CE"/>
    <w:rsid w:val="00F553BD"/>
    <w:rsid w:val="00F555C0"/>
    <w:rsid w:val="00F557E1"/>
    <w:rsid w:val="00F55813"/>
    <w:rsid w:val="00F558A1"/>
    <w:rsid w:val="00F559E3"/>
    <w:rsid w:val="00F55C58"/>
    <w:rsid w:val="00F55CB1"/>
    <w:rsid w:val="00F55CFB"/>
    <w:rsid w:val="00F55DE6"/>
    <w:rsid w:val="00F55EEA"/>
    <w:rsid w:val="00F55F48"/>
    <w:rsid w:val="00F55FCC"/>
    <w:rsid w:val="00F55FDE"/>
    <w:rsid w:val="00F56218"/>
    <w:rsid w:val="00F56245"/>
    <w:rsid w:val="00F563C6"/>
    <w:rsid w:val="00F5644A"/>
    <w:rsid w:val="00F56498"/>
    <w:rsid w:val="00F564B3"/>
    <w:rsid w:val="00F566E2"/>
    <w:rsid w:val="00F56A9A"/>
    <w:rsid w:val="00F57002"/>
    <w:rsid w:val="00F570A3"/>
    <w:rsid w:val="00F57148"/>
    <w:rsid w:val="00F571DA"/>
    <w:rsid w:val="00F573CF"/>
    <w:rsid w:val="00F574FB"/>
    <w:rsid w:val="00F57533"/>
    <w:rsid w:val="00F575AA"/>
    <w:rsid w:val="00F57765"/>
    <w:rsid w:val="00F577CC"/>
    <w:rsid w:val="00F577E7"/>
    <w:rsid w:val="00F5780C"/>
    <w:rsid w:val="00F57941"/>
    <w:rsid w:val="00F579E1"/>
    <w:rsid w:val="00F57A9F"/>
    <w:rsid w:val="00F57AE4"/>
    <w:rsid w:val="00F57C9B"/>
    <w:rsid w:val="00F57E50"/>
    <w:rsid w:val="00F57ECF"/>
    <w:rsid w:val="00F57FDB"/>
    <w:rsid w:val="00F6007C"/>
    <w:rsid w:val="00F601F1"/>
    <w:rsid w:val="00F60238"/>
    <w:rsid w:val="00F6029F"/>
    <w:rsid w:val="00F602CD"/>
    <w:rsid w:val="00F602F8"/>
    <w:rsid w:val="00F60921"/>
    <w:rsid w:val="00F60C12"/>
    <w:rsid w:val="00F60D30"/>
    <w:rsid w:val="00F60DD7"/>
    <w:rsid w:val="00F60F9D"/>
    <w:rsid w:val="00F612A2"/>
    <w:rsid w:val="00F612DE"/>
    <w:rsid w:val="00F61302"/>
    <w:rsid w:val="00F6147C"/>
    <w:rsid w:val="00F61B7F"/>
    <w:rsid w:val="00F61FD7"/>
    <w:rsid w:val="00F62131"/>
    <w:rsid w:val="00F6215D"/>
    <w:rsid w:val="00F62284"/>
    <w:rsid w:val="00F62373"/>
    <w:rsid w:val="00F623D6"/>
    <w:rsid w:val="00F62751"/>
    <w:rsid w:val="00F627FE"/>
    <w:rsid w:val="00F62A1B"/>
    <w:rsid w:val="00F62CD6"/>
    <w:rsid w:val="00F6301F"/>
    <w:rsid w:val="00F63074"/>
    <w:rsid w:val="00F634CB"/>
    <w:rsid w:val="00F636F0"/>
    <w:rsid w:val="00F638D1"/>
    <w:rsid w:val="00F6394A"/>
    <w:rsid w:val="00F63AD8"/>
    <w:rsid w:val="00F63CBE"/>
    <w:rsid w:val="00F63D80"/>
    <w:rsid w:val="00F63D82"/>
    <w:rsid w:val="00F63FD5"/>
    <w:rsid w:val="00F641CA"/>
    <w:rsid w:val="00F6429D"/>
    <w:rsid w:val="00F64423"/>
    <w:rsid w:val="00F648DD"/>
    <w:rsid w:val="00F64BE0"/>
    <w:rsid w:val="00F64DAA"/>
    <w:rsid w:val="00F64FB8"/>
    <w:rsid w:val="00F65016"/>
    <w:rsid w:val="00F650FD"/>
    <w:rsid w:val="00F6524D"/>
    <w:rsid w:val="00F652C9"/>
    <w:rsid w:val="00F653A9"/>
    <w:rsid w:val="00F653E7"/>
    <w:rsid w:val="00F65632"/>
    <w:rsid w:val="00F65763"/>
    <w:rsid w:val="00F65886"/>
    <w:rsid w:val="00F65904"/>
    <w:rsid w:val="00F65BF8"/>
    <w:rsid w:val="00F65D01"/>
    <w:rsid w:val="00F65D94"/>
    <w:rsid w:val="00F65DC2"/>
    <w:rsid w:val="00F65ED9"/>
    <w:rsid w:val="00F6607A"/>
    <w:rsid w:val="00F66166"/>
    <w:rsid w:val="00F66193"/>
    <w:rsid w:val="00F6641F"/>
    <w:rsid w:val="00F667E2"/>
    <w:rsid w:val="00F67074"/>
    <w:rsid w:val="00F6708E"/>
    <w:rsid w:val="00F675CC"/>
    <w:rsid w:val="00F67679"/>
    <w:rsid w:val="00F679A0"/>
    <w:rsid w:val="00F67AE5"/>
    <w:rsid w:val="00F70157"/>
    <w:rsid w:val="00F70389"/>
    <w:rsid w:val="00F704D8"/>
    <w:rsid w:val="00F70649"/>
    <w:rsid w:val="00F70796"/>
    <w:rsid w:val="00F70893"/>
    <w:rsid w:val="00F708FD"/>
    <w:rsid w:val="00F70B07"/>
    <w:rsid w:val="00F70D31"/>
    <w:rsid w:val="00F7109C"/>
    <w:rsid w:val="00F712E5"/>
    <w:rsid w:val="00F7171A"/>
    <w:rsid w:val="00F71760"/>
    <w:rsid w:val="00F7186E"/>
    <w:rsid w:val="00F7194D"/>
    <w:rsid w:val="00F7195D"/>
    <w:rsid w:val="00F71A11"/>
    <w:rsid w:val="00F71ACD"/>
    <w:rsid w:val="00F71BC2"/>
    <w:rsid w:val="00F71D2E"/>
    <w:rsid w:val="00F71F95"/>
    <w:rsid w:val="00F7245C"/>
    <w:rsid w:val="00F724AA"/>
    <w:rsid w:val="00F724DC"/>
    <w:rsid w:val="00F72574"/>
    <w:rsid w:val="00F7260D"/>
    <w:rsid w:val="00F72644"/>
    <w:rsid w:val="00F7267B"/>
    <w:rsid w:val="00F7271C"/>
    <w:rsid w:val="00F7290C"/>
    <w:rsid w:val="00F72966"/>
    <w:rsid w:val="00F730C9"/>
    <w:rsid w:val="00F732D7"/>
    <w:rsid w:val="00F736A6"/>
    <w:rsid w:val="00F736CF"/>
    <w:rsid w:val="00F73717"/>
    <w:rsid w:val="00F73824"/>
    <w:rsid w:val="00F73AC5"/>
    <w:rsid w:val="00F73D6E"/>
    <w:rsid w:val="00F74099"/>
    <w:rsid w:val="00F743C4"/>
    <w:rsid w:val="00F74455"/>
    <w:rsid w:val="00F7460C"/>
    <w:rsid w:val="00F746B5"/>
    <w:rsid w:val="00F749A9"/>
    <w:rsid w:val="00F74D2D"/>
    <w:rsid w:val="00F74DB2"/>
    <w:rsid w:val="00F74EEA"/>
    <w:rsid w:val="00F74F04"/>
    <w:rsid w:val="00F75077"/>
    <w:rsid w:val="00F75289"/>
    <w:rsid w:val="00F753C6"/>
    <w:rsid w:val="00F755B5"/>
    <w:rsid w:val="00F75B45"/>
    <w:rsid w:val="00F75B75"/>
    <w:rsid w:val="00F75D0A"/>
    <w:rsid w:val="00F75F36"/>
    <w:rsid w:val="00F7601A"/>
    <w:rsid w:val="00F762AC"/>
    <w:rsid w:val="00F7651F"/>
    <w:rsid w:val="00F7657D"/>
    <w:rsid w:val="00F7679E"/>
    <w:rsid w:val="00F76986"/>
    <w:rsid w:val="00F76CC7"/>
    <w:rsid w:val="00F76D8D"/>
    <w:rsid w:val="00F773CE"/>
    <w:rsid w:val="00F773FB"/>
    <w:rsid w:val="00F77496"/>
    <w:rsid w:val="00F775EC"/>
    <w:rsid w:val="00F776C8"/>
    <w:rsid w:val="00F777ED"/>
    <w:rsid w:val="00F77849"/>
    <w:rsid w:val="00F77A80"/>
    <w:rsid w:val="00F77FB6"/>
    <w:rsid w:val="00F8017F"/>
    <w:rsid w:val="00F80256"/>
    <w:rsid w:val="00F803CD"/>
    <w:rsid w:val="00F80419"/>
    <w:rsid w:val="00F8048F"/>
    <w:rsid w:val="00F804BB"/>
    <w:rsid w:val="00F805C0"/>
    <w:rsid w:val="00F80856"/>
    <w:rsid w:val="00F80890"/>
    <w:rsid w:val="00F8090C"/>
    <w:rsid w:val="00F8091D"/>
    <w:rsid w:val="00F80958"/>
    <w:rsid w:val="00F80A94"/>
    <w:rsid w:val="00F80D19"/>
    <w:rsid w:val="00F80E41"/>
    <w:rsid w:val="00F80EAB"/>
    <w:rsid w:val="00F80F77"/>
    <w:rsid w:val="00F81583"/>
    <w:rsid w:val="00F8164B"/>
    <w:rsid w:val="00F816FC"/>
    <w:rsid w:val="00F81744"/>
    <w:rsid w:val="00F81756"/>
    <w:rsid w:val="00F8178C"/>
    <w:rsid w:val="00F8189F"/>
    <w:rsid w:val="00F8196B"/>
    <w:rsid w:val="00F819D1"/>
    <w:rsid w:val="00F81D02"/>
    <w:rsid w:val="00F81D1B"/>
    <w:rsid w:val="00F81D6F"/>
    <w:rsid w:val="00F81F95"/>
    <w:rsid w:val="00F82036"/>
    <w:rsid w:val="00F82118"/>
    <w:rsid w:val="00F821D1"/>
    <w:rsid w:val="00F82301"/>
    <w:rsid w:val="00F824BB"/>
    <w:rsid w:val="00F82530"/>
    <w:rsid w:val="00F82729"/>
    <w:rsid w:val="00F82748"/>
    <w:rsid w:val="00F8274C"/>
    <w:rsid w:val="00F8286E"/>
    <w:rsid w:val="00F82A76"/>
    <w:rsid w:val="00F82A7E"/>
    <w:rsid w:val="00F82D4F"/>
    <w:rsid w:val="00F83115"/>
    <w:rsid w:val="00F83201"/>
    <w:rsid w:val="00F83214"/>
    <w:rsid w:val="00F8321B"/>
    <w:rsid w:val="00F8347C"/>
    <w:rsid w:val="00F836AD"/>
    <w:rsid w:val="00F837F6"/>
    <w:rsid w:val="00F838B2"/>
    <w:rsid w:val="00F83A1D"/>
    <w:rsid w:val="00F83A1E"/>
    <w:rsid w:val="00F83B4A"/>
    <w:rsid w:val="00F83E82"/>
    <w:rsid w:val="00F83FF6"/>
    <w:rsid w:val="00F840B4"/>
    <w:rsid w:val="00F84121"/>
    <w:rsid w:val="00F842DB"/>
    <w:rsid w:val="00F84335"/>
    <w:rsid w:val="00F84428"/>
    <w:rsid w:val="00F8443A"/>
    <w:rsid w:val="00F847FB"/>
    <w:rsid w:val="00F84822"/>
    <w:rsid w:val="00F84A3A"/>
    <w:rsid w:val="00F84B29"/>
    <w:rsid w:val="00F84B51"/>
    <w:rsid w:val="00F84C9C"/>
    <w:rsid w:val="00F84D55"/>
    <w:rsid w:val="00F84E54"/>
    <w:rsid w:val="00F84F65"/>
    <w:rsid w:val="00F8506B"/>
    <w:rsid w:val="00F850B9"/>
    <w:rsid w:val="00F850F5"/>
    <w:rsid w:val="00F85227"/>
    <w:rsid w:val="00F8532D"/>
    <w:rsid w:val="00F85349"/>
    <w:rsid w:val="00F854D3"/>
    <w:rsid w:val="00F85998"/>
    <w:rsid w:val="00F85FFC"/>
    <w:rsid w:val="00F8611C"/>
    <w:rsid w:val="00F8628A"/>
    <w:rsid w:val="00F862E1"/>
    <w:rsid w:val="00F86367"/>
    <w:rsid w:val="00F86469"/>
    <w:rsid w:val="00F8646D"/>
    <w:rsid w:val="00F8670C"/>
    <w:rsid w:val="00F86D62"/>
    <w:rsid w:val="00F86D9E"/>
    <w:rsid w:val="00F87067"/>
    <w:rsid w:val="00F871B0"/>
    <w:rsid w:val="00F8721F"/>
    <w:rsid w:val="00F87320"/>
    <w:rsid w:val="00F87676"/>
    <w:rsid w:val="00F876A0"/>
    <w:rsid w:val="00F87719"/>
    <w:rsid w:val="00F87965"/>
    <w:rsid w:val="00F87D07"/>
    <w:rsid w:val="00F9009F"/>
    <w:rsid w:val="00F900B0"/>
    <w:rsid w:val="00F90192"/>
    <w:rsid w:val="00F90869"/>
    <w:rsid w:val="00F90968"/>
    <w:rsid w:val="00F90A03"/>
    <w:rsid w:val="00F90AAE"/>
    <w:rsid w:val="00F90AB3"/>
    <w:rsid w:val="00F90B82"/>
    <w:rsid w:val="00F90FB6"/>
    <w:rsid w:val="00F912ED"/>
    <w:rsid w:val="00F91338"/>
    <w:rsid w:val="00F91649"/>
    <w:rsid w:val="00F9183B"/>
    <w:rsid w:val="00F91AE1"/>
    <w:rsid w:val="00F91E8F"/>
    <w:rsid w:val="00F922BE"/>
    <w:rsid w:val="00F92418"/>
    <w:rsid w:val="00F9248D"/>
    <w:rsid w:val="00F925F8"/>
    <w:rsid w:val="00F927C3"/>
    <w:rsid w:val="00F92A07"/>
    <w:rsid w:val="00F92CB1"/>
    <w:rsid w:val="00F92CCE"/>
    <w:rsid w:val="00F92D2A"/>
    <w:rsid w:val="00F93043"/>
    <w:rsid w:val="00F93176"/>
    <w:rsid w:val="00F9348A"/>
    <w:rsid w:val="00F935F6"/>
    <w:rsid w:val="00F9364E"/>
    <w:rsid w:val="00F936C0"/>
    <w:rsid w:val="00F93E25"/>
    <w:rsid w:val="00F93EB4"/>
    <w:rsid w:val="00F942DB"/>
    <w:rsid w:val="00F94315"/>
    <w:rsid w:val="00F94338"/>
    <w:rsid w:val="00F944A9"/>
    <w:rsid w:val="00F9451A"/>
    <w:rsid w:val="00F94801"/>
    <w:rsid w:val="00F94CCE"/>
    <w:rsid w:val="00F94D44"/>
    <w:rsid w:val="00F94ED1"/>
    <w:rsid w:val="00F94F2C"/>
    <w:rsid w:val="00F951BD"/>
    <w:rsid w:val="00F9531E"/>
    <w:rsid w:val="00F9560E"/>
    <w:rsid w:val="00F95725"/>
    <w:rsid w:val="00F957FF"/>
    <w:rsid w:val="00F95B56"/>
    <w:rsid w:val="00F95C85"/>
    <w:rsid w:val="00F95E2B"/>
    <w:rsid w:val="00F95F3B"/>
    <w:rsid w:val="00F9626F"/>
    <w:rsid w:val="00F96284"/>
    <w:rsid w:val="00F9631B"/>
    <w:rsid w:val="00F96640"/>
    <w:rsid w:val="00F96958"/>
    <w:rsid w:val="00F96BBC"/>
    <w:rsid w:val="00F96DCB"/>
    <w:rsid w:val="00F96E38"/>
    <w:rsid w:val="00F976D1"/>
    <w:rsid w:val="00F97721"/>
    <w:rsid w:val="00F97729"/>
    <w:rsid w:val="00F977BA"/>
    <w:rsid w:val="00F977E5"/>
    <w:rsid w:val="00F979CF"/>
    <w:rsid w:val="00F97F89"/>
    <w:rsid w:val="00F97FA1"/>
    <w:rsid w:val="00FA00B0"/>
    <w:rsid w:val="00FA0116"/>
    <w:rsid w:val="00FA0133"/>
    <w:rsid w:val="00FA0145"/>
    <w:rsid w:val="00FA078C"/>
    <w:rsid w:val="00FA0AFE"/>
    <w:rsid w:val="00FA0B31"/>
    <w:rsid w:val="00FA0C75"/>
    <w:rsid w:val="00FA0C82"/>
    <w:rsid w:val="00FA0C86"/>
    <w:rsid w:val="00FA0CF4"/>
    <w:rsid w:val="00FA0DB6"/>
    <w:rsid w:val="00FA0F6D"/>
    <w:rsid w:val="00FA0FE8"/>
    <w:rsid w:val="00FA10DE"/>
    <w:rsid w:val="00FA1116"/>
    <w:rsid w:val="00FA1595"/>
    <w:rsid w:val="00FA15FE"/>
    <w:rsid w:val="00FA189C"/>
    <w:rsid w:val="00FA1C36"/>
    <w:rsid w:val="00FA1C76"/>
    <w:rsid w:val="00FA1E76"/>
    <w:rsid w:val="00FA2098"/>
    <w:rsid w:val="00FA20A2"/>
    <w:rsid w:val="00FA20E3"/>
    <w:rsid w:val="00FA20E6"/>
    <w:rsid w:val="00FA2242"/>
    <w:rsid w:val="00FA23AA"/>
    <w:rsid w:val="00FA26BE"/>
    <w:rsid w:val="00FA2739"/>
    <w:rsid w:val="00FA2976"/>
    <w:rsid w:val="00FA29A5"/>
    <w:rsid w:val="00FA2C5B"/>
    <w:rsid w:val="00FA2D74"/>
    <w:rsid w:val="00FA2DA7"/>
    <w:rsid w:val="00FA2F29"/>
    <w:rsid w:val="00FA3015"/>
    <w:rsid w:val="00FA3051"/>
    <w:rsid w:val="00FA3488"/>
    <w:rsid w:val="00FA351A"/>
    <w:rsid w:val="00FA392C"/>
    <w:rsid w:val="00FA3AC4"/>
    <w:rsid w:val="00FA3B94"/>
    <w:rsid w:val="00FA3B99"/>
    <w:rsid w:val="00FA3BE6"/>
    <w:rsid w:val="00FA3C07"/>
    <w:rsid w:val="00FA3D51"/>
    <w:rsid w:val="00FA408B"/>
    <w:rsid w:val="00FA432B"/>
    <w:rsid w:val="00FA45A7"/>
    <w:rsid w:val="00FA464B"/>
    <w:rsid w:val="00FA51CF"/>
    <w:rsid w:val="00FA5343"/>
    <w:rsid w:val="00FA5603"/>
    <w:rsid w:val="00FA5764"/>
    <w:rsid w:val="00FA5AF5"/>
    <w:rsid w:val="00FA5AFA"/>
    <w:rsid w:val="00FA5B20"/>
    <w:rsid w:val="00FA5B4B"/>
    <w:rsid w:val="00FA5B5D"/>
    <w:rsid w:val="00FA5D00"/>
    <w:rsid w:val="00FA5F8F"/>
    <w:rsid w:val="00FA6073"/>
    <w:rsid w:val="00FA620F"/>
    <w:rsid w:val="00FA6323"/>
    <w:rsid w:val="00FA658E"/>
    <w:rsid w:val="00FA6728"/>
    <w:rsid w:val="00FA6845"/>
    <w:rsid w:val="00FA6BD6"/>
    <w:rsid w:val="00FA6E68"/>
    <w:rsid w:val="00FA6F38"/>
    <w:rsid w:val="00FA6FFD"/>
    <w:rsid w:val="00FA7119"/>
    <w:rsid w:val="00FA71EE"/>
    <w:rsid w:val="00FA7217"/>
    <w:rsid w:val="00FA722C"/>
    <w:rsid w:val="00FA7515"/>
    <w:rsid w:val="00FA772A"/>
    <w:rsid w:val="00FA7738"/>
    <w:rsid w:val="00FA77C5"/>
    <w:rsid w:val="00FA77D4"/>
    <w:rsid w:val="00FA786A"/>
    <w:rsid w:val="00FA7990"/>
    <w:rsid w:val="00FA7A05"/>
    <w:rsid w:val="00FA7A31"/>
    <w:rsid w:val="00FA7B7B"/>
    <w:rsid w:val="00FA7D36"/>
    <w:rsid w:val="00FA7D71"/>
    <w:rsid w:val="00FA7DF2"/>
    <w:rsid w:val="00FA7FF8"/>
    <w:rsid w:val="00FB01D6"/>
    <w:rsid w:val="00FB01F1"/>
    <w:rsid w:val="00FB032E"/>
    <w:rsid w:val="00FB03AC"/>
    <w:rsid w:val="00FB0507"/>
    <w:rsid w:val="00FB05B4"/>
    <w:rsid w:val="00FB05EB"/>
    <w:rsid w:val="00FB0626"/>
    <w:rsid w:val="00FB06F7"/>
    <w:rsid w:val="00FB0712"/>
    <w:rsid w:val="00FB0963"/>
    <w:rsid w:val="00FB0B5A"/>
    <w:rsid w:val="00FB0B93"/>
    <w:rsid w:val="00FB0D60"/>
    <w:rsid w:val="00FB0E6D"/>
    <w:rsid w:val="00FB0F9C"/>
    <w:rsid w:val="00FB1044"/>
    <w:rsid w:val="00FB1054"/>
    <w:rsid w:val="00FB1058"/>
    <w:rsid w:val="00FB10F7"/>
    <w:rsid w:val="00FB1226"/>
    <w:rsid w:val="00FB12BE"/>
    <w:rsid w:val="00FB12C7"/>
    <w:rsid w:val="00FB14A2"/>
    <w:rsid w:val="00FB1684"/>
    <w:rsid w:val="00FB1847"/>
    <w:rsid w:val="00FB18D4"/>
    <w:rsid w:val="00FB19C4"/>
    <w:rsid w:val="00FB1A92"/>
    <w:rsid w:val="00FB1C33"/>
    <w:rsid w:val="00FB2080"/>
    <w:rsid w:val="00FB2393"/>
    <w:rsid w:val="00FB23E4"/>
    <w:rsid w:val="00FB2597"/>
    <w:rsid w:val="00FB270B"/>
    <w:rsid w:val="00FB2B11"/>
    <w:rsid w:val="00FB2B1E"/>
    <w:rsid w:val="00FB2DDE"/>
    <w:rsid w:val="00FB2EBF"/>
    <w:rsid w:val="00FB3085"/>
    <w:rsid w:val="00FB315B"/>
    <w:rsid w:val="00FB3348"/>
    <w:rsid w:val="00FB339C"/>
    <w:rsid w:val="00FB3573"/>
    <w:rsid w:val="00FB3579"/>
    <w:rsid w:val="00FB377B"/>
    <w:rsid w:val="00FB3845"/>
    <w:rsid w:val="00FB396D"/>
    <w:rsid w:val="00FB3D62"/>
    <w:rsid w:val="00FB42C4"/>
    <w:rsid w:val="00FB44D8"/>
    <w:rsid w:val="00FB45FE"/>
    <w:rsid w:val="00FB474B"/>
    <w:rsid w:val="00FB4794"/>
    <w:rsid w:val="00FB4C97"/>
    <w:rsid w:val="00FB4D69"/>
    <w:rsid w:val="00FB4E34"/>
    <w:rsid w:val="00FB4E5F"/>
    <w:rsid w:val="00FB50F3"/>
    <w:rsid w:val="00FB5183"/>
    <w:rsid w:val="00FB51B6"/>
    <w:rsid w:val="00FB5251"/>
    <w:rsid w:val="00FB5290"/>
    <w:rsid w:val="00FB52ED"/>
    <w:rsid w:val="00FB533D"/>
    <w:rsid w:val="00FB556D"/>
    <w:rsid w:val="00FB5663"/>
    <w:rsid w:val="00FB5953"/>
    <w:rsid w:val="00FB59A6"/>
    <w:rsid w:val="00FB5A1A"/>
    <w:rsid w:val="00FB5A28"/>
    <w:rsid w:val="00FB5A85"/>
    <w:rsid w:val="00FB5B4E"/>
    <w:rsid w:val="00FB5CF4"/>
    <w:rsid w:val="00FB5DBA"/>
    <w:rsid w:val="00FB5EC3"/>
    <w:rsid w:val="00FB5F04"/>
    <w:rsid w:val="00FB63C0"/>
    <w:rsid w:val="00FB6674"/>
    <w:rsid w:val="00FB6926"/>
    <w:rsid w:val="00FB69A0"/>
    <w:rsid w:val="00FB69F8"/>
    <w:rsid w:val="00FB6C7F"/>
    <w:rsid w:val="00FB6F02"/>
    <w:rsid w:val="00FB7120"/>
    <w:rsid w:val="00FB720B"/>
    <w:rsid w:val="00FB729D"/>
    <w:rsid w:val="00FB73D0"/>
    <w:rsid w:val="00FB7550"/>
    <w:rsid w:val="00FB7B3A"/>
    <w:rsid w:val="00FB7DA1"/>
    <w:rsid w:val="00FB7FA8"/>
    <w:rsid w:val="00FC0599"/>
    <w:rsid w:val="00FC0A33"/>
    <w:rsid w:val="00FC0D87"/>
    <w:rsid w:val="00FC0E94"/>
    <w:rsid w:val="00FC0F1A"/>
    <w:rsid w:val="00FC0F50"/>
    <w:rsid w:val="00FC1122"/>
    <w:rsid w:val="00FC1375"/>
    <w:rsid w:val="00FC151F"/>
    <w:rsid w:val="00FC1931"/>
    <w:rsid w:val="00FC1A05"/>
    <w:rsid w:val="00FC1AED"/>
    <w:rsid w:val="00FC1B75"/>
    <w:rsid w:val="00FC2083"/>
    <w:rsid w:val="00FC211E"/>
    <w:rsid w:val="00FC2256"/>
    <w:rsid w:val="00FC231E"/>
    <w:rsid w:val="00FC249D"/>
    <w:rsid w:val="00FC2762"/>
    <w:rsid w:val="00FC28A1"/>
    <w:rsid w:val="00FC2ACB"/>
    <w:rsid w:val="00FC2CD1"/>
    <w:rsid w:val="00FC3274"/>
    <w:rsid w:val="00FC32DB"/>
    <w:rsid w:val="00FC36B3"/>
    <w:rsid w:val="00FC3A71"/>
    <w:rsid w:val="00FC3AD6"/>
    <w:rsid w:val="00FC3B35"/>
    <w:rsid w:val="00FC3EFB"/>
    <w:rsid w:val="00FC3F51"/>
    <w:rsid w:val="00FC41F8"/>
    <w:rsid w:val="00FC4442"/>
    <w:rsid w:val="00FC446E"/>
    <w:rsid w:val="00FC464D"/>
    <w:rsid w:val="00FC477D"/>
    <w:rsid w:val="00FC478B"/>
    <w:rsid w:val="00FC4990"/>
    <w:rsid w:val="00FC4CFD"/>
    <w:rsid w:val="00FC4ECA"/>
    <w:rsid w:val="00FC4F5D"/>
    <w:rsid w:val="00FC504F"/>
    <w:rsid w:val="00FC50EF"/>
    <w:rsid w:val="00FC519F"/>
    <w:rsid w:val="00FC5518"/>
    <w:rsid w:val="00FC57BF"/>
    <w:rsid w:val="00FC57F9"/>
    <w:rsid w:val="00FC5C28"/>
    <w:rsid w:val="00FC5DC1"/>
    <w:rsid w:val="00FC5E73"/>
    <w:rsid w:val="00FC5FD1"/>
    <w:rsid w:val="00FC61E5"/>
    <w:rsid w:val="00FC64A8"/>
    <w:rsid w:val="00FC65A4"/>
    <w:rsid w:val="00FC67DF"/>
    <w:rsid w:val="00FC6817"/>
    <w:rsid w:val="00FC6A7D"/>
    <w:rsid w:val="00FC6B1C"/>
    <w:rsid w:val="00FC6C8A"/>
    <w:rsid w:val="00FC7143"/>
    <w:rsid w:val="00FC72DF"/>
    <w:rsid w:val="00FC73A4"/>
    <w:rsid w:val="00FC75BC"/>
    <w:rsid w:val="00FC75D3"/>
    <w:rsid w:val="00FC7796"/>
    <w:rsid w:val="00FC77D2"/>
    <w:rsid w:val="00FC7813"/>
    <w:rsid w:val="00FC7842"/>
    <w:rsid w:val="00FC7D2E"/>
    <w:rsid w:val="00FC7F57"/>
    <w:rsid w:val="00FD0316"/>
    <w:rsid w:val="00FD038B"/>
    <w:rsid w:val="00FD038C"/>
    <w:rsid w:val="00FD065A"/>
    <w:rsid w:val="00FD06B7"/>
    <w:rsid w:val="00FD0756"/>
    <w:rsid w:val="00FD099A"/>
    <w:rsid w:val="00FD0A2E"/>
    <w:rsid w:val="00FD1179"/>
    <w:rsid w:val="00FD1198"/>
    <w:rsid w:val="00FD14F3"/>
    <w:rsid w:val="00FD156E"/>
    <w:rsid w:val="00FD1614"/>
    <w:rsid w:val="00FD176C"/>
    <w:rsid w:val="00FD189A"/>
    <w:rsid w:val="00FD1F96"/>
    <w:rsid w:val="00FD204E"/>
    <w:rsid w:val="00FD2051"/>
    <w:rsid w:val="00FD212D"/>
    <w:rsid w:val="00FD225D"/>
    <w:rsid w:val="00FD2485"/>
    <w:rsid w:val="00FD265C"/>
    <w:rsid w:val="00FD276C"/>
    <w:rsid w:val="00FD2852"/>
    <w:rsid w:val="00FD2AB3"/>
    <w:rsid w:val="00FD2C41"/>
    <w:rsid w:val="00FD2D27"/>
    <w:rsid w:val="00FD2E98"/>
    <w:rsid w:val="00FD2F5F"/>
    <w:rsid w:val="00FD302E"/>
    <w:rsid w:val="00FD349D"/>
    <w:rsid w:val="00FD35AA"/>
    <w:rsid w:val="00FD36A3"/>
    <w:rsid w:val="00FD37C4"/>
    <w:rsid w:val="00FD384E"/>
    <w:rsid w:val="00FD394F"/>
    <w:rsid w:val="00FD3AB7"/>
    <w:rsid w:val="00FD3D97"/>
    <w:rsid w:val="00FD3D9D"/>
    <w:rsid w:val="00FD4156"/>
    <w:rsid w:val="00FD43DA"/>
    <w:rsid w:val="00FD478A"/>
    <w:rsid w:val="00FD49C2"/>
    <w:rsid w:val="00FD4A44"/>
    <w:rsid w:val="00FD4AA0"/>
    <w:rsid w:val="00FD4B82"/>
    <w:rsid w:val="00FD4C41"/>
    <w:rsid w:val="00FD4D14"/>
    <w:rsid w:val="00FD5699"/>
    <w:rsid w:val="00FD5AB1"/>
    <w:rsid w:val="00FD5B01"/>
    <w:rsid w:val="00FD5BFC"/>
    <w:rsid w:val="00FD5F83"/>
    <w:rsid w:val="00FD6021"/>
    <w:rsid w:val="00FD607C"/>
    <w:rsid w:val="00FD6726"/>
    <w:rsid w:val="00FD686D"/>
    <w:rsid w:val="00FD70D6"/>
    <w:rsid w:val="00FD76B4"/>
    <w:rsid w:val="00FD7767"/>
    <w:rsid w:val="00FD77F4"/>
    <w:rsid w:val="00FD7B8C"/>
    <w:rsid w:val="00FE0396"/>
    <w:rsid w:val="00FE03DA"/>
    <w:rsid w:val="00FE0519"/>
    <w:rsid w:val="00FE0565"/>
    <w:rsid w:val="00FE0662"/>
    <w:rsid w:val="00FE098C"/>
    <w:rsid w:val="00FE0CB9"/>
    <w:rsid w:val="00FE0FDD"/>
    <w:rsid w:val="00FE1081"/>
    <w:rsid w:val="00FE119C"/>
    <w:rsid w:val="00FE1298"/>
    <w:rsid w:val="00FE13F1"/>
    <w:rsid w:val="00FE1651"/>
    <w:rsid w:val="00FE1AB6"/>
    <w:rsid w:val="00FE1B42"/>
    <w:rsid w:val="00FE1C81"/>
    <w:rsid w:val="00FE210B"/>
    <w:rsid w:val="00FE2180"/>
    <w:rsid w:val="00FE22E8"/>
    <w:rsid w:val="00FE2353"/>
    <w:rsid w:val="00FE24DF"/>
    <w:rsid w:val="00FE2542"/>
    <w:rsid w:val="00FE2552"/>
    <w:rsid w:val="00FE25D1"/>
    <w:rsid w:val="00FE2806"/>
    <w:rsid w:val="00FE290A"/>
    <w:rsid w:val="00FE294D"/>
    <w:rsid w:val="00FE29CD"/>
    <w:rsid w:val="00FE2C00"/>
    <w:rsid w:val="00FE2D7D"/>
    <w:rsid w:val="00FE2FAE"/>
    <w:rsid w:val="00FE30DE"/>
    <w:rsid w:val="00FE3278"/>
    <w:rsid w:val="00FE32F5"/>
    <w:rsid w:val="00FE3506"/>
    <w:rsid w:val="00FE36E9"/>
    <w:rsid w:val="00FE38F8"/>
    <w:rsid w:val="00FE393C"/>
    <w:rsid w:val="00FE3AAC"/>
    <w:rsid w:val="00FE3D8F"/>
    <w:rsid w:val="00FE3E1C"/>
    <w:rsid w:val="00FE3ED7"/>
    <w:rsid w:val="00FE3F06"/>
    <w:rsid w:val="00FE3FBE"/>
    <w:rsid w:val="00FE4090"/>
    <w:rsid w:val="00FE4380"/>
    <w:rsid w:val="00FE467A"/>
    <w:rsid w:val="00FE47DE"/>
    <w:rsid w:val="00FE49D6"/>
    <w:rsid w:val="00FE4C54"/>
    <w:rsid w:val="00FE4D73"/>
    <w:rsid w:val="00FE4F7F"/>
    <w:rsid w:val="00FE4FA4"/>
    <w:rsid w:val="00FE50A5"/>
    <w:rsid w:val="00FE50BD"/>
    <w:rsid w:val="00FE531F"/>
    <w:rsid w:val="00FE5465"/>
    <w:rsid w:val="00FE5599"/>
    <w:rsid w:val="00FE594B"/>
    <w:rsid w:val="00FE59B9"/>
    <w:rsid w:val="00FE5A19"/>
    <w:rsid w:val="00FE5CF2"/>
    <w:rsid w:val="00FE5DCE"/>
    <w:rsid w:val="00FE5F41"/>
    <w:rsid w:val="00FE621A"/>
    <w:rsid w:val="00FE66AE"/>
    <w:rsid w:val="00FE67C3"/>
    <w:rsid w:val="00FE67F1"/>
    <w:rsid w:val="00FE6A82"/>
    <w:rsid w:val="00FE6AD1"/>
    <w:rsid w:val="00FE6AD3"/>
    <w:rsid w:val="00FE6B83"/>
    <w:rsid w:val="00FE6CBF"/>
    <w:rsid w:val="00FE6D39"/>
    <w:rsid w:val="00FE6DAC"/>
    <w:rsid w:val="00FE6DFB"/>
    <w:rsid w:val="00FE7153"/>
    <w:rsid w:val="00FE736D"/>
    <w:rsid w:val="00FE73B9"/>
    <w:rsid w:val="00FE7615"/>
    <w:rsid w:val="00FE7622"/>
    <w:rsid w:val="00FE770C"/>
    <w:rsid w:val="00FE7751"/>
    <w:rsid w:val="00FE7D42"/>
    <w:rsid w:val="00FE7F41"/>
    <w:rsid w:val="00FE7F9B"/>
    <w:rsid w:val="00FF0031"/>
    <w:rsid w:val="00FF00B1"/>
    <w:rsid w:val="00FF0654"/>
    <w:rsid w:val="00FF073C"/>
    <w:rsid w:val="00FF0861"/>
    <w:rsid w:val="00FF0D8F"/>
    <w:rsid w:val="00FF0E17"/>
    <w:rsid w:val="00FF0EA0"/>
    <w:rsid w:val="00FF14C9"/>
    <w:rsid w:val="00FF15D0"/>
    <w:rsid w:val="00FF16A1"/>
    <w:rsid w:val="00FF17B9"/>
    <w:rsid w:val="00FF1A06"/>
    <w:rsid w:val="00FF1A4E"/>
    <w:rsid w:val="00FF2066"/>
    <w:rsid w:val="00FF21FA"/>
    <w:rsid w:val="00FF22AF"/>
    <w:rsid w:val="00FF2643"/>
    <w:rsid w:val="00FF27A3"/>
    <w:rsid w:val="00FF27BF"/>
    <w:rsid w:val="00FF2917"/>
    <w:rsid w:val="00FF2E29"/>
    <w:rsid w:val="00FF30A2"/>
    <w:rsid w:val="00FF30DF"/>
    <w:rsid w:val="00FF324C"/>
    <w:rsid w:val="00FF3258"/>
    <w:rsid w:val="00FF32AD"/>
    <w:rsid w:val="00FF3379"/>
    <w:rsid w:val="00FF3504"/>
    <w:rsid w:val="00FF362D"/>
    <w:rsid w:val="00FF370A"/>
    <w:rsid w:val="00FF3717"/>
    <w:rsid w:val="00FF383A"/>
    <w:rsid w:val="00FF3943"/>
    <w:rsid w:val="00FF3BBB"/>
    <w:rsid w:val="00FF3EE3"/>
    <w:rsid w:val="00FF41A5"/>
    <w:rsid w:val="00FF425A"/>
    <w:rsid w:val="00FF44AB"/>
    <w:rsid w:val="00FF4504"/>
    <w:rsid w:val="00FF4891"/>
    <w:rsid w:val="00FF48A1"/>
    <w:rsid w:val="00FF48BA"/>
    <w:rsid w:val="00FF4A2E"/>
    <w:rsid w:val="00FF4D01"/>
    <w:rsid w:val="00FF4DFD"/>
    <w:rsid w:val="00FF516C"/>
    <w:rsid w:val="00FF5415"/>
    <w:rsid w:val="00FF558B"/>
    <w:rsid w:val="00FF56C1"/>
    <w:rsid w:val="00FF60F9"/>
    <w:rsid w:val="00FF6315"/>
    <w:rsid w:val="00FF632A"/>
    <w:rsid w:val="00FF634F"/>
    <w:rsid w:val="00FF6737"/>
    <w:rsid w:val="00FF69D0"/>
    <w:rsid w:val="00FF6B1B"/>
    <w:rsid w:val="00FF6E51"/>
    <w:rsid w:val="00FF6E52"/>
    <w:rsid w:val="00FF6EE2"/>
    <w:rsid w:val="00FF6F34"/>
    <w:rsid w:val="00FF70AF"/>
    <w:rsid w:val="00FF7359"/>
    <w:rsid w:val="00FF73D6"/>
    <w:rsid w:val="00FF741E"/>
    <w:rsid w:val="00FF7785"/>
    <w:rsid w:val="00FF78CF"/>
    <w:rsid w:val="00FF7BF2"/>
    <w:rsid w:val="00FF7CEE"/>
    <w:rsid w:val="00FF7D44"/>
    <w:rsid w:val="06D3AB97"/>
    <w:rsid w:val="0D7524B9"/>
    <w:rsid w:val="20C9F8D5"/>
    <w:rsid w:val="2B5B4FD8"/>
    <w:rsid w:val="3A4B0EDE"/>
    <w:rsid w:val="45CCFAE6"/>
    <w:rsid w:val="50B34F5D"/>
    <w:rsid w:val="5A594024"/>
    <w:rsid w:val="5AF3C36A"/>
    <w:rsid w:val="5B036CFA"/>
    <w:rsid w:val="62B5B711"/>
    <w:rsid w:val="6A159011"/>
    <w:rsid w:val="6A2B8F7F"/>
    <w:rsid w:val="6A4CF0ED"/>
    <w:rsid w:val="6D6D3DE9"/>
    <w:rsid w:val="7B23F030"/>
    <w:rsid w:val="7B8DB73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147B"/>
  <w15:chartTrackingRefBased/>
  <w15:docId w15:val="{76773E03-AC8C-49FB-9EB9-CEAE73312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color w:val="000000" w:themeColor="text1"/>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9F0"/>
    <w:pPr>
      <w:suppressAutoHyphens/>
      <w:autoSpaceDE w:val="0"/>
      <w:autoSpaceDN w:val="0"/>
      <w:adjustRightInd w:val="0"/>
      <w:textAlignment w:val="center"/>
    </w:pPr>
    <w:rPr>
      <w:color w:val="202C4B"/>
    </w:rPr>
  </w:style>
  <w:style w:type="paragraph" w:styleId="Titre1">
    <w:name w:val="heading 1"/>
    <w:next w:val="Paragraphe"/>
    <w:link w:val="Titre1Car"/>
    <w:autoRedefine/>
    <w:uiPriority w:val="2"/>
    <w:qFormat/>
    <w:rsid w:val="009F5FF9"/>
    <w:pPr>
      <w:keepNext/>
      <w:keepLines/>
      <w:numPr>
        <w:numId w:val="3"/>
      </w:numPr>
      <w:tabs>
        <w:tab w:val="left" w:pos="567"/>
      </w:tabs>
      <w:spacing w:before="240" w:after="240"/>
      <w:ind w:left="567" w:hanging="567"/>
      <w:outlineLvl w:val="0"/>
    </w:pPr>
    <w:rPr>
      <w:rFonts w:cs="Arial"/>
      <w:b/>
      <w:bCs/>
      <w:noProof/>
      <w:color w:val="202C4B"/>
      <w:spacing w:val="-10"/>
      <w:kern w:val="28"/>
      <w:sz w:val="36"/>
      <w:lang w:eastAsia="fr-CA"/>
    </w:rPr>
  </w:style>
  <w:style w:type="paragraph" w:styleId="Titre2">
    <w:name w:val="heading 2"/>
    <w:basedOn w:val="Titre1"/>
    <w:next w:val="Paragraphe"/>
    <w:link w:val="Titre2Car"/>
    <w:autoRedefine/>
    <w:uiPriority w:val="9"/>
    <w:qFormat/>
    <w:rsid w:val="001D3E83"/>
    <w:pPr>
      <w:numPr>
        <w:ilvl w:val="1"/>
      </w:numPr>
      <w:ind w:left="567" w:hanging="567"/>
      <w:outlineLvl w:val="1"/>
    </w:pPr>
    <w:rPr>
      <w:color w:val="953D89"/>
      <w:sz w:val="24"/>
    </w:rPr>
  </w:style>
  <w:style w:type="paragraph" w:styleId="Titre3">
    <w:name w:val="heading 3"/>
    <w:basedOn w:val="Titre2"/>
    <w:next w:val="paragraphe0"/>
    <w:link w:val="Titre3Car"/>
    <w:autoRedefine/>
    <w:qFormat/>
    <w:rsid w:val="007718BD"/>
    <w:pPr>
      <w:numPr>
        <w:ilvl w:val="2"/>
      </w:numPr>
      <w:ind w:left="567" w:hanging="567"/>
      <w:outlineLvl w:val="2"/>
    </w:pPr>
    <w:rPr>
      <w:rFonts w:eastAsiaTheme="minorEastAsia"/>
      <w:bCs w:val="0"/>
      <w:iCs/>
      <w:szCs w:val="24"/>
      <w:lang w:eastAsia="ja-JP"/>
    </w:rPr>
  </w:style>
  <w:style w:type="paragraph" w:styleId="Titre4">
    <w:name w:val="heading 4"/>
    <w:basedOn w:val="Normal"/>
    <w:next w:val="paragraphe0"/>
    <w:link w:val="Titre4Car"/>
    <w:autoRedefine/>
    <w:qFormat/>
    <w:rsid w:val="00EB5BD0"/>
    <w:pPr>
      <w:numPr>
        <w:numId w:val="10"/>
      </w:numPr>
      <w:tabs>
        <w:tab w:val="left" w:pos="425"/>
      </w:tabs>
      <w:spacing w:before="240" w:after="240"/>
      <w:ind w:left="357" w:hanging="357"/>
      <w:outlineLvl w:val="3"/>
    </w:pPr>
    <w:rPr>
      <w:b/>
      <w:szCs w:val="20"/>
    </w:rPr>
  </w:style>
  <w:style w:type="paragraph" w:styleId="Titre5">
    <w:name w:val="heading 5"/>
    <w:basedOn w:val="Normal"/>
    <w:next w:val="Normal"/>
    <w:link w:val="Titre5Car"/>
    <w:rsid w:val="00740F74"/>
    <w:pPr>
      <w:numPr>
        <w:ilvl w:val="4"/>
        <w:numId w:val="3"/>
      </w:numPr>
      <w:spacing w:after="60"/>
      <w:outlineLvl w:val="4"/>
    </w:pPr>
    <w:rPr>
      <w:rFonts w:eastAsiaTheme="majorEastAsia"/>
    </w:rPr>
  </w:style>
  <w:style w:type="paragraph" w:styleId="Titre6">
    <w:name w:val="heading 6"/>
    <w:basedOn w:val="Normal"/>
    <w:next w:val="Normal"/>
    <w:link w:val="Titre6Car"/>
    <w:uiPriority w:val="9"/>
    <w:unhideWhenUsed/>
    <w:rsid w:val="00C3049D"/>
    <w:pPr>
      <w:keepNext/>
      <w:keepLines/>
      <w:numPr>
        <w:ilvl w:val="5"/>
        <w:numId w:val="3"/>
      </w:numPr>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rsid w:val="00C3049D"/>
    <w:pPr>
      <w:keepNext/>
      <w:keepLines/>
      <w:numPr>
        <w:ilvl w:val="6"/>
        <w:numId w:val="3"/>
      </w:numPr>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3049D"/>
    <w:pPr>
      <w:keepNext/>
      <w:keepLines/>
      <w:numPr>
        <w:ilvl w:val="7"/>
        <w:numId w:val="3"/>
      </w:numPr>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3049D"/>
    <w:pPr>
      <w:keepNext/>
      <w:keepLines/>
      <w:numPr>
        <w:ilvl w:val="8"/>
        <w:numId w:val="3"/>
      </w:numPr>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EB5BD0"/>
    <w:rPr>
      <w:b/>
      <w:color w:val="auto"/>
      <w:szCs w:val="20"/>
    </w:rPr>
  </w:style>
  <w:style w:type="character" w:customStyle="1" w:styleId="Titre2Car">
    <w:name w:val="Titre 2 Car"/>
    <w:link w:val="Titre2"/>
    <w:uiPriority w:val="9"/>
    <w:rsid w:val="001D3E83"/>
    <w:rPr>
      <w:rFonts w:cs="Arial"/>
      <w:b/>
      <w:bCs/>
      <w:noProof/>
      <w:color w:val="953D89"/>
      <w:spacing w:val="-10"/>
      <w:kern w:val="28"/>
      <w:sz w:val="24"/>
      <w:lang w:eastAsia="fr-CA"/>
    </w:rPr>
  </w:style>
  <w:style w:type="paragraph" w:styleId="TM1">
    <w:name w:val="toc 1"/>
    <w:basedOn w:val="Normal"/>
    <w:next w:val="Normal"/>
    <w:autoRedefine/>
    <w:uiPriority w:val="39"/>
    <w:unhideWhenUsed/>
    <w:rsid w:val="00754354"/>
    <w:pPr>
      <w:tabs>
        <w:tab w:val="left" w:pos="567"/>
        <w:tab w:val="right" w:leader="dot" w:pos="9962"/>
      </w:tabs>
      <w:ind w:left="567" w:hanging="567"/>
    </w:pPr>
    <w:rPr>
      <w:b/>
      <w:bCs/>
      <w:noProof/>
    </w:rPr>
  </w:style>
  <w:style w:type="character" w:customStyle="1" w:styleId="Titre3Car">
    <w:name w:val="Titre 3 Car"/>
    <w:link w:val="Titre3"/>
    <w:rsid w:val="007718BD"/>
    <w:rPr>
      <w:rFonts w:eastAsiaTheme="minorEastAsia" w:cs="Arial"/>
      <w:b/>
      <w:iCs/>
      <w:noProof/>
      <w:color w:val="953D89"/>
      <w:spacing w:val="-10"/>
      <w:kern w:val="28"/>
      <w:sz w:val="24"/>
      <w:szCs w:val="24"/>
      <w:lang w:eastAsia="ja-JP"/>
    </w:rPr>
  </w:style>
  <w:style w:type="character" w:customStyle="1" w:styleId="Titre1Car">
    <w:name w:val="Titre 1 Car"/>
    <w:basedOn w:val="Policepardfaut"/>
    <w:link w:val="Titre1"/>
    <w:uiPriority w:val="2"/>
    <w:rsid w:val="00C56A88"/>
    <w:rPr>
      <w:rFonts w:cs="Arial"/>
      <w:b/>
      <w:bCs/>
      <w:noProof/>
      <w:color w:val="202C4B"/>
      <w:spacing w:val="-10"/>
      <w:kern w:val="28"/>
      <w:sz w:val="36"/>
      <w:lang w:eastAsia="fr-CA"/>
    </w:rPr>
  </w:style>
  <w:style w:type="paragraph" w:styleId="Titre">
    <w:name w:val="Title"/>
    <w:basedOn w:val="Normal"/>
    <w:next w:val="Paragraphe"/>
    <w:link w:val="TitreCar"/>
    <w:autoRedefine/>
    <w:qFormat/>
    <w:rsid w:val="006471A9"/>
    <w:pPr>
      <w:spacing w:before="240" w:after="240"/>
      <w:outlineLvl w:val="0"/>
    </w:pPr>
    <w:rPr>
      <w:rFonts w:cs="Times New Roman"/>
      <w:b/>
      <w:bCs/>
      <w:color w:val="953D89"/>
      <w:kern w:val="28"/>
      <w:sz w:val="32"/>
      <w:szCs w:val="28"/>
      <w:lang w:eastAsia="fr-CA"/>
    </w:rPr>
  </w:style>
  <w:style w:type="character" w:customStyle="1" w:styleId="TitreCar">
    <w:name w:val="Titre Car"/>
    <w:basedOn w:val="Policepardfaut"/>
    <w:link w:val="Titre"/>
    <w:rsid w:val="006471A9"/>
    <w:rPr>
      <w:rFonts w:cs="Times New Roman"/>
      <w:b/>
      <w:bCs/>
      <w:color w:val="953D89"/>
      <w:kern w:val="28"/>
      <w:sz w:val="32"/>
      <w:szCs w:val="28"/>
      <w:lang w:eastAsia="fr-CA"/>
    </w:rPr>
  </w:style>
  <w:style w:type="paragraph" w:styleId="Paragraphedeliste">
    <w:name w:val="List Paragraph"/>
    <w:basedOn w:val="Normal"/>
    <w:autoRedefine/>
    <w:uiPriority w:val="34"/>
    <w:qFormat/>
    <w:rsid w:val="00C82468"/>
    <w:pPr>
      <w:numPr>
        <w:numId w:val="6"/>
      </w:numPr>
      <w:suppressAutoHyphens w:val="0"/>
      <w:autoSpaceDE/>
      <w:autoSpaceDN/>
      <w:adjustRightInd/>
      <w:spacing w:before="240" w:after="240" w:line="360" w:lineRule="auto"/>
      <w:textAlignment w:val="auto"/>
    </w:pPr>
    <w:rPr>
      <w:rFonts w:eastAsia="Calibri"/>
      <w:lang w:val="en-US"/>
    </w:rPr>
  </w:style>
  <w:style w:type="paragraph" w:customStyle="1" w:styleId="Titre-Recommandation">
    <w:name w:val="Titre-Recommandation"/>
    <w:basedOn w:val="Normal"/>
    <w:link w:val="Titre-RecommandationCar"/>
    <w:autoRedefine/>
    <w:rsid w:val="000F0D7B"/>
    <w:rPr>
      <w:b/>
      <w:bCs/>
    </w:rPr>
  </w:style>
  <w:style w:type="character" w:customStyle="1" w:styleId="Titre-RecommandationCar">
    <w:name w:val="Titre-Recommandation Car"/>
    <w:basedOn w:val="Policepardfaut"/>
    <w:link w:val="Titre-Recommandation"/>
    <w:rsid w:val="000F0D7B"/>
    <w:rPr>
      <w:b/>
      <w:bCs/>
      <w:color w:val="001042"/>
    </w:rPr>
  </w:style>
  <w:style w:type="paragraph" w:customStyle="1" w:styleId="Texte-Recommandation">
    <w:name w:val="Texte-Recommandation"/>
    <w:basedOn w:val="Titre-Recommandation"/>
    <w:link w:val="Texte-RecommandationCar"/>
    <w:autoRedefine/>
    <w:rsid w:val="00E11119"/>
    <w:pPr>
      <w:ind w:left="567"/>
    </w:pPr>
    <w:rPr>
      <w:rFonts w:ascii="Arial Gras" w:hAnsi="Arial Gras"/>
      <w:color w:val="000000"/>
      <w:shd w:val="clear" w:color="auto" w:fill="FFFFFF"/>
    </w:rPr>
  </w:style>
  <w:style w:type="character" w:customStyle="1" w:styleId="Texte-RecommandationCar">
    <w:name w:val="Texte-Recommandation Car"/>
    <w:basedOn w:val="Titre-RecommandationCar"/>
    <w:link w:val="Texte-Recommandation"/>
    <w:rsid w:val="00E11119"/>
    <w:rPr>
      <w:rFonts w:ascii="Arial Gras" w:hAnsi="Arial Gras" w:cs="Arial"/>
      <w:b/>
      <w:bCs/>
      <w:color w:val="000000"/>
      <w:sz w:val="22"/>
      <w:szCs w:val="22"/>
    </w:rPr>
  </w:style>
  <w:style w:type="paragraph" w:styleId="Citation">
    <w:name w:val="Quote"/>
    <w:basedOn w:val="Normal"/>
    <w:next w:val="Normal"/>
    <w:link w:val="CitationCar"/>
    <w:autoRedefine/>
    <w:qFormat/>
    <w:rsid w:val="006D4046"/>
    <w:pPr>
      <w:spacing w:before="240" w:after="240"/>
      <w:ind w:left="1418" w:right="1469"/>
    </w:pPr>
    <w:rPr>
      <w:sz w:val="20"/>
      <w:lang w:eastAsia="fr-CA"/>
    </w:rPr>
  </w:style>
  <w:style w:type="character" w:customStyle="1" w:styleId="CitationCar">
    <w:name w:val="Citation Car"/>
    <w:link w:val="Citation"/>
    <w:rsid w:val="006D4046"/>
    <w:rPr>
      <w:color w:val="202C4B"/>
      <w:sz w:val="20"/>
      <w:lang w:eastAsia="fr-CA"/>
    </w:rPr>
  </w:style>
  <w:style w:type="paragraph" w:customStyle="1" w:styleId="Puces">
    <w:name w:val="Puces"/>
    <w:basedOn w:val="Normal"/>
    <w:link w:val="PucesCar"/>
    <w:autoRedefine/>
    <w:rsid w:val="00E11119"/>
    <w:pPr>
      <w:numPr>
        <w:numId w:val="1"/>
      </w:numPr>
      <w:ind w:left="993" w:hanging="426"/>
      <w:contextualSpacing/>
    </w:pPr>
    <w:rPr>
      <w:rFonts w:eastAsia="Calibri"/>
    </w:rPr>
  </w:style>
  <w:style w:type="character" w:customStyle="1" w:styleId="PucesCar">
    <w:name w:val="Puces Car"/>
    <w:basedOn w:val="Policepardfaut"/>
    <w:link w:val="Puces"/>
    <w:rsid w:val="00E11119"/>
    <w:rPr>
      <w:rFonts w:eastAsia="Calibri"/>
      <w:color w:val="auto"/>
    </w:rPr>
  </w:style>
  <w:style w:type="character" w:styleId="lev">
    <w:name w:val="Strong"/>
    <w:aliases w:val="Titre 11"/>
    <w:basedOn w:val="Policepardfaut"/>
    <w:uiPriority w:val="22"/>
    <w:rsid w:val="00B03B27"/>
    <w:rPr>
      <w:rFonts w:ascii="Arial" w:hAnsi="Arial"/>
      <w:b/>
      <w:bCs/>
      <w:caps w:val="0"/>
      <w:smallCaps w:val="0"/>
      <w:strike w:val="0"/>
      <w:dstrike w:val="0"/>
      <w:vanish w:val="0"/>
      <w:color w:val="auto"/>
      <w:sz w:val="22"/>
      <w:vertAlign w:val="baseline"/>
    </w:rPr>
  </w:style>
  <w:style w:type="paragraph" w:styleId="TM2">
    <w:name w:val="toc 2"/>
    <w:basedOn w:val="Normal"/>
    <w:next w:val="Normal"/>
    <w:autoRedefine/>
    <w:uiPriority w:val="39"/>
    <w:unhideWhenUsed/>
    <w:rsid w:val="00C01977"/>
    <w:pPr>
      <w:tabs>
        <w:tab w:val="right" w:leader="dot" w:pos="9962"/>
      </w:tabs>
      <w:ind w:left="567" w:hanging="567"/>
    </w:pPr>
    <w:rPr>
      <w:rFonts w:asciiTheme="minorHAnsi" w:hAnsiTheme="minorHAnsi"/>
      <w:bCs/>
      <w:noProof/>
    </w:rPr>
  </w:style>
  <w:style w:type="paragraph" w:styleId="TM3">
    <w:name w:val="toc 3"/>
    <w:basedOn w:val="Normal"/>
    <w:next w:val="Normal"/>
    <w:autoRedefine/>
    <w:uiPriority w:val="39"/>
    <w:unhideWhenUsed/>
    <w:rsid w:val="003442BB"/>
    <w:pPr>
      <w:tabs>
        <w:tab w:val="left" w:pos="1276"/>
        <w:tab w:val="right" w:leader="dot" w:pos="9962"/>
      </w:tabs>
      <w:ind w:left="993" w:hanging="426"/>
    </w:pPr>
  </w:style>
  <w:style w:type="paragraph" w:customStyle="1" w:styleId="puces0">
    <w:name w:val="puces"/>
    <w:basedOn w:val="Normal"/>
    <w:link w:val="pucesCar0"/>
    <w:autoRedefine/>
    <w:qFormat/>
    <w:rsid w:val="00561F65"/>
    <w:pPr>
      <w:numPr>
        <w:numId w:val="2"/>
      </w:numPr>
      <w:tabs>
        <w:tab w:val="left" w:pos="851"/>
      </w:tabs>
      <w:spacing w:before="120" w:after="120" w:line="276" w:lineRule="auto"/>
      <w:ind w:left="851" w:hanging="284"/>
    </w:pPr>
    <w:rPr>
      <w:rFonts w:eastAsia="Calibri"/>
    </w:rPr>
  </w:style>
  <w:style w:type="character" w:customStyle="1" w:styleId="pucesCar0">
    <w:name w:val="puces Car"/>
    <w:basedOn w:val="Policepardfaut"/>
    <w:link w:val="puces0"/>
    <w:rsid w:val="00561F65"/>
    <w:rPr>
      <w:rFonts w:eastAsia="Calibri"/>
      <w:color w:val="202C4B"/>
    </w:rPr>
  </w:style>
  <w:style w:type="paragraph" w:styleId="TM4">
    <w:name w:val="toc 4"/>
    <w:basedOn w:val="Normal"/>
    <w:next w:val="Normal"/>
    <w:autoRedefine/>
    <w:uiPriority w:val="39"/>
    <w:unhideWhenUsed/>
    <w:rsid w:val="003442BB"/>
    <w:pPr>
      <w:tabs>
        <w:tab w:val="left" w:pos="1560"/>
        <w:tab w:val="right" w:leader="dot" w:pos="9678"/>
      </w:tabs>
      <w:ind w:left="1560" w:hanging="284"/>
    </w:pPr>
  </w:style>
  <w:style w:type="paragraph" w:customStyle="1" w:styleId="TITRE0">
    <w:name w:val="TITRE"/>
    <w:next w:val="Paragraphe"/>
    <w:link w:val="TITRECar0"/>
    <w:autoRedefine/>
    <w:qFormat/>
    <w:rsid w:val="00B20225"/>
    <w:pPr>
      <w:spacing w:after="120" w:line="259" w:lineRule="auto"/>
    </w:pPr>
    <w:rPr>
      <w:b/>
      <w:bCs/>
      <w:color w:val="2A73D0"/>
      <w:sz w:val="28"/>
      <w:szCs w:val="28"/>
    </w:rPr>
  </w:style>
  <w:style w:type="character" w:customStyle="1" w:styleId="Titre5Car">
    <w:name w:val="Titre 5 Car"/>
    <w:link w:val="Titre5"/>
    <w:rsid w:val="00A0218E"/>
    <w:rPr>
      <w:rFonts w:eastAsiaTheme="majorEastAsia"/>
      <w:color w:val="202C4B"/>
    </w:rPr>
  </w:style>
  <w:style w:type="paragraph" w:styleId="En-ttedetabledesmatires">
    <w:name w:val="TOC Heading"/>
    <w:basedOn w:val="Titre1"/>
    <w:next w:val="Normal"/>
    <w:uiPriority w:val="39"/>
    <w:semiHidden/>
    <w:unhideWhenUsed/>
    <w:qFormat/>
    <w:rsid w:val="00610121"/>
    <w:pPr>
      <w:numPr>
        <w:numId w:val="0"/>
      </w:numPr>
      <w:outlineLvl w:val="9"/>
    </w:pPr>
    <w:rPr>
      <w:rFonts w:asciiTheme="majorHAnsi" w:eastAsiaTheme="majorEastAsia" w:hAnsiTheme="majorHAnsi"/>
      <w:b w:val="0"/>
      <w:bCs w:val="0"/>
      <w:caps/>
      <w:color w:val="374C80" w:themeColor="accent1" w:themeShade="BF"/>
      <w:kern w:val="0"/>
    </w:rPr>
  </w:style>
  <w:style w:type="paragraph" w:customStyle="1" w:styleId="NotesBasPage">
    <w:name w:val="Notes Bas Page"/>
    <w:link w:val="NotesBasPageCar"/>
    <w:autoRedefine/>
    <w:qFormat/>
    <w:rsid w:val="00092286"/>
    <w:pPr>
      <w:tabs>
        <w:tab w:val="left" w:pos="425"/>
      </w:tabs>
      <w:spacing w:after="60"/>
      <w:ind w:left="426" w:hanging="426"/>
    </w:pPr>
    <w:rPr>
      <w:color w:val="202C4B"/>
      <w:sz w:val="18"/>
      <w:szCs w:val="18"/>
    </w:rPr>
  </w:style>
  <w:style w:type="character" w:customStyle="1" w:styleId="NotesBasPageCar">
    <w:name w:val="Notes Bas Page Car"/>
    <w:basedOn w:val="Policepardfaut"/>
    <w:link w:val="NotesBasPage"/>
    <w:rsid w:val="00092286"/>
    <w:rPr>
      <w:color w:val="202C4B"/>
      <w:sz w:val="18"/>
      <w:szCs w:val="18"/>
    </w:rPr>
  </w:style>
  <w:style w:type="paragraph" w:customStyle="1" w:styleId="Notesdebasdepage">
    <w:name w:val="Notes de bas de page"/>
    <w:link w:val="NotesdebasdepageCar"/>
    <w:autoRedefine/>
    <w:qFormat/>
    <w:rsid w:val="004C7DCE"/>
    <w:pPr>
      <w:tabs>
        <w:tab w:val="left" w:pos="567"/>
      </w:tabs>
      <w:spacing w:after="120"/>
      <w:ind w:left="567" w:hanging="567"/>
    </w:pPr>
    <w:rPr>
      <w:rFonts w:cs="Arial"/>
      <w:color w:val="000000"/>
      <w:sz w:val="18"/>
      <w:szCs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4C7DCE"/>
    <w:rPr>
      <w:rFonts w:ascii="Aptos" w:hAnsi="Aptos" w:cs="Arial"/>
      <w:color w:val="000000"/>
      <w:sz w:val="18"/>
      <w:szCs w:val="18"/>
      <w:lang w:val="x-none" w:eastAsia="x-none"/>
      <w14:textFill>
        <w14:solidFill>
          <w14:srgbClr w14:val="000000">
            <w14:lumMod w14:val="75000"/>
          </w14:srgbClr>
        </w14:solidFill>
      </w14:textFill>
      <w14:cntxtAlts/>
    </w:rPr>
  </w:style>
  <w:style w:type="paragraph" w:customStyle="1" w:styleId="Paragraphe">
    <w:name w:val="Paragraphe"/>
    <w:basedOn w:val="Normal"/>
    <w:link w:val="ParagrapheCar"/>
    <w:autoRedefine/>
    <w:qFormat/>
    <w:rsid w:val="0006339A"/>
    <w:pPr>
      <w:tabs>
        <w:tab w:val="left" w:pos="284"/>
        <w:tab w:val="left" w:pos="2268"/>
      </w:tabs>
      <w:spacing w:before="240" w:after="240" w:line="276" w:lineRule="auto"/>
    </w:pPr>
    <w:rPr>
      <w:rFonts w:eastAsia="Times New Roman" w:cs="Segoe UI"/>
      <w:bCs/>
      <w:noProof/>
      <w:szCs w:val="32"/>
      <w:lang w:eastAsia="fr-CA"/>
    </w:rPr>
  </w:style>
  <w:style w:type="character" w:customStyle="1" w:styleId="ParagrapheCar">
    <w:name w:val="Paragraphe Car"/>
    <w:basedOn w:val="Policepardfaut"/>
    <w:link w:val="Paragraphe"/>
    <w:rsid w:val="0006339A"/>
    <w:rPr>
      <w:rFonts w:eastAsia="Times New Roman" w:cs="Segoe UI"/>
      <w:bCs/>
      <w:noProof/>
      <w:color w:val="202C4B"/>
      <w:szCs w:val="32"/>
      <w:lang w:eastAsia="fr-CA"/>
    </w:rPr>
  </w:style>
  <w:style w:type="character" w:customStyle="1" w:styleId="TITRECar0">
    <w:name w:val="TITRE Car"/>
    <w:basedOn w:val="Policepardfaut"/>
    <w:link w:val="TITRE0"/>
    <w:rsid w:val="00B20225"/>
    <w:rPr>
      <w:b/>
      <w:bCs/>
      <w:color w:val="2A73D0"/>
      <w:sz w:val="28"/>
      <w:szCs w:val="28"/>
    </w:rPr>
  </w:style>
  <w:style w:type="paragraph" w:styleId="Corpsdetexte">
    <w:name w:val="Body Text"/>
    <w:basedOn w:val="Normal"/>
    <w:link w:val="CorpsdetexteCar"/>
    <w:autoRedefine/>
    <w:uiPriority w:val="1"/>
    <w:rsid w:val="003B4F19"/>
    <w:pPr>
      <w:widowControl w:val="0"/>
      <w:ind w:right="299"/>
    </w:pPr>
    <w:rPr>
      <w:rFonts w:eastAsia="Aptos"/>
      <w:b/>
      <w:spacing w:val="-2"/>
      <w:lang w:val="fr-FR"/>
    </w:rPr>
  </w:style>
  <w:style w:type="character" w:customStyle="1" w:styleId="CorpsdetexteCar">
    <w:name w:val="Corps de texte Car"/>
    <w:basedOn w:val="Policepardfaut"/>
    <w:link w:val="Corpsdetexte"/>
    <w:uiPriority w:val="1"/>
    <w:rsid w:val="003B4F19"/>
    <w:rPr>
      <w:rFonts w:eastAsia="Aptos"/>
      <w:b/>
      <w:color w:val="auto"/>
      <w:spacing w:val="-2"/>
      <w:lang w:val="fr-FR"/>
    </w:rPr>
  </w:style>
  <w:style w:type="character" w:customStyle="1" w:styleId="Titre6Car">
    <w:name w:val="Titre 6 Car"/>
    <w:basedOn w:val="Policepardfaut"/>
    <w:link w:val="Titre6"/>
    <w:uiPriority w:val="9"/>
    <w:rsid w:val="00C3049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C3049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C3049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C3049D"/>
    <w:rPr>
      <w:rFonts w:asciiTheme="minorHAnsi" w:eastAsiaTheme="majorEastAsia" w:hAnsiTheme="minorHAnsi" w:cstheme="majorBidi"/>
      <w:color w:val="272727" w:themeColor="text1" w:themeTint="D8"/>
    </w:rPr>
  </w:style>
  <w:style w:type="paragraph" w:styleId="Sous-titre">
    <w:name w:val="Subtitle"/>
    <w:basedOn w:val="Normal"/>
    <w:next w:val="Normal"/>
    <w:link w:val="Sous-titreCar"/>
    <w:uiPriority w:val="11"/>
    <w:rsid w:val="00C3049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049D"/>
    <w:rPr>
      <w:rFonts w:asciiTheme="minorHAnsi" w:eastAsiaTheme="majorEastAsia" w:hAnsiTheme="minorHAnsi" w:cstheme="majorBidi"/>
      <w:color w:val="595959" w:themeColor="text1" w:themeTint="A6"/>
      <w:spacing w:val="15"/>
      <w:sz w:val="28"/>
      <w:szCs w:val="28"/>
    </w:rPr>
  </w:style>
  <w:style w:type="character" w:styleId="Accentuationintense">
    <w:name w:val="Intense Emphasis"/>
    <w:basedOn w:val="Policepardfaut"/>
    <w:uiPriority w:val="21"/>
    <w:rsid w:val="00C3049D"/>
    <w:rPr>
      <w:i/>
      <w:iCs/>
      <w:color w:val="374C80" w:themeColor="accent1" w:themeShade="BF"/>
    </w:rPr>
  </w:style>
  <w:style w:type="paragraph" w:styleId="Citationintense">
    <w:name w:val="Intense Quote"/>
    <w:basedOn w:val="Normal"/>
    <w:next w:val="Normal"/>
    <w:link w:val="CitationintenseCar"/>
    <w:uiPriority w:val="30"/>
    <w:rsid w:val="00C3049D"/>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C3049D"/>
    <w:rPr>
      <w:i/>
      <w:iCs/>
      <w:color w:val="374C80" w:themeColor="accent1" w:themeShade="BF"/>
    </w:rPr>
  </w:style>
  <w:style w:type="character" w:styleId="Rfrenceintense">
    <w:name w:val="Intense Reference"/>
    <w:basedOn w:val="Policepardfaut"/>
    <w:uiPriority w:val="32"/>
    <w:rsid w:val="00C3049D"/>
    <w:rPr>
      <w:b/>
      <w:bCs/>
      <w:smallCaps/>
      <w:color w:val="374C80" w:themeColor="accent1" w:themeShade="BF"/>
      <w:spacing w:val="5"/>
    </w:rPr>
  </w:style>
  <w:style w:type="paragraph" w:styleId="Sansinterligne">
    <w:name w:val="No Spacing"/>
    <w:link w:val="SansinterligneCar"/>
    <w:uiPriority w:val="1"/>
    <w:rsid w:val="00AD5B8C"/>
    <w:rPr>
      <w:rFonts w:asciiTheme="minorHAnsi" w:eastAsiaTheme="minorEastAsia" w:hAnsiTheme="minorHAnsi"/>
      <w:color w:val="auto"/>
      <w:lang w:eastAsia="fr-CA"/>
    </w:rPr>
  </w:style>
  <w:style w:type="character" w:customStyle="1" w:styleId="SansinterligneCar">
    <w:name w:val="Sans interligne Car"/>
    <w:basedOn w:val="Policepardfaut"/>
    <w:link w:val="Sansinterligne"/>
    <w:uiPriority w:val="1"/>
    <w:rsid w:val="00AD5B8C"/>
    <w:rPr>
      <w:rFonts w:asciiTheme="minorHAnsi" w:eastAsiaTheme="minorEastAsia" w:hAnsiTheme="minorHAnsi"/>
      <w:color w:val="auto"/>
      <w:lang w:eastAsia="fr-CA"/>
    </w:rPr>
  </w:style>
  <w:style w:type="character" w:styleId="Accentuation">
    <w:name w:val="Emphasis"/>
    <w:basedOn w:val="Policepardfaut"/>
    <w:uiPriority w:val="20"/>
    <w:rsid w:val="00904347"/>
    <w:rPr>
      <w:i/>
      <w:iCs/>
    </w:rPr>
  </w:style>
  <w:style w:type="character" w:styleId="Accentuationlgre">
    <w:name w:val="Subtle Emphasis"/>
    <w:basedOn w:val="Policepardfaut"/>
    <w:uiPriority w:val="19"/>
    <w:rsid w:val="00904347"/>
    <w:rPr>
      <w:i/>
      <w:iCs/>
      <w:color w:val="404040" w:themeColor="text1" w:themeTint="BF"/>
    </w:rPr>
  </w:style>
  <w:style w:type="paragraph" w:styleId="Pieddepage">
    <w:name w:val="footer"/>
    <w:basedOn w:val="Normal"/>
    <w:link w:val="Pieddepag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PieddepageCar">
    <w:name w:val="Pied de page Car"/>
    <w:basedOn w:val="Policepardfaut"/>
    <w:link w:val="Pieddepage"/>
    <w:uiPriority w:val="99"/>
    <w:rsid w:val="00070C28"/>
    <w:rPr>
      <w:rFonts w:eastAsiaTheme="minorEastAsia"/>
      <w:color w:val="001042"/>
      <w:sz w:val="24"/>
      <w:szCs w:val="48"/>
      <w:lang w:eastAsia="ja-JP"/>
    </w:rPr>
  </w:style>
  <w:style w:type="paragraph" w:styleId="En-tte">
    <w:name w:val="header"/>
    <w:basedOn w:val="Normal"/>
    <w:link w:val="En-tt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En-tteCar">
    <w:name w:val="En-tête Car"/>
    <w:basedOn w:val="Policepardfaut"/>
    <w:link w:val="En-tte"/>
    <w:uiPriority w:val="99"/>
    <w:rsid w:val="00070C28"/>
    <w:rPr>
      <w:rFonts w:eastAsiaTheme="minorEastAsia"/>
      <w:color w:val="001042"/>
      <w:sz w:val="24"/>
      <w:szCs w:val="48"/>
      <w:lang w:eastAsia="ja-JP"/>
    </w:rPr>
  </w:style>
  <w:style w:type="paragraph" w:styleId="Notedebasdepage">
    <w:name w:val="footnote text"/>
    <w:aliases w:val=" Car Car Car,Car Car Car Car, Car Car Car Car Car,Car Car Car,Car Car Car Car Car Car,Car,Note de bas de page1,5_G,fn,Footnote ak,Footnotes,Footnote Text Char1,Footnote Text Char Char,fn Char Char,footnote text Char Char,fn Char1,ft"/>
    <w:basedOn w:val="Normal"/>
    <w:link w:val="NotedebasdepageCar"/>
    <w:uiPriority w:val="99"/>
    <w:unhideWhenUsed/>
    <w:rsid w:val="00367F86"/>
    <w:rPr>
      <w:sz w:val="20"/>
      <w:szCs w:val="20"/>
    </w:rPr>
  </w:style>
  <w:style w:type="character" w:customStyle="1" w:styleId="NotedebasdepageCar">
    <w:name w:val="Note de bas de page Car"/>
    <w:aliases w:val=" Car Car Car Car,Car Car Car Car Car, Car Car Car Car Car Car,Car Car Car Car1,Car Car Car Car Car Car Car,Car Car,Note de bas de page1 Car,5_G Car,fn Car,Footnote ak Car,Footnotes Car,Footnote Text Char1 Car,fn Char Char Car"/>
    <w:basedOn w:val="Policepardfaut"/>
    <w:link w:val="Notedebasdepage"/>
    <w:uiPriority w:val="99"/>
    <w:qFormat/>
    <w:rsid w:val="00367F86"/>
    <w:rPr>
      <w:color w:val="001042"/>
      <w:sz w:val="20"/>
      <w:szCs w:val="20"/>
    </w:rPr>
  </w:style>
  <w:style w:type="character" w:styleId="Appelnotedebasdep">
    <w:name w:val="footnote reference"/>
    <w:aliases w:val="Footnotes refss,Footnote number,Footnote,4_G,Ref,de nota al pie,Appel note de bas de p,de nota al pie + (Asian) MS Mincho,11 pt"/>
    <w:basedOn w:val="Policepardfaut"/>
    <w:uiPriority w:val="99"/>
    <w:unhideWhenUsed/>
    <w:qFormat/>
    <w:rsid w:val="00367F86"/>
    <w:rPr>
      <w:vertAlign w:val="superscript"/>
    </w:rPr>
  </w:style>
  <w:style w:type="character" w:styleId="Lienhypertexte">
    <w:name w:val="Hyperlink"/>
    <w:rsid w:val="00367F86"/>
    <w:rPr>
      <w:color w:val="0000FF"/>
      <w:u w:val="single"/>
    </w:rPr>
  </w:style>
  <w:style w:type="table" w:customStyle="1" w:styleId="Grilledutableau1">
    <w:name w:val="Grille du tableau1"/>
    <w:basedOn w:val="TableauNormal"/>
    <w:next w:val="Grilledutableau"/>
    <w:uiPriority w:val="39"/>
    <w:rsid w:val="00E561DB"/>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1"/>
    <w:rsid w:val="00E56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0">
    <w:name w:val="paragraphe"/>
    <w:basedOn w:val="Normal"/>
    <w:link w:val="paragrapheCar0"/>
    <w:autoRedefine/>
    <w:rsid w:val="006A5AD3"/>
    <w:pPr>
      <w:shd w:val="clear" w:color="auto" w:fill="FFFFFF" w:themeFill="background1"/>
      <w:tabs>
        <w:tab w:val="left" w:pos="0"/>
      </w:tabs>
      <w:suppressAutoHyphens w:val="0"/>
      <w:autoSpaceDE/>
      <w:autoSpaceDN/>
      <w:adjustRightInd/>
      <w:ind w:right="-63"/>
      <w:textAlignment w:val="auto"/>
    </w:pPr>
    <w:rPr>
      <w:rFonts w:eastAsiaTheme="majorEastAsia" w:cs="Calibri"/>
      <w:sz w:val="24"/>
      <w:szCs w:val="24"/>
    </w:rPr>
  </w:style>
  <w:style w:type="character" w:customStyle="1" w:styleId="paragrapheCar0">
    <w:name w:val="paragraphe Car"/>
    <w:basedOn w:val="Policepardfaut"/>
    <w:link w:val="paragraphe0"/>
    <w:rsid w:val="006A5AD3"/>
    <w:rPr>
      <w:rFonts w:eastAsiaTheme="majorEastAsia" w:cs="Calibri"/>
      <w:color w:val="001042"/>
      <w:sz w:val="24"/>
      <w:szCs w:val="24"/>
      <w:shd w:val="clear" w:color="auto" w:fill="FFFFFF" w:themeFill="background1"/>
    </w:rPr>
  </w:style>
  <w:style w:type="character" w:styleId="Mentionnonrsolue">
    <w:name w:val="Unresolved Mention"/>
    <w:basedOn w:val="Policepardfaut"/>
    <w:uiPriority w:val="99"/>
    <w:semiHidden/>
    <w:unhideWhenUsed/>
    <w:rsid w:val="009E181C"/>
    <w:rPr>
      <w:color w:val="605E5C"/>
      <w:shd w:val="clear" w:color="auto" w:fill="E1DFDD"/>
    </w:rPr>
  </w:style>
  <w:style w:type="character" w:styleId="Lienhypertextesuivivisit">
    <w:name w:val="FollowedHyperlink"/>
    <w:basedOn w:val="Policepardfaut"/>
    <w:uiPriority w:val="99"/>
    <w:semiHidden/>
    <w:unhideWhenUsed/>
    <w:rsid w:val="001337B0"/>
    <w:rPr>
      <w:color w:val="3EBBF0" w:themeColor="followedHyperlink"/>
      <w:u w:val="single"/>
    </w:rPr>
  </w:style>
  <w:style w:type="paragraph" w:customStyle="1" w:styleId="paragraph">
    <w:name w:val="paragraph"/>
    <w:basedOn w:val="Normal"/>
    <w:rsid w:val="00785D31"/>
    <w:pPr>
      <w:suppressAutoHyphens w:val="0"/>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785D31"/>
  </w:style>
  <w:style w:type="character" w:customStyle="1" w:styleId="eop">
    <w:name w:val="eop"/>
    <w:basedOn w:val="Policepardfaut"/>
    <w:rsid w:val="00785D31"/>
  </w:style>
  <w:style w:type="paragraph" w:customStyle="1" w:styleId="Titregraphique">
    <w:name w:val="Titre graphique"/>
    <w:next w:val="paragraphe0"/>
    <w:link w:val="TitregraphiqueCar"/>
    <w:autoRedefine/>
    <w:qFormat/>
    <w:rsid w:val="00295DB3"/>
    <w:pPr>
      <w:jc w:val="center"/>
    </w:pPr>
    <w:rPr>
      <w:rFonts w:asciiTheme="minorHAnsi" w:eastAsia="Times New Roman" w:hAnsiTheme="minorHAnsi" w:cs="Calibri"/>
      <w:b/>
      <w:bCs/>
      <w:noProof/>
      <w:color w:val="FFFFFF" w:themeColor="background1"/>
      <w:szCs w:val="24"/>
      <w:lang w:eastAsia="fr-CA"/>
    </w:rPr>
  </w:style>
  <w:style w:type="character" w:customStyle="1" w:styleId="TitregraphiqueCar">
    <w:name w:val="Titre graphique Car"/>
    <w:basedOn w:val="Policepardfaut"/>
    <w:link w:val="Titregraphique"/>
    <w:rsid w:val="00580F2C"/>
    <w:rPr>
      <w:rFonts w:asciiTheme="minorHAnsi" w:eastAsia="Times New Roman" w:hAnsiTheme="minorHAnsi" w:cs="Calibri"/>
      <w:b/>
      <w:bCs/>
      <w:noProof/>
      <w:color w:val="FFFFFF" w:themeColor="background1"/>
      <w:szCs w:val="24"/>
      <w:lang w:eastAsia="fr-CA"/>
    </w:rPr>
  </w:style>
  <w:style w:type="paragraph" w:customStyle="1" w:styleId="Titredugraphique">
    <w:name w:val="Titre du graphique"/>
    <w:basedOn w:val="Normal"/>
    <w:next w:val="Normal"/>
    <w:link w:val="TitredugraphiqueCar"/>
    <w:rsid w:val="00FE5F41"/>
    <w:rPr>
      <w:color w:val="953D89"/>
      <w:bdr w:val="single" w:sz="4" w:space="0" w:color="BFBFBF" w:themeColor="background1" w:themeShade="BF"/>
    </w:rPr>
  </w:style>
  <w:style w:type="character" w:customStyle="1" w:styleId="TitredugraphiqueCar">
    <w:name w:val="Titre du graphique Car"/>
    <w:basedOn w:val="ParagrapheCar"/>
    <w:link w:val="Titredugraphique"/>
    <w:rsid w:val="00794794"/>
    <w:rPr>
      <w:rFonts w:eastAsia="Times New Roman" w:cs="Segoe UI"/>
      <w:bCs/>
      <w:noProof/>
      <w:color w:val="953D89"/>
      <w:sz w:val="32"/>
      <w:szCs w:val="20"/>
      <w:bdr w:val="single" w:sz="4" w:space="0" w:color="BFBFBF" w:themeColor="background1" w:themeShade="BF"/>
      <w:lang w:eastAsia="fr-CA"/>
    </w:rPr>
  </w:style>
  <w:style w:type="paragraph" w:customStyle="1" w:styleId="Titredummoire">
    <w:name w:val="Titre du mémoire"/>
    <w:basedOn w:val="Normal"/>
    <w:qFormat/>
    <w:rsid w:val="006C1ABC"/>
    <w:rPr>
      <w:rFonts w:ascii="Aptos Light" w:hAnsi="Aptos Light"/>
      <w:sz w:val="56"/>
    </w:rPr>
  </w:style>
  <w:style w:type="paragraph" w:customStyle="1" w:styleId="sous-titredummoireoutude">
    <w:name w:val="sous-titre du mémoire ou étude"/>
    <w:basedOn w:val="Normal"/>
    <w:next w:val="Normal"/>
    <w:link w:val="sous-titredummoireoutudeCar"/>
    <w:qFormat/>
    <w:rsid w:val="00383DE5"/>
    <w:pPr>
      <w:widowControl w:val="0"/>
      <w:numPr>
        <w:ilvl w:val="1"/>
      </w:numPr>
      <w:pBdr>
        <w:top w:val="single" w:sz="2" w:space="1" w:color="auto"/>
        <w:bottom w:val="single" w:sz="2" w:space="1" w:color="auto"/>
      </w:pBdr>
      <w:tabs>
        <w:tab w:val="left" w:pos="1985"/>
      </w:tabs>
      <w:suppressAutoHyphens w:val="0"/>
      <w:adjustRightInd/>
      <w:spacing w:after="240"/>
      <w:ind w:right="6237"/>
      <w:textAlignment w:val="auto"/>
    </w:pPr>
    <w:rPr>
      <w:rFonts w:ascii="Aptos Light" w:eastAsia="Calibri" w:hAnsi="Aptos Light" w:cs="Calibri"/>
      <w:w w:val="110"/>
      <w:szCs w:val="20"/>
      <w:lang w:val="fr-FR"/>
    </w:rPr>
  </w:style>
  <w:style w:type="character" w:customStyle="1" w:styleId="sous-titredummoireoutudeCar">
    <w:name w:val="sous-titre du mémoire ou étude Car"/>
    <w:basedOn w:val="Policepardfaut"/>
    <w:link w:val="sous-titredummoireoutude"/>
    <w:rsid w:val="00383DE5"/>
    <w:rPr>
      <w:rFonts w:ascii="Aptos Light" w:eastAsia="Calibri" w:hAnsi="Aptos Light" w:cs="Calibri"/>
      <w:color w:val="auto"/>
      <w:w w:val="110"/>
      <w:szCs w:val="20"/>
      <w:lang w:val="fr-FR"/>
    </w:rPr>
  </w:style>
  <w:style w:type="paragraph" w:customStyle="1" w:styleId="Verbatim">
    <w:name w:val="Verbatim"/>
    <w:basedOn w:val="Normal"/>
    <w:next w:val="Paragraphe"/>
    <w:link w:val="VerbatimCar"/>
    <w:qFormat/>
    <w:rsid w:val="006C62E6"/>
    <w:pPr>
      <w:spacing w:before="240" w:after="240"/>
      <w:ind w:left="567" w:right="567"/>
    </w:pPr>
    <w:rPr>
      <w:rFonts w:ascii="Aptos Light" w:eastAsia="Times New Roman" w:hAnsi="Aptos Light" w:cs="Times New Roman"/>
      <w:i/>
      <w:iCs/>
      <w:lang w:eastAsia="fr-CA"/>
    </w:rPr>
  </w:style>
  <w:style w:type="character" w:customStyle="1" w:styleId="VerbatimCar">
    <w:name w:val="Verbatim Car"/>
    <w:basedOn w:val="Policepardfaut"/>
    <w:link w:val="Verbatim"/>
    <w:rsid w:val="006C62E6"/>
    <w:rPr>
      <w:rFonts w:ascii="Aptos Light" w:eastAsia="Times New Roman" w:hAnsi="Aptos Light" w:cs="Times New Roman"/>
      <w:i/>
      <w:iCs/>
      <w:color w:val="auto"/>
      <w:lang w:eastAsia="fr-CA"/>
    </w:rPr>
  </w:style>
  <w:style w:type="paragraph" w:customStyle="1" w:styleId="Tableau">
    <w:name w:val="Tableau"/>
    <w:basedOn w:val="Normal"/>
    <w:link w:val="TableauCar"/>
    <w:autoRedefine/>
    <w:qFormat/>
    <w:rsid w:val="00AF59ED"/>
    <w:pPr>
      <w:jc w:val="center"/>
    </w:pPr>
    <w:rPr>
      <w:rFonts w:asciiTheme="minorHAnsi" w:eastAsia="Aptos" w:hAnsiTheme="minorHAnsi" w:cs="Calibri"/>
      <w:b/>
      <w:bCs/>
      <w:color w:val="FFFFFF" w:themeColor="background1"/>
      <w:lang w:eastAsia="fr-CA"/>
    </w:rPr>
  </w:style>
  <w:style w:type="character" w:customStyle="1" w:styleId="TableauCar">
    <w:name w:val="Tableau Car"/>
    <w:basedOn w:val="Policepardfaut"/>
    <w:link w:val="Tableau"/>
    <w:rsid w:val="00AF59ED"/>
    <w:rPr>
      <w:rFonts w:asciiTheme="minorHAnsi" w:eastAsia="Aptos" w:hAnsiTheme="minorHAnsi" w:cs="Calibri"/>
      <w:b/>
      <w:bCs/>
      <w:color w:val="FFFFFF" w:themeColor="background1"/>
      <w:lang w:eastAsia="fr-CA"/>
    </w:rPr>
  </w:style>
  <w:style w:type="paragraph" w:customStyle="1" w:styleId="TitreRecommandation">
    <w:name w:val="Titre Recommandation"/>
    <w:autoRedefine/>
    <w:qFormat/>
    <w:rsid w:val="00285551"/>
    <w:pPr>
      <w:spacing w:before="120"/>
      <w:ind w:left="284" w:right="58"/>
    </w:pPr>
    <w:rPr>
      <w:rFonts w:eastAsia="Times New Roman" w:cs="Times New Roman"/>
      <w:b/>
      <w:color w:val="953D89"/>
      <w:sz w:val="24"/>
      <w:szCs w:val="24"/>
      <w:lang w:eastAsia="fr-CA"/>
    </w:rPr>
  </w:style>
  <w:style w:type="paragraph" w:customStyle="1" w:styleId="Texterecommandation">
    <w:name w:val="Texte recommandation"/>
    <w:next w:val="Normal"/>
    <w:link w:val="TexterecommandationCar"/>
    <w:autoRedefine/>
    <w:qFormat/>
    <w:rsid w:val="00E33E5C"/>
    <w:pPr>
      <w:tabs>
        <w:tab w:val="left" w:pos="113"/>
      </w:tabs>
      <w:spacing w:before="120" w:after="240"/>
      <w:ind w:left="284" w:right="284"/>
    </w:pPr>
    <w:rPr>
      <w:rFonts w:eastAsia="Times New Roman" w:cs="Times New Roman"/>
      <w:szCs w:val="24"/>
      <w:shd w:val="clear" w:color="auto" w:fill="E9F8FB"/>
      <w:lang w:eastAsia="fr-CA"/>
    </w:rPr>
  </w:style>
  <w:style w:type="character" w:customStyle="1" w:styleId="TexterecommandationCar">
    <w:name w:val="Texte recommandation Car"/>
    <w:basedOn w:val="Policepardfaut"/>
    <w:link w:val="Texterecommandation"/>
    <w:rsid w:val="00E33E5C"/>
    <w:rPr>
      <w:rFonts w:eastAsia="Times New Roman" w:cs="Times New Roman"/>
      <w:szCs w:val="24"/>
      <w:lang w:eastAsia="fr-CA"/>
    </w:rPr>
  </w:style>
  <w:style w:type="paragraph" w:customStyle="1" w:styleId="Boterecommandation">
    <w:name w:val="Boîte recommandation"/>
    <w:basedOn w:val="Normal"/>
    <w:link w:val="BoterecommandationCar"/>
    <w:rsid w:val="00101F66"/>
    <w:pPr>
      <w:suppressAutoHyphens w:val="0"/>
      <w:autoSpaceDE/>
      <w:autoSpaceDN/>
      <w:adjustRightInd/>
      <w:spacing w:before="120"/>
      <w:ind w:left="284" w:right="58"/>
      <w:textAlignment w:val="auto"/>
    </w:pPr>
    <w:rPr>
      <w:rFonts w:eastAsia="Times New Roman" w:cs="Times New Roman"/>
      <w:b/>
      <w:color w:val="953D89"/>
      <w:sz w:val="24"/>
      <w:szCs w:val="24"/>
      <w:lang w:eastAsia="fr-CA"/>
    </w:rPr>
  </w:style>
  <w:style w:type="character" w:customStyle="1" w:styleId="BoterecommandationCar">
    <w:name w:val="Boîte recommandation Car"/>
    <w:basedOn w:val="Policepardfaut"/>
    <w:link w:val="Boterecommandation"/>
    <w:rsid w:val="00101F66"/>
    <w:rPr>
      <w:rFonts w:eastAsia="Times New Roman" w:cs="Times New Roman"/>
      <w:b/>
      <w:color w:val="953D89"/>
      <w:sz w:val="24"/>
      <w:szCs w:val="24"/>
      <w:lang w:eastAsia="fr-CA"/>
    </w:rPr>
  </w:style>
  <w:style w:type="paragraph" w:customStyle="1" w:styleId="Nbp">
    <w:name w:val="Nbp"/>
    <w:basedOn w:val="Notedebasdepage"/>
    <w:link w:val="NbpCar"/>
    <w:rsid w:val="00DB5308"/>
    <w:pPr>
      <w:tabs>
        <w:tab w:val="left" w:pos="720"/>
      </w:tabs>
      <w:suppressAutoHyphens w:val="0"/>
      <w:autoSpaceDE/>
      <w:autoSpaceDN/>
      <w:adjustRightInd/>
      <w:spacing w:after="120"/>
      <w:ind w:left="709" w:hanging="709"/>
      <w:textAlignment w:val="auto"/>
    </w:pPr>
    <w:rPr>
      <w:rFonts w:ascii="Arial" w:eastAsia="Times New Roman" w:hAnsi="Arial" w:cs="Arial"/>
      <w:sz w:val="18"/>
      <w:szCs w:val="18"/>
      <w:lang w:val="x-none" w:eastAsia="x-none"/>
      <w14:cntxtAlts/>
    </w:rPr>
  </w:style>
  <w:style w:type="character" w:customStyle="1" w:styleId="NbpCar">
    <w:name w:val="Nbp Car"/>
    <w:link w:val="Nbp"/>
    <w:rsid w:val="00DB5308"/>
    <w:rPr>
      <w:rFonts w:ascii="Arial" w:eastAsia="Times New Roman" w:hAnsi="Arial" w:cs="Arial"/>
      <w:color w:val="auto"/>
      <w:sz w:val="18"/>
      <w:szCs w:val="18"/>
      <w:lang w:val="x-none" w:eastAsia="x-none"/>
      <w14:cntxtAlts/>
    </w:rPr>
  </w:style>
  <w:style w:type="paragraph" w:customStyle="1" w:styleId="NoteBasPage">
    <w:name w:val="Note Bas Page"/>
    <w:link w:val="NoteBasPageCar"/>
    <w:autoRedefine/>
    <w:rsid w:val="00390853"/>
    <w:pPr>
      <w:tabs>
        <w:tab w:val="left" w:pos="709"/>
      </w:tabs>
      <w:spacing w:after="120"/>
      <w:ind w:left="709" w:hanging="709"/>
    </w:pPr>
    <w:rPr>
      <w:rFonts w:ascii="Arial" w:eastAsia="Times New Roman" w:hAnsi="Arial" w:cs="Arial"/>
      <w:color w:val="auto"/>
      <w:sz w:val="18"/>
      <w:szCs w:val="18"/>
      <w:lang w:eastAsia="fr-CA"/>
    </w:rPr>
  </w:style>
  <w:style w:type="character" w:customStyle="1" w:styleId="NoteBasPageCar">
    <w:name w:val="Note Bas Page Car"/>
    <w:basedOn w:val="Policepardfaut"/>
    <w:link w:val="NoteBasPage"/>
    <w:rsid w:val="00390853"/>
    <w:rPr>
      <w:rFonts w:ascii="Arial" w:eastAsia="Times New Roman" w:hAnsi="Arial" w:cs="Arial"/>
      <w:color w:val="auto"/>
      <w:sz w:val="18"/>
      <w:szCs w:val="18"/>
      <w:lang w:eastAsia="fr-CA"/>
    </w:rPr>
  </w:style>
  <w:style w:type="paragraph" w:customStyle="1" w:styleId="Citation-style5">
    <w:name w:val="Citation - style 5"/>
    <w:next w:val="Normal"/>
    <w:link w:val="Citation-style5Car"/>
    <w:autoRedefine/>
    <w:rsid w:val="00D22107"/>
    <w:pPr>
      <w:tabs>
        <w:tab w:val="right" w:pos="720"/>
        <w:tab w:val="left" w:pos="7371"/>
      </w:tabs>
      <w:spacing w:after="120" w:line="259" w:lineRule="auto"/>
      <w:ind w:left="794" w:right="794"/>
      <w:jc w:val="both"/>
    </w:pPr>
    <w:rPr>
      <w:rFonts w:ascii="Arial" w:eastAsiaTheme="majorEastAsia" w:hAnsi="Arial" w:cs="Arial"/>
      <w:iCs/>
      <w:color w:val="auto"/>
      <w:sz w:val="20"/>
      <w:szCs w:val="20"/>
      <w:lang w:eastAsia="ja-JP"/>
    </w:rPr>
  </w:style>
  <w:style w:type="character" w:customStyle="1" w:styleId="Citation-style5Car">
    <w:name w:val="Citation - style 5 Car"/>
    <w:basedOn w:val="Policepardfaut"/>
    <w:link w:val="Citation-style5"/>
    <w:rsid w:val="00D22107"/>
    <w:rPr>
      <w:rFonts w:ascii="Arial" w:eastAsiaTheme="majorEastAsia" w:hAnsi="Arial" w:cs="Arial"/>
      <w:iCs/>
      <w:color w:val="auto"/>
      <w:sz w:val="20"/>
      <w:szCs w:val="20"/>
      <w:lang w:eastAsia="ja-JP"/>
    </w:rPr>
  </w:style>
  <w:style w:type="table" w:customStyle="1" w:styleId="Grilledutableau2">
    <w:name w:val="Grille du tableau2"/>
    <w:basedOn w:val="TableauNormal"/>
    <w:next w:val="Grilledutableau"/>
    <w:uiPriority w:val="1"/>
    <w:rsid w:val="004258B8"/>
    <w:rPr>
      <w:rFonts w:ascii="Calibri" w:eastAsia="MS Mincho" w:hAnsi="Calibri"/>
      <w:color w:val="auto"/>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1"/>
    <w:rsid w:val="002560FF"/>
    <w:rPr>
      <w:rFonts w:ascii="Calibri" w:eastAsia="MS Mincho" w:hAnsi="Calibri"/>
      <w:color w:val="auto"/>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1"/>
    <w:rsid w:val="00AD20BD"/>
    <w:rPr>
      <w:rFonts w:ascii="Calibri" w:eastAsia="MS Mincho" w:hAnsi="Calibri"/>
      <w:color w:val="auto"/>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1"/>
    <w:rsid w:val="00BD7F9E"/>
    <w:rPr>
      <w:rFonts w:ascii="Calibri" w:eastAsia="MS Mincho" w:hAnsi="Calibri"/>
      <w:color w:val="auto"/>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1"/>
    <w:rsid w:val="00D20BAE"/>
    <w:rPr>
      <w:rFonts w:ascii="Calibri" w:eastAsia="MS Mincho" w:hAnsi="Calibri"/>
      <w:color w:val="auto"/>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Policepardfaut"/>
    <w:rsid w:val="00C73524"/>
  </w:style>
  <w:style w:type="character" w:styleId="Marquedecommentaire">
    <w:name w:val="annotation reference"/>
    <w:basedOn w:val="Policepardfaut"/>
    <w:uiPriority w:val="99"/>
    <w:semiHidden/>
    <w:unhideWhenUsed/>
    <w:rsid w:val="003E71D5"/>
    <w:rPr>
      <w:sz w:val="16"/>
      <w:szCs w:val="16"/>
    </w:rPr>
  </w:style>
  <w:style w:type="paragraph" w:styleId="Commentaire">
    <w:name w:val="annotation text"/>
    <w:basedOn w:val="Normal"/>
    <w:link w:val="CommentaireCar"/>
    <w:uiPriority w:val="99"/>
    <w:unhideWhenUsed/>
    <w:rsid w:val="003E71D5"/>
    <w:rPr>
      <w:sz w:val="20"/>
      <w:szCs w:val="20"/>
    </w:rPr>
  </w:style>
  <w:style w:type="character" w:customStyle="1" w:styleId="CommentaireCar">
    <w:name w:val="Commentaire Car"/>
    <w:basedOn w:val="Policepardfaut"/>
    <w:link w:val="Commentaire"/>
    <w:uiPriority w:val="99"/>
    <w:rsid w:val="003E71D5"/>
    <w:rPr>
      <w:color w:val="auto"/>
      <w:sz w:val="20"/>
      <w:szCs w:val="20"/>
    </w:rPr>
  </w:style>
  <w:style w:type="paragraph" w:styleId="Objetducommentaire">
    <w:name w:val="annotation subject"/>
    <w:basedOn w:val="Commentaire"/>
    <w:next w:val="Commentaire"/>
    <w:link w:val="ObjetducommentaireCar"/>
    <w:uiPriority w:val="99"/>
    <w:semiHidden/>
    <w:unhideWhenUsed/>
    <w:rsid w:val="003E71D5"/>
    <w:rPr>
      <w:b/>
      <w:bCs/>
    </w:rPr>
  </w:style>
  <w:style w:type="character" w:customStyle="1" w:styleId="ObjetducommentaireCar">
    <w:name w:val="Objet du commentaire Car"/>
    <w:basedOn w:val="CommentaireCar"/>
    <w:link w:val="Objetducommentaire"/>
    <w:uiPriority w:val="99"/>
    <w:semiHidden/>
    <w:rsid w:val="003E71D5"/>
    <w:rPr>
      <w:b/>
      <w:bCs/>
      <w:color w:val="auto"/>
      <w:sz w:val="20"/>
      <w:szCs w:val="20"/>
    </w:rPr>
  </w:style>
  <w:style w:type="paragraph" w:styleId="TM5">
    <w:name w:val="toc 5"/>
    <w:basedOn w:val="Normal"/>
    <w:next w:val="Normal"/>
    <w:autoRedefine/>
    <w:uiPriority w:val="39"/>
    <w:unhideWhenUsed/>
    <w:rsid w:val="00754354"/>
    <w:pPr>
      <w:suppressAutoHyphens w:val="0"/>
      <w:autoSpaceDE/>
      <w:autoSpaceDN/>
      <w:adjustRightInd/>
      <w:spacing w:after="100" w:line="278" w:lineRule="auto"/>
      <w:ind w:left="960"/>
      <w:textAlignment w:val="auto"/>
    </w:pPr>
    <w:rPr>
      <w:rFonts w:asciiTheme="minorHAnsi" w:eastAsiaTheme="minorEastAsia" w:hAnsiTheme="minorHAnsi"/>
      <w:kern w:val="2"/>
      <w:sz w:val="24"/>
      <w:szCs w:val="24"/>
      <w:lang w:eastAsia="fr-CA"/>
      <w14:ligatures w14:val="standardContextual"/>
    </w:rPr>
  </w:style>
  <w:style w:type="paragraph" w:styleId="TM6">
    <w:name w:val="toc 6"/>
    <w:basedOn w:val="Normal"/>
    <w:next w:val="Normal"/>
    <w:autoRedefine/>
    <w:uiPriority w:val="39"/>
    <w:unhideWhenUsed/>
    <w:rsid w:val="00754354"/>
    <w:pPr>
      <w:suppressAutoHyphens w:val="0"/>
      <w:autoSpaceDE/>
      <w:autoSpaceDN/>
      <w:adjustRightInd/>
      <w:spacing w:after="100" w:line="278" w:lineRule="auto"/>
      <w:ind w:left="1200"/>
      <w:textAlignment w:val="auto"/>
    </w:pPr>
    <w:rPr>
      <w:rFonts w:asciiTheme="minorHAnsi" w:eastAsiaTheme="minorEastAsia" w:hAnsiTheme="minorHAnsi"/>
      <w:kern w:val="2"/>
      <w:sz w:val="24"/>
      <w:szCs w:val="24"/>
      <w:lang w:eastAsia="fr-CA"/>
      <w14:ligatures w14:val="standardContextual"/>
    </w:rPr>
  </w:style>
  <w:style w:type="paragraph" w:styleId="TM7">
    <w:name w:val="toc 7"/>
    <w:basedOn w:val="Normal"/>
    <w:next w:val="Normal"/>
    <w:autoRedefine/>
    <w:uiPriority w:val="39"/>
    <w:unhideWhenUsed/>
    <w:rsid w:val="00754354"/>
    <w:pPr>
      <w:suppressAutoHyphens w:val="0"/>
      <w:autoSpaceDE/>
      <w:autoSpaceDN/>
      <w:adjustRightInd/>
      <w:spacing w:after="100" w:line="278" w:lineRule="auto"/>
      <w:ind w:left="1440"/>
      <w:textAlignment w:val="auto"/>
    </w:pPr>
    <w:rPr>
      <w:rFonts w:asciiTheme="minorHAnsi" w:eastAsiaTheme="minorEastAsia" w:hAnsiTheme="minorHAnsi"/>
      <w:kern w:val="2"/>
      <w:sz w:val="24"/>
      <w:szCs w:val="24"/>
      <w:lang w:eastAsia="fr-CA"/>
      <w14:ligatures w14:val="standardContextual"/>
    </w:rPr>
  </w:style>
  <w:style w:type="paragraph" w:styleId="TM8">
    <w:name w:val="toc 8"/>
    <w:basedOn w:val="Normal"/>
    <w:next w:val="Normal"/>
    <w:autoRedefine/>
    <w:uiPriority w:val="39"/>
    <w:unhideWhenUsed/>
    <w:rsid w:val="00754354"/>
    <w:pPr>
      <w:suppressAutoHyphens w:val="0"/>
      <w:autoSpaceDE/>
      <w:autoSpaceDN/>
      <w:adjustRightInd/>
      <w:spacing w:after="100" w:line="278" w:lineRule="auto"/>
      <w:ind w:left="1680"/>
      <w:textAlignment w:val="auto"/>
    </w:pPr>
    <w:rPr>
      <w:rFonts w:asciiTheme="minorHAnsi" w:eastAsiaTheme="minorEastAsia" w:hAnsiTheme="minorHAnsi"/>
      <w:kern w:val="2"/>
      <w:sz w:val="24"/>
      <w:szCs w:val="24"/>
      <w:lang w:eastAsia="fr-CA"/>
      <w14:ligatures w14:val="standardContextual"/>
    </w:rPr>
  </w:style>
  <w:style w:type="paragraph" w:styleId="TM9">
    <w:name w:val="toc 9"/>
    <w:basedOn w:val="Normal"/>
    <w:next w:val="Normal"/>
    <w:autoRedefine/>
    <w:uiPriority w:val="39"/>
    <w:unhideWhenUsed/>
    <w:rsid w:val="00754354"/>
    <w:pPr>
      <w:suppressAutoHyphens w:val="0"/>
      <w:autoSpaceDE/>
      <w:autoSpaceDN/>
      <w:adjustRightInd/>
      <w:spacing w:after="100" w:line="278" w:lineRule="auto"/>
      <w:ind w:left="1920"/>
      <w:textAlignment w:val="auto"/>
    </w:pPr>
    <w:rPr>
      <w:rFonts w:asciiTheme="minorHAnsi" w:eastAsiaTheme="minorEastAsia" w:hAnsiTheme="minorHAnsi"/>
      <w:kern w:val="2"/>
      <w:sz w:val="24"/>
      <w:szCs w:val="24"/>
      <w:lang w:eastAsia="fr-CA"/>
      <w14:ligatures w14:val="standardContextual"/>
    </w:rPr>
  </w:style>
  <w:style w:type="paragraph" w:styleId="Rvision">
    <w:name w:val="Revision"/>
    <w:hidden/>
    <w:uiPriority w:val="99"/>
    <w:semiHidden/>
    <w:rsid w:val="0099302A"/>
    <w:rPr>
      <w:color w:val="auto"/>
    </w:rPr>
  </w:style>
  <w:style w:type="paragraph" w:styleId="NormalWeb">
    <w:name w:val="Normal (Web)"/>
    <w:basedOn w:val="Normal"/>
    <w:uiPriority w:val="99"/>
    <w:semiHidden/>
    <w:unhideWhenUsed/>
    <w:rsid w:val="0087572D"/>
    <w:pPr>
      <w:suppressAutoHyphens w:val="0"/>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fr-CA"/>
    </w:rPr>
  </w:style>
  <w:style w:type="character" w:customStyle="1" w:styleId="CommentReference1">
    <w:name w:val="Comment Reference1"/>
    <w:basedOn w:val="Policepardfaut"/>
    <w:uiPriority w:val="99"/>
    <w:semiHidden/>
    <w:unhideWhenUsed/>
    <w:rsid w:val="00B67155"/>
    <w:rPr>
      <w:sz w:val="16"/>
      <w:szCs w:val="16"/>
    </w:rPr>
  </w:style>
  <w:style w:type="paragraph" w:customStyle="1" w:styleId="CommentText1">
    <w:name w:val="Comment Text1"/>
    <w:basedOn w:val="Normal"/>
    <w:link w:val="CommentTextChar"/>
    <w:uiPriority w:val="99"/>
    <w:unhideWhenUsed/>
    <w:rsid w:val="00B67155"/>
    <w:rPr>
      <w:sz w:val="20"/>
      <w:szCs w:val="20"/>
    </w:rPr>
  </w:style>
  <w:style w:type="character" w:customStyle="1" w:styleId="CommentTextChar">
    <w:name w:val="Comment Text Char"/>
    <w:basedOn w:val="Policepardfaut"/>
    <w:link w:val="CommentText1"/>
    <w:uiPriority w:val="99"/>
    <w:rsid w:val="00B67155"/>
    <w:rPr>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792119">
      <w:bodyDiv w:val="1"/>
      <w:marLeft w:val="0"/>
      <w:marRight w:val="0"/>
      <w:marTop w:val="0"/>
      <w:marBottom w:val="0"/>
      <w:divBdr>
        <w:top w:val="none" w:sz="0" w:space="0" w:color="auto"/>
        <w:left w:val="none" w:sz="0" w:space="0" w:color="auto"/>
        <w:bottom w:val="none" w:sz="0" w:space="0" w:color="auto"/>
        <w:right w:val="none" w:sz="0" w:space="0" w:color="auto"/>
      </w:divBdr>
      <w:divsChild>
        <w:div w:id="15540441">
          <w:marLeft w:val="0"/>
          <w:marRight w:val="0"/>
          <w:marTop w:val="0"/>
          <w:marBottom w:val="0"/>
          <w:divBdr>
            <w:top w:val="none" w:sz="0" w:space="0" w:color="auto"/>
            <w:left w:val="none" w:sz="0" w:space="0" w:color="auto"/>
            <w:bottom w:val="none" w:sz="0" w:space="0" w:color="auto"/>
            <w:right w:val="none" w:sz="0" w:space="0" w:color="auto"/>
          </w:divBdr>
        </w:div>
        <w:div w:id="17397520">
          <w:marLeft w:val="0"/>
          <w:marRight w:val="0"/>
          <w:marTop w:val="0"/>
          <w:marBottom w:val="0"/>
          <w:divBdr>
            <w:top w:val="none" w:sz="0" w:space="0" w:color="auto"/>
            <w:left w:val="none" w:sz="0" w:space="0" w:color="auto"/>
            <w:bottom w:val="none" w:sz="0" w:space="0" w:color="auto"/>
            <w:right w:val="none" w:sz="0" w:space="0" w:color="auto"/>
          </w:divBdr>
        </w:div>
        <w:div w:id="25572016">
          <w:marLeft w:val="0"/>
          <w:marRight w:val="0"/>
          <w:marTop w:val="0"/>
          <w:marBottom w:val="0"/>
          <w:divBdr>
            <w:top w:val="none" w:sz="0" w:space="0" w:color="auto"/>
            <w:left w:val="none" w:sz="0" w:space="0" w:color="auto"/>
            <w:bottom w:val="none" w:sz="0" w:space="0" w:color="auto"/>
            <w:right w:val="none" w:sz="0" w:space="0" w:color="auto"/>
          </w:divBdr>
        </w:div>
        <w:div w:id="77212201">
          <w:marLeft w:val="0"/>
          <w:marRight w:val="0"/>
          <w:marTop w:val="0"/>
          <w:marBottom w:val="0"/>
          <w:divBdr>
            <w:top w:val="none" w:sz="0" w:space="0" w:color="auto"/>
            <w:left w:val="none" w:sz="0" w:space="0" w:color="auto"/>
            <w:bottom w:val="none" w:sz="0" w:space="0" w:color="auto"/>
            <w:right w:val="none" w:sz="0" w:space="0" w:color="auto"/>
          </w:divBdr>
        </w:div>
        <w:div w:id="88744455">
          <w:marLeft w:val="0"/>
          <w:marRight w:val="0"/>
          <w:marTop w:val="0"/>
          <w:marBottom w:val="0"/>
          <w:divBdr>
            <w:top w:val="none" w:sz="0" w:space="0" w:color="auto"/>
            <w:left w:val="none" w:sz="0" w:space="0" w:color="auto"/>
            <w:bottom w:val="none" w:sz="0" w:space="0" w:color="auto"/>
            <w:right w:val="none" w:sz="0" w:space="0" w:color="auto"/>
          </w:divBdr>
        </w:div>
        <w:div w:id="193808732">
          <w:marLeft w:val="0"/>
          <w:marRight w:val="0"/>
          <w:marTop w:val="0"/>
          <w:marBottom w:val="0"/>
          <w:divBdr>
            <w:top w:val="none" w:sz="0" w:space="0" w:color="auto"/>
            <w:left w:val="none" w:sz="0" w:space="0" w:color="auto"/>
            <w:bottom w:val="none" w:sz="0" w:space="0" w:color="auto"/>
            <w:right w:val="none" w:sz="0" w:space="0" w:color="auto"/>
          </w:divBdr>
        </w:div>
        <w:div w:id="437607717">
          <w:marLeft w:val="0"/>
          <w:marRight w:val="0"/>
          <w:marTop w:val="0"/>
          <w:marBottom w:val="0"/>
          <w:divBdr>
            <w:top w:val="none" w:sz="0" w:space="0" w:color="auto"/>
            <w:left w:val="none" w:sz="0" w:space="0" w:color="auto"/>
            <w:bottom w:val="none" w:sz="0" w:space="0" w:color="auto"/>
            <w:right w:val="none" w:sz="0" w:space="0" w:color="auto"/>
          </w:divBdr>
        </w:div>
        <w:div w:id="528876729">
          <w:marLeft w:val="0"/>
          <w:marRight w:val="0"/>
          <w:marTop w:val="0"/>
          <w:marBottom w:val="0"/>
          <w:divBdr>
            <w:top w:val="none" w:sz="0" w:space="0" w:color="auto"/>
            <w:left w:val="none" w:sz="0" w:space="0" w:color="auto"/>
            <w:bottom w:val="none" w:sz="0" w:space="0" w:color="auto"/>
            <w:right w:val="none" w:sz="0" w:space="0" w:color="auto"/>
          </w:divBdr>
        </w:div>
        <w:div w:id="537470490">
          <w:marLeft w:val="0"/>
          <w:marRight w:val="0"/>
          <w:marTop w:val="0"/>
          <w:marBottom w:val="0"/>
          <w:divBdr>
            <w:top w:val="none" w:sz="0" w:space="0" w:color="auto"/>
            <w:left w:val="none" w:sz="0" w:space="0" w:color="auto"/>
            <w:bottom w:val="none" w:sz="0" w:space="0" w:color="auto"/>
            <w:right w:val="none" w:sz="0" w:space="0" w:color="auto"/>
          </w:divBdr>
          <w:divsChild>
            <w:div w:id="44303746">
              <w:marLeft w:val="0"/>
              <w:marRight w:val="0"/>
              <w:marTop w:val="0"/>
              <w:marBottom w:val="0"/>
              <w:divBdr>
                <w:top w:val="none" w:sz="0" w:space="0" w:color="auto"/>
                <w:left w:val="none" w:sz="0" w:space="0" w:color="auto"/>
                <w:bottom w:val="none" w:sz="0" w:space="0" w:color="auto"/>
                <w:right w:val="none" w:sz="0" w:space="0" w:color="auto"/>
              </w:divBdr>
            </w:div>
            <w:div w:id="51970579">
              <w:marLeft w:val="0"/>
              <w:marRight w:val="0"/>
              <w:marTop w:val="0"/>
              <w:marBottom w:val="0"/>
              <w:divBdr>
                <w:top w:val="none" w:sz="0" w:space="0" w:color="auto"/>
                <w:left w:val="none" w:sz="0" w:space="0" w:color="auto"/>
                <w:bottom w:val="none" w:sz="0" w:space="0" w:color="auto"/>
                <w:right w:val="none" w:sz="0" w:space="0" w:color="auto"/>
              </w:divBdr>
            </w:div>
            <w:div w:id="97679128">
              <w:marLeft w:val="0"/>
              <w:marRight w:val="0"/>
              <w:marTop w:val="0"/>
              <w:marBottom w:val="0"/>
              <w:divBdr>
                <w:top w:val="none" w:sz="0" w:space="0" w:color="auto"/>
                <w:left w:val="none" w:sz="0" w:space="0" w:color="auto"/>
                <w:bottom w:val="none" w:sz="0" w:space="0" w:color="auto"/>
                <w:right w:val="none" w:sz="0" w:space="0" w:color="auto"/>
              </w:divBdr>
            </w:div>
            <w:div w:id="158814132">
              <w:marLeft w:val="0"/>
              <w:marRight w:val="0"/>
              <w:marTop w:val="0"/>
              <w:marBottom w:val="0"/>
              <w:divBdr>
                <w:top w:val="none" w:sz="0" w:space="0" w:color="auto"/>
                <w:left w:val="none" w:sz="0" w:space="0" w:color="auto"/>
                <w:bottom w:val="none" w:sz="0" w:space="0" w:color="auto"/>
                <w:right w:val="none" w:sz="0" w:space="0" w:color="auto"/>
              </w:divBdr>
            </w:div>
            <w:div w:id="188224171">
              <w:marLeft w:val="0"/>
              <w:marRight w:val="0"/>
              <w:marTop w:val="0"/>
              <w:marBottom w:val="0"/>
              <w:divBdr>
                <w:top w:val="none" w:sz="0" w:space="0" w:color="auto"/>
                <w:left w:val="none" w:sz="0" w:space="0" w:color="auto"/>
                <w:bottom w:val="none" w:sz="0" w:space="0" w:color="auto"/>
                <w:right w:val="none" w:sz="0" w:space="0" w:color="auto"/>
              </w:divBdr>
            </w:div>
            <w:div w:id="1037970272">
              <w:marLeft w:val="0"/>
              <w:marRight w:val="0"/>
              <w:marTop w:val="0"/>
              <w:marBottom w:val="0"/>
              <w:divBdr>
                <w:top w:val="none" w:sz="0" w:space="0" w:color="auto"/>
                <w:left w:val="none" w:sz="0" w:space="0" w:color="auto"/>
                <w:bottom w:val="none" w:sz="0" w:space="0" w:color="auto"/>
                <w:right w:val="none" w:sz="0" w:space="0" w:color="auto"/>
              </w:divBdr>
            </w:div>
            <w:div w:id="1112439692">
              <w:marLeft w:val="0"/>
              <w:marRight w:val="0"/>
              <w:marTop w:val="0"/>
              <w:marBottom w:val="0"/>
              <w:divBdr>
                <w:top w:val="none" w:sz="0" w:space="0" w:color="auto"/>
                <w:left w:val="none" w:sz="0" w:space="0" w:color="auto"/>
                <w:bottom w:val="none" w:sz="0" w:space="0" w:color="auto"/>
                <w:right w:val="none" w:sz="0" w:space="0" w:color="auto"/>
              </w:divBdr>
            </w:div>
            <w:div w:id="1209537042">
              <w:marLeft w:val="0"/>
              <w:marRight w:val="0"/>
              <w:marTop w:val="0"/>
              <w:marBottom w:val="0"/>
              <w:divBdr>
                <w:top w:val="none" w:sz="0" w:space="0" w:color="auto"/>
                <w:left w:val="none" w:sz="0" w:space="0" w:color="auto"/>
                <w:bottom w:val="none" w:sz="0" w:space="0" w:color="auto"/>
                <w:right w:val="none" w:sz="0" w:space="0" w:color="auto"/>
              </w:divBdr>
            </w:div>
            <w:div w:id="1427850639">
              <w:marLeft w:val="0"/>
              <w:marRight w:val="0"/>
              <w:marTop w:val="0"/>
              <w:marBottom w:val="0"/>
              <w:divBdr>
                <w:top w:val="none" w:sz="0" w:space="0" w:color="auto"/>
                <w:left w:val="none" w:sz="0" w:space="0" w:color="auto"/>
                <w:bottom w:val="none" w:sz="0" w:space="0" w:color="auto"/>
                <w:right w:val="none" w:sz="0" w:space="0" w:color="auto"/>
              </w:divBdr>
            </w:div>
            <w:div w:id="1428387619">
              <w:marLeft w:val="0"/>
              <w:marRight w:val="0"/>
              <w:marTop w:val="0"/>
              <w:marBottom w:val="0"/>
              <w:divBdr>
                <w:top w:val="none" w:sz="0" w:space="0" w:color="auto"/>
                <w:left w:val="none" w:sz="0" w:space="0" w:color="auto"/>
                <w:bottom w:val="none" w:sz="0" w:space="0" w:color="auto"/>
                <w:right w:val="none" w:sz="0" w:space="0" w:color="auto"/>
              </w:divBdr>
            </w:div>
            <w:div w:id="1448625103">
              <w:marLeft w:val="0"/>
              <w:marRight w:val="0"/>
              <w:marTop w:val="0"/>
              <w:marBottom w:val="0"/>
              <w:divBdr>
                <w:top w:val="none" w:sz="0" w:space="0" w:color="auto"/>
                <w:left w:val="none" w:sz="0" w:space="0" w:color="auto"/>
                <w:bottom w:val="none" w:sz="0" w:space="0" w:color="auto"/>
                <w:right w:val="none" w:sz="0" w:space="0" w:color="auto"/>
              </w:divBdr>
            </w:div>
            <w:div w:id="1597520151">
              <w:marLeft w:val="0"/>
              <w:marRight w:val="0"/>
              <w:marTop w:val="0"/>
              <w:marBottom w:val="0"/>
              <w:divBdr>
                <w:top w:val="none" w:sz="0" w:space="0" w:color="auto"/>
                <w:left w:val="none" w:sz="0" w:space="0" w:color="auto"/>
                <w:bottom w:val="none" w:sz="0" w:space="0" w:color="auto"/>
                <w:right w:val="none" w:sz="0" w:space="0" w:color="auto"/>
              </w:divBdr>
            </w:div>
            <w:div w:id="1775204362">
              <w:marLeft w:val="0"/>
              <w:marRight w:val="0"/>
              <w:marTop w:val="0"/>
              <w:marBottom w:val="0"/>
              <w:divBdr>
                <w:top w:val="none" w:sz="0" w:space="0" w:color="auto"/>
                <w:left w:val="none" w:sz="0" w:space="0" w:color="auto"/>
                <w:bottom w:val="none" w:sz="0" w:space="0" w:color="auto"/>
                <w:right w:val="none" w:sz="0" w:space="0" w:color="auto"/>
              </w:divBdr>
            </w:div>
            <w:div w:id="1917589950">
              <w:marLeft w:val="0"/>
              <w:marRight w:val="0"/>
              <w:marTop w:val="0"/>
              <w:marBottom w:val="0"/>
              <w:divBdr>
                <w:top w:val="none" w:sz="0" w:space="0" w:color="auto"/>
                <w:left w:val="none" w:sz="0" w:space="0" w:color="auto"/>
                <w:bottom w:val="none" w:sz="0" w:space="0" w:color="auto"/>
                <w:right w:val="none" w:sz="0" w:space="0" w:color="auto"/>
              </w:divBdr>
            </w:div>
            <w:div w:id="2017925296">
              <w:marLeft w:val="0"/>
              <w:marRight w:val="0"/>
              <w:marTop w:val="0"/>
              <w:marBottom w:val="0"/>
              <w:divBdr>
                <w:top w:val="none" w:sz="0" w:space="0" w:color="auto"/>
                <w:left w:val="none" w:sz="0" w:space="0" w:color="auto"/>
                <w:bottom w:val="none" w:sz="0" w:space="0" w:color="auto"/>
                <w:right w:val="none" w:sz="0" w:space="0" w:color="auto"/>
              </w:divBdr>
            </w:div>
          </w:divsChild>
        </w:div>
        <w:div w:id="638219731">
          <w:marLeft w:val="0"/>
          <w:marRight w:val="0"/>
          <w:marTop w:val="0"/>
          <w:marBottom w:val="0"/>
          <w:divBdr>
            <w:top w:val="none" w:sz="0" w:space="0" w:color="auto"/>
            <w:left w:val="none" w:sz="0" w:space="0" w:color="auto"/>
            <w:bottom w:val="none" w:sz="0" w:space="0" w:color="auto"/>
            <w:right w:val="none" w:sz="0" w:space="0" w:color="auto"/>
          </w:divBdr>
        </w:div>
        <w:div w:id="683366378">
          <w:marLeft w:val="0"/>
          <w:marRight w:val="0"/>
          <w:marTop w:val="0"/>
          <w:marBottom w:val="0"/>
          <w:divBdr>
            <w:top w:val="none" w:sz="0" w:space="0" w:color="auto"/>
            <w:left w:val="none" w:sz="0" w:space="0" w:color="auto"/>
            <w:bottom w:val="none" w:sz="0" w:space="0" w:color="auto"/>
            <w:right w:val="none" w:sz="0" w:space="0" w:color="auto"/>
          </w:divBdr>
        </w:div>
        <w:div w:id="751854854">
          <w:marLeft w:val="0"/>
          <w:marRight w:val="0"/>
          <w:marTop w:val="0"/>
          <w:marBottom w:val="0"/>
          <w:divBdr>
            <w:top w:val="none" w:sz="0" w:space="0" w:color="auto"/>
            <w:left w:val="none" w:sz="0" w:space="0" w:color="auto"/>
            <w:bottom w:val="none" w:sz="0" w:space="0" w:color="auto"/>
            <w:right w:val="none" w:sz="0" w:space="0" w:color="auto"/>
          </w:divBdr>
        </w:div>
        <w:div w:id="945387452">
          <w:marLeft w:val="0"/>
          <w:marRight w:val="0"/>
          <w:marTop w:val="0"/>
          <w:marBottom w:val="0"/>
          <w:divBdr>
            <w:top w:val="none" w:sz="0" w:space="0" w:color="auto"/>
            <w:left w:val="none" w:sz="0" w:space="0" w:color="auto"/>
            <w:bottom w:val="none" w:sz="0" w:space="0" w:color="auto"/>
            <w:right w:val="none" w:sz="0" w:space="0" w:color="auto"/>
          </w:divBdr>
        </w:div>
        <w:div w:id="1015620314">
          <w:marLeft w:val="0"/>
          <w:marRight w:val="0"/>
          <w:marTop w:val="0"/>
          <w:marBottom w:val="0"/>
          <w:divBdr>
            <w:top w:val="none" w:sz="0" w:space="0" w:color="auto"/>
            <w:left w:val="none" w:sz="0" w:space="0" w:color="auto"/>
            <w:bottom w:val="none" w:sz="0" w:space="0" w:color="auto"/>
            <w:right w:val="none" w:sz="0" w:space="0" w:color="auto"/>
          </w:divBdr>
        </w:div>
        <w:div w:id="1097367442">
          <w:marLeft w:val="0"/>
          <w:marRight w:val="0"/>
          <w:marTop w:val="0"/>
          <w:marBottom w:val="0"/>
          <w:divBdr>
            <w:top w:val="none" w:sz="0" w:space="0" w:color="auto"/>
            <w:left w:val="none" w:sz="0" w:space="0" w:color="auto"/>
            <w:bottom w:val="none" w:sz="0" w:space="0" w:color="auto"/>
            <w:right w:val="none" w:sz="0" w:space="0" w:color="auto"/>
          </w:divBdr>
        </w:div>
        <w:div w:id="1195733201">
          <w:marLeft w:val="0"/>
          <w:marRight w:val="0"/>
          <w:marTop w:val="0"/>
          <w:marBottom w:val="0"/>
          <w:divBdr>
            <w:top w:val="none" w:sz="0" w:space="0" w:color="auto"/>
            <w:left w:val="none" w:sz="0" w:space="0" w:color="auto"/>
            <w:bottom w:val="none" w:sz="0" w:space="0" w:color="auto"/>
            <w:right w:val="none" w:sz="0" w:space="0" w:color="auto"/>
          </w:divBdr>
        </w:div>
        <w:div w:id="1215315156">
          <w:marLeft w:val="0"/>
          <w:marRight w:val="0"/>
          <w:marTop w:val="0"/>
          <w:marBottom w:val="0"/>
          <w:divBdr>
            <w:top w:val="none" w:sz="0" w:space="0" w:color="auto"/>
            <w:left w:val="none" w:sz="0" w:space="0" w:color="auto"/>
            <w:bottom w:val="none" w:sz="0" w:space="0" w:color="auto"/>
            <w:right w:val="none" w:sz="0" w:space="0" w:color="auto"/>
          </w:divBdr>
        </w:div>
        <w:div w:id="1288244350">
          <w:marLeft w:val="0"/>
          <w:marRight w:val="0"/>
          <w:marTop w:val="0"/>
          <w:marBottom w:val="0"/>
          <w:divBdr>
            <w:top w:val="none" w:sz="0" w:space="0" w:color="auto"/>
            <w:left w:val="none" w:sz="0" w:space="0" w:color="auto"/>
            <w:bottom w:val="none" w:sz="0" w:space="0" w:color="auto"/>
            <w:right w:val="none" w:sz="0" w:space="0" w:color="auto"/>
          </w:divBdr>
          <w:divsChild>
            <w:div w:id="31855322">
              <w:marLeft w:val="0"/>
              <w:marRight w:val="0"/>
              <w:marTop w:val="0"/>
              <w:marBottom w:val="0"/>
              <w:divBdr>
                <w:top w:val="none" w:sz="0" w:space="0" w:color="auto"/>
                <w:left w:val="none" w:sz="0" w:space="0" w:color="auto"/>
                <w:bottom w:val="none" w:sz="0" w:space="0" w:color="auto"/>
                <w:right w:val="none" w:sz="0" w:space="0" w:color="auto"/>
              </w:divBdr>
            </w:div>
            <w:div w:id="148134892">
              <w:marLeft w:val="0"/>
              <w:marRight w:val="0"/>
              <w:marTop w:val="0"/>
              <w:marBottom w:val="0"/>
              <w:divBdr>
                <w:top w:val="none" w:sz="0" w:space="0" w:color="auto"/>
                <w:left w:val="none" w:sz="0" w:space="0" w:color="auto"/>
                <w:bottom w:val="none" w:sz="0" w:space="0" w:color="auto"/>
                <w:right w:val="none" w:sz="0" w:space="0" w:color="auto"/>
              </w:divBdr>
            </w:div>
            <w:div w:id="234559138">
              <w:marLeft w:val="0"/>
              <w:marRight w:val="0"/>
              <w:marTop w:val="0"/>
              <w:marBottom w:val="0"/>
              <w:divBdr>
                <w:top w:val="none" w:sz="0" w:space="0" w:color="auto"/>
                <w:left w:val="none" w:sz="0" w:space="0" w:color="auto"/>
                <w:bottom w:val="none" w:sz="0" w:space="0" w:color="auto"/>
                <w:right w:val="none" w:sz="0" w:space="0" w:color="auto"/>
              </w:divBdr>
            </w:div>
            <w:div w:id="295380887">
              <w:marLeft w:val="0"/>
              <w:marRight w:val="0"/>
              <w:marTop w:val="0"/>
              <w:marBottom w:val="0"/>
              <w:divBdr>
                <w:top w:val="none" w:sz="0" w:space="0" w:color="auto"/>
                <w:left w:val="none" w:sz="0" w:space="0" w:color="auto"/>
                <w:bottom w:val="none" w:sz="0" w:space="0" w:color="auto"/>
                <w:right w:val="none" w:sz="0" w:space="0" w:color="auto"/>
              </w:divBdr>
            </w:div>
            <w:div w:id="613831859">
              <w:marLeft w:val="0"/>
              <w:marRight w:val="0"/>
              <w:marTop w:val="0"/>
              <w:marBottom w:val="0"/>
              <w:divBdr>
                <w:top w:val="none" w:sz="0" w:space="0" w:color="auto"/>
                <w:left w:val="none" w:sz="0" w:space="0" w:color="auto"/>
                <w:bottom w:val="none" w:sz="0" w:space="0" w:color="auto"/>
                <w:right w:val="none" w:sz="0" w:space="0" w:color="auto"/>
              </w:divBdr>
            </w:div>
            <w:div w:id="720598239">
              <w:marLeft w:val="0"/>
              <w:marRight w:val="0"/>
              <w:marTop w:val="0"/>
              <w:marBottom w:val="0"/>
              <w:divBdr>
                <w:top w:val="none" w:sz="0" w:space="0" w:color="auto"/>
                <w:left w:val="none" w:sz="0" w:space="0" w:color="auto"/>
                <w:bottom w:val="none" w:sz="0" w:space="0" w:color="auto"/>
                <w:right w:val="none" w:sz="0" w:space="0" w:color="auto"/>
              </w:divBdr>
            </w:div>
            <w:div w:id="836461656">
              <w:marLeft w:val="0"/>
              <w:marRight w:val="0"/>
              <w:marTop w:val="0"/>
              <w:marBottom w:val="0"/>
              <w:divBdr>
                <w:top w:val="none" w:sz="0" w:space="0" w:color="auto"/>
                <w:left w:val="none" w:sz="0" w:space="0" w:color="auto"/>
                <w:bottom w:val="none" w:sz="0" w:space="0" w:color="auto"/>
                <w:right w:val="none" w:sz="0" w:space="0" w:color="auto"/>
              </w:divBdr>
            </w:div>
            <w:div w:id="1026903339">
              <w:marLeft w:val="0"/>
              <w:marRight w:val="0"/>
              <w:marTop w:val="0"/>
              <w:marBottom w:val="0"/>
              <w:divBdr>
                <w:top w:val="none" w:sz="0" w:space="0" w:color="auto"/>
                <w:left w:val="none" w:sz="0" w:space="0" w:color="auto"/>
                <w:bottom w:val="none" w:sz="0" w:space="0" w:color="auto"/>
                <w:right w:val="none" w:sz="0" w:space="0" w:color="auto"/>
              </w:divBdr>
            </w:div>
            <w:div w:id="1355576449">
              <w:marLeft w:val="0"/>
              <w:marRight w:val="0"/>
              <w:marTop w:val="0"/>
              <w:marBottom w:val="0"/>
              <w:divBdr>
                <w:top w:val="none" w:sz="0" w:space="0" w:color="auto"/>
                <w:left w:val="none" w:sz="0" w:space="0" w:color="auto"/>
                <w:bottom w:val="none" w:sz="0" w:space="0" w:color="auto"/>
                <w:right w:val="none" w:sz="0" w:space="0" w:color="auto"/>
              </w:divBdr>
            </w:div>
            <w:div w:id="1391611345">
              <w:marLeft w:val="0"/>
              <w:marRight w:val="0"/>
              <w:marTop w:val="0"/>
              <w:marBottom w:val="0"/>
              <w:divBdr>
                <w:top w:val="none" w:sz="0" w:space="0" w:color="auto"/>
                <w:left w:val="none" w:sz="0" w:space="0" w:color="auto"/>
                <w:bottom w:val="none" w:sz="0" w:space="0" w:color="auto"/>
                <w:right w:val="none" w:sz="0" w:space="0" w:color="auto"/>
              </w:divBdr>
            </w:div>
            <w:div w:id="1474054435">
              <w:marLeft w:val="0"/>
              <w:marRight w:val="0"/>
              <w:marTop w:val="0"/>
              <w:marBottom w:val="0"/>
              <w:divBdr>
                <w:top w:val="none" w:sz="0" w:space="0" w:color="auto"/>
                <w:left w:val="none" w:sz="0" w:space="0" w:color="auto"/>
                <w:bottom w:val="none" w:sz="0" w:space="0" w:color="auto"/>
                <w:right w:val="none" w:sz="0" w:space="0" w:color="auto"/>
              </w:divBdr>
            </w:div>
            <w:div w:id="1499349029">
              <w:marLeft w:val="0"/>
              <w:marRight w:val="0"/>
              <w:marTop w:val="0"/>
              <w:marBottom w:val="0"/>
              <w:divBdr>
                <w:top w:val="none" w:sz="0" w:space="0" w:color="auto"/>
                <w:left w:val="none" w:sz="0" w:space="0" w:color="auto"/>
                <w:bottom w:val="none" w:sz="0" w:space="0" w:color="auto"/>
                <w:right w:val="none" w:sz="0" w:space="0" w:color="auto"/>
              </w:divBdr>
            </w:div>
            <w:div w:id="1513955621">
              <w:marLeft w:val="0"/>
              <w:marRight w:val="0"/>
              <w:marTop w:val="0"/>
              <w:marBottom w:val="0"/>
              <w:divBdr>
                <w:top w:val="none" w:sz="0" w:space="0" w:color="auto"/>
                <w:left w:val="none" w:sz="0" w:space="0" w:color="auto"/>
                <w:bottom w:val="none" w:sz="0" w:space="0" w:color="auto"/>
                <w:right w:val="none" w:sz="0" w:space="0" w:color="auto"/>
              </w:divBdr>
            </w:div>
            <w:div w:id="1759011242">
              <w:marLeft w:val="0"/>
              <w:marRight w:val="0"/>
              <w:marTop w:val="0"/>
              <w:marBottom w:val="0"/>
              <w:divBdr>
                <w:top w:val="none" w:sz="0" w:space="0" w:color="auto"/>
                <w:left w:val="none" w:sz="0" w:space="0" w:color="auto"/>
                <w:bottom w:val="none" w:sz="0" w:space="0" w:color="auto"/>
                <w:right w:val="none" w:sz="0" w:space="0" w:color="auto"/>
              </w:divBdr>
            </w:div>
            <w:div w:id="2086026821">
              <w:marLeft w:val="0"/>
              <w:marRight w:val="0"/>
              <w:marTop w:val="0"/>
              <w:marBottom w:val="0"/>
              <w:divBdr>
                <w:top w:val="none" w:sz="0" w:space="0" w:color="auto"/>
                <w:left w:val="none" w:sz="0" w:space="0" w:color="auto"/>
                <w:bottom w:val="none" w:sz="0" w:space="0" w:color="auto"/>
                <w:right w:val="none" w:sz="0" w:space="0" w:color="auto"/>
              </w:divBdr>
            </w:div>
          </w:divsChild>
        </w:div>
        <w:div w:id="1349409151">
          <w:marLeft w:val="0"/>
          <w:marRight w:val="0"/>
          <w:marTop w:val="0"/>
          <w:marBottom w:val="0"/>
          <w:divBdr>
            <w:top w:val="none" w:sz="0" w:space="0" w:color="auto"/>
            <w:left w:val="none" w:sz="0" w:space="0" w:color="auto"/>
            <w:bottom w:val="none" w:sz="0" w:space="0" w:color="auto"/>
            <w:right w:val="none" w:sz="0" w:space="0" w:color="auto"/>
          </w:divBdr>
        </w:div>
        <w:div w:id="1383016356">
          <w:marLeft w:val="0"/>
          <w:marRight w:val="0"/>
          <w:marTop w:val="0"/>
          <w:marBottom w:val="0"/>
          <w:divBdr>
            <w:top w:val="none" w:sz="0" w:space="0" w:color="auto"/>
            <w:left w:val="none" w:sz="0" w:space="0" w:color="auto"/>
            <w:bottom w:val="none" w:sz="0" w:space="0" w:color="auto"/>
            <w:right w:val="none" w:sz="0" w:space="0" w:color="auto"/>
          </w:divBdr>
        </w:div>
        <w:div w:id="1428693857">
          <w:marLeft w:val="0"/>
          <w:marRight w:val="0"/>
          <w:marTop w:val="0"/>
          <w:marBottom w:val="0"/>
          <w:divBdr>
            <w:top w:val="none" w:sz="0" w:space="0" w:color="auto"/>
            <w:left w:val="none" w:sz="0" w:space="0" w:color="auto"/>
            <w:bottom w:val="none" w:sz="0" w:space="0" w:color="auto"/>
            <w:right w:val="none" w:sz="0" w:space="0" w:color="auto"/>
          </w:divBdr>
        </w:div>
        <w:div w:id="1454129082">
          <w:marLeft w:val="0"/>
          <w:marRight w:val="0"/>
          <w:marTop w:val="0"/>
          <w:marBottom w:val="0"/>
          <w:divBdr>
            <w:top w:val="none" w:sz="0" w:space="0" w:color="auto"/>
            <w:left w:val="none" w:sz="0" w:space="0" w:color="auto"/>
            <w:bottom w:val="none" w:sz="0" w:space="0" w:color="auto"/>
            <w:right w:val="none" w:sz="0" w:space="0" w:color="auto"/>
          </w:divBdr>
          <w:divsChild>
            <w:div w:id="2051028047">
              <w:marLeft w:val="-75"/>
              <w:marRight w:val="0"/>
              <w:marTop w:val="30"/>
              <w:marBottom w:val="30"/>
              <w:divBdr>
                <w:top w:val="none" w:sz="0" w:space="0" w:color="auto"/>
                <w:left w:val="none" w:sz="0" w:space="0" w:color="auto"/>
                <w:bottom w:val="none" w:sz="0" w:space="0" w:color="auto"/>
                <w:right w:val="none" w:sz="0" w:space="0" w:color="auto"/>
              </w:divBdr>
              <w:divsChild>
                <w:div w:id="129790769">
                  <w:marLeft w:val="0"/>
                  <w:marRight w:val="0"/>
                  <w:marTop w:val="0"/>
                  <w:marBottom w:val="0"/>
                  <w:divBdr>
                    <w:top w:val="none" w:sz="0" w:space="0" w:color="auto"/>
                    <w:left w:val="none" w:sz="0" w:space="0" w:color="auto"/>
                    <w:bottom w:val="none" w:sz="0" w:space="0" w:color="auto"/>
                    <w:right w:val="none" w:sz="0" w:space="0" w:color="auto"/>
                  </w:divBdr>
                  <w:divsChild>
                    <w:div w:id="903183159">
                      <w:marLeft w:val="0"/>
                      <w:marRight w:val="0"/>
                      <w:marTop w:val="0"/>
                      <w:marBottom w:val="0"/>
                      <w:divBdr>
                        <w:top w:val="none" w:sz="0" w:space="0" w:color="auto"/>
                        <w:left w:val="none" w:sz="0" w:space="0" w:color="auto"/>
                        <w:bottom w:val="none" w:sz="0" w:space="0" w:color="auto"/>
                        <w:right w:val="none" w:sz="0" w:space="0" w:color="auto"/>
                      </w:divBdr>
                    </w:div>
                  </w:divsChild>
                </w:div>
                <w:div w:id="297927579">
                  <w:marLeft w:val="0"/>
                  <w:marRight w:val="0"/>
                  <w:marTop w:val="0"/>
                  <w:marBottom w:val="0"/>
                  <w:divBdr>
                    <w:top w:val="none" w:sz="0" w:space="0" w:color="auto"/>
                    <w:left w:val="none" w:sz="0" w:space="0" w:color="auto"/>
                    <w:bottom w:val="none" w:sz="0" w:space="0" w:color="auto"/>
                    <w:right w:val="none" w:sz="0" w:space="0" w:color="auto"/>
                  </w:divBdr>
                  <w:divsChild>
                    <w:div w:id="1497721877">
                      <w:marLeft w:val="0"/>
                      <w:marRight w:val="0"/>
                      <w:marTop w:val="0"/>
                      <w:marBottom w:val="0"/>
                      <w:divBdr>
                        <w:top w:val="none" w:sz="0" w:space="0" w:color="auto"/>
                        <w:left w:val="none" w:sz="0" w:space="0" w:color="auto"/>
                        <w:bottom w:val="none" w:sz="0" w:space="0" w:color="auto"/>
                        <w:right w:val="none" w:sz="0" w:space="0" w:color="auto"/>
                      </w:divBdr>
                    </w:div>
                  </w:divsChild>
                </w:div>
                <w:div w:id="300158802">
                  <w:marLeft w:val="0"/>
                  <w:marRight w:val="0"/>
                  <w:marTop w:val="0"/>
                  <w:marBottom w:val="0"/>
                  <w:divBdr>
                    <w:top w:val="none" w:sz="0" w:space="0" w:color="auto"/>
                    <w:left w:val="none" w:sz="0" w:space="0" w:color="auto"/>
                    <w:bottom w:val="none" w:sz="0" w:space="0" w:color="auto"/>
                    <w:right w:val="none" w:sz="0" w:space="0" w:color="auto"/>
                  </w:divBdr>
                  <w:divsChild>
                    <w:div w:id="311377331">
                      <w:marLeft w:val="0"/>
                      <w:marRight w:val="0"/>
                      <w:marTop w:val="0"/>
                      <w:marBottom w:val="0"/>
                      <w:divBdr>
                        <w:top w:val="none" w:sz="0" w:space="0" w:color="auto"/>
                        <w:left w:val="none" w:sz="0" w:space="0" w:color="auto"/>
                        <w:bottom w:val="none" w:sz="0" w:space="0" w:color="auto"/>
                        <w:right w:val="none" w:sz="0" w:space="0" w:color="auto"/>
                      </w:divBdr>
                    </w:div>
                  </w:divsChild>
                </w:div>
                <w:div w:id="355353632">
                  <w:marLeft w:val="0"/>
                  <w:marRight w:val="0"/>
                  <w:marTop w:val="0"/>
                  <w:marBottom w:val="0"/>
                  <w:divBdr>
                    <w:top w:val="none" w:sz="0" w:space="0" w:color="auto"/>
                    <w:left w:val="none" w:sz="0" w:space="0" w:color="auto"/>
                    <w:bottom w:val="none" w:sz="0" w:space="0" w:color="auto"/>
                    <w:right w:val="none" w:sz="0" w:space="0" w:color="auto"/>
                  </w:divBdr>
                  <w:divsChild>
                    <w:div w:id="768425282">
                      <w:marLeft w:val="0"/>
                      <w:marRight w:val="0"/>
                      <w:marTop w:val="0"/>
                      <w:marBottom w:val="0"/>
                      <w:divBdr>
                        <w:top w:val="none" w:sz="0" w:space="0" w:color="auto"/>
                        <w:left w:val="none" w:sz="0" w:space="0" w:color="auto"/>
                        <w:bottom w:val="none" w:sz="0" w:space="0" w:color="auto"/>
                        <w:right w:val="none" w:sz="0" w:space="0" w:color="auto"/>
                      </w:divBdr>
                    </w:div>
                  </w:divsChild>
                </w:div>
                <w:div w:id="389574289">
                  <w:marLeft w:val="0"/>
                  <w:marRight w:val="0"/>
                  <w:marTop w:val="0"/>
                  <w:marBottom w:val="0"/>
                  <w:divBdr>
                    <w:top w:val="none" w:sz="0" w:space="0" w:color="auto"/>
                    <w:left w:val="none" w:sz="0" w:space="0" w:color="auto"/>
                    <w:bottom w:val="none" w:sz="0" w:space="0" w:color="auto"/>
                    <w:right w:val="none" w:sz="0" w:space="0" w:color="auto"/>
                  </w:divBdr>
                  <w:divsChild>
                    <w:div w:id="653263866">
                      <w:marLeft w:val="0"/>
                      <w:marRight w:val="0"/>
                      <w:marTop w:val="0"/>
                      <w:marBottom w:val="0"/>
                      <w:divBdr>
                        <w:top w:val="none" w:sz="0" w:space="0" w:color="auto"/>
                        <w:left w:val="none" w:sz="0" w:space="0" w:color="auto"/>
                        <w:bottom w:val="none" w:sz="0" w:space="0" w:color="auto"/>
                        <w:right w:val="none" w:sz="0" w:space="0" w:color="auto"/>
                      </w:divBdr>
                    </w:div>
                  </w:divsChild>
                </w:div>
                <w:div w:id="445470563">
                  <w:marLeft w:val="0"/>
                  <w:marRight w:val="0"/>
                  <w:marTop w:val="0"/>
                  <w:marBottom w:val="0"/>
                  <w:divBdr>
                    <w:top w:val="none" w:sz="0" w:space="0" w:color="auto"/>
                    <w:left w:val="none" w:sz="0" w:space="0" w:color="auto"/>
                    <w:bottom w:val="none" w:sz="0" w:space="0" w:color="auto"/>
                    <w:right w:val="none" w:sz="0" w:space="0" w:color="auto"/>
                  </w:divBdr>
                  <w:divsChild>
                    <w:div w:id="1533181278">
                      <w:marLeft w:val="0"/>
                      <w:marRight w:val="0"/>
                      <w:marTop w:val="0"/>
                      <w:marBottom w:val="0"/>
                      <w:divBdr>
                        <w:top w:val="none" w:sz="0" w:space="0" w:color="auto"/>
                        <w:left w:val="none" w:sz="0" w:space="0" w:color="auto"/>
                        <w:bottom w:val="none" w:sz="0" w:space="0" w:color="auto"/>
                        <w:right w:val="none" w:sz="0" w:space="0" w:color="auto"/>
                      </w:divBdr>
                    </w:div>
                  </w:divsChild>
                </w:div>
                <w:div w:id="602154368">
                  <w:marLeft w:val="0"/>
                  <w:marRight w:val="0"/>
                  <w:marTop w:val="0"/>
                  <w:marBottom w:val="0"/>
                  <w:divBdr>
                    <w:top w:val="none" w:sz="0" w:space="0" w:color="auto"/>
                    <w:left w:val="none" w:sz="0" w:space="0" w:color="auto"/>
                    <w:bottom w:val="none" w:sz="0" w:space="0" w:color="auto"/>
                    <w:right w:val="none" w:sz="0" w:space="0" w:color="auto"/>
                  </w:divBdr>
                  <w:divsChild>
                    <w:div w:id="451555826">
                      <w:marLeft w:val="0"/>
                      <w:marRight w:val="0"/>
                      <w:marTop w:val="0"/>
                      <w:marBottom w:val="0"/>
                      <w:divBdr>
                        <w:top w:val="none" w:sz="0" w:space="0" w:color="auto"/>
                        <w:left w:val="none" w:sz="0" w:space="0" w:color="auto"/>
                        <w:bottom w:val="none" w:sz="0" w:space="0" w:color="auto"/>
                        <w:right w:val="none" w:sz="0" w:space="0" w:color="auto"/>
                      </w:divBdr>
                    </w:div>
                  </w:divsChild>
                </w:div>
                <w:div w:id="613095654">
                  <w:marLeft w:val="0"/>
                  <w:marRight w:val="0"/>
                  <w:marTop w:val="0"/>
                  <w:marBottom w:val="0"/>
                  <w:divBdr>
                    <w:top w:val="none" w:sz="0" w:space="0" w:color="auto"/>
                    <w:left w:val="none" w:sz="0" w:space="0" w:color="auto"/>
                    <w:bottom w:val="none" w:sz="0" w:space="0" w:color="auto"/>
                    <w:right w:val="none" w:sz="0" w:space="0" w:color="auto"/>
                  </w:divBdr>
                  <w:divsChild>
                    <w:div w:id="1444420087">
                      <w:marLeft w:val="0"/>
                      <w:marRight w:val="0"/>
                      <w:marTop w:val="0"/>
                      <w:marBottom w:val="0"/>
                      <w:divBdr>
                        <w:top w:val="none" w:sz="0" w:space="0" w:color="auto"/>
                        <w:left w:val="none" w:sz="0" w:space="0" w:color="auto"/>
                        <w:bottom w:val="none" w:sz="0" w:space="0" w:color="auto"/>
                        <w:right w:val="none" w:sz="0" w:space="0" w:color="auto"/>
                      </w:divBdr>
                    </w:div>
                  </w:divsChild>
                </w:div>
                <w:div w:id="727267288">
                  <w:marLeft w:val="0"/>
                  <w:marRight w:val="0"/>
                  <w:marTop w:val="0"/>
                  <w:marBottom w:val="0"/>
                  <w:divBdr>
                    <w:top w:val="none" w:sz="0" w:space="0" w:color="auto"/>
                    <w:left w:val="none" w:sz="0" w:space="0" w:color="auto"/>
                    <w:bottom w:val="none" w:sz="0" w:space="0" w:color="auto"/>
                    <w:right w:val="none" w:sz="0" w:space="0" w:color="auto"/>
                  </w:divBdr>
                  <w:divsChild>
                    <w:div w:id="1063872584">
                      <w:marLeft w:val="0"/>
                      <w:marRight w:val="0"/>
                      <w:marTop w:val="0"/>
                      <w:marBottom w:val="0"/>
                      <w:divBdr>
                        <w:top w:val="none" w:sz="0" w:space="0" w:color="auto"/>
                        <w:left w:val="none" w:sz="0" w:space="0" w:color="auto"/>
                        <w:bottom w:val="none" w:sz="0" w:space="0" w:color="auto"/>
                        <w:right w:val="none" w:sz="0" w:space="0" w:color="auto"/>
                      </w:divBdr>
                    </w:div>
                  </w:divsChild>
                </w:div>
                <w:div w:id="737750974">
                  <w:marLeft w:val="0"/>
                  <w:marRight w:val="0"/>
                  <w:marTop w:val="0"/>
                  <w:marBottom w:val="0"/>
                  <w:divBdr>
                    <w:top w:val="none" w:sz="0" w:space="0" w:color="auto"/>
                    <w:left w:val="none" w:sz="0" w:space="0" w:color="auto"/>
                    <w:bottom w:val="none" w:sz="0" w:space="0" w:color="auto"/>
                    <w:right w:val="none" w:sz="0" w:space="0" w:color="auto"/>
                  </w:divBdr>
                  <w:divsChild>
                    <w:div w:id="207382630">
                      <w:marLeft w:val="0"/>
                      <w:marRight w:val="0"/>
                      <w:marTop w:val="0"/>
                      <w:marBottom w:val="0"/>
                      <w:divBdr>
                        <w:top w:val="none" w:sz="0" w:space="0" w:color="auto"/>
                        <w:left w:val="none" w:sz="0" w:space="0" w:color="auto"/>
                        <w:bottom w:val="none" w:sz="0" w:space="0" w:color="auto"/>
                        <w:right w:val="none" w:sz="0" w:space="0" w:color="auto"/>
                      </w:divBdr>
                    </w:div>
                  </w:divsChild>
                </w:div>
                <w:div w:id="742265740">
                  <w:marLeft w:val="0"/>
                  <w:marRight w:val="0"/>
                  <w:marTop w:val="0"/>
                  <w:marBottom w:val="0"/>
                  <w:divBdr>
                    <w:top w:val="none" w:sz="0" w:space="0" w:color="auto"/>
                    <w:left w:val="none" w:sz="0" w:space="0" w:color="auto"/>
                    <w:bottom w:val="none" w:sz="0" w:space="0" w:color="auto"/>
                    <w:right w:val="none" w:sz="0" w:space="0" w:color="auto"/>
                  </w:divBdr>
                  <w:divsChild>
                    <w:div w:id="339280570">
                      <w:marLeft w:val="0"/>
                      <w:marRight w:val="0"/>
                      <w:marTop w:val="0"/>
                      <w:marBottom w:val="0"/>
                      <w:divBdr>
                        <w:top w:val="none" w:sz="0" w:space="0" w:color="auto"/>
                        <w:left w:val="none" w:sz="0" w:space="0" w:color="auto"/>
                        <w:bottom w:val="none" w:sz="0" w:space="0" w:color="auto"/>
                        <w:right w:val="none" w:sz="0" w:space="0" w:color="auto"/>
                      </w:divBdr>
                    </w:div>
                  </w:divsChild>
                </w:div>
                <w:div w:id="842823055">
                  <w:marLeft w:val="0"/>
                  <w:marRight w:val="0"/>
                  <w:marTop w:val="0"/>
                  <w:marBottom w:val="0"/>
                  <w:divBdr>
                    <w:top w:val="none" w:sz="0" w:space="0" w:color="auto"/>
                    <w:left w:val="none" w:sz="0" w:space="0" w:color="auto"/>
                    <w:bottom w:val="none" w:sz="0" w:space="0" w:color="auto"/>
                    <w:right w:val="none" w:sz="0" w:space="0" w:color="auto"/>
                  </w:divBdr>
                  <w:divsChild>
                    <w:div w:id="1969168738">
                      <w:marLeft w:val="0"/>
                      <w:marRight w:val="0"/>
                      <w:marTop w:val="0"/>
                      <w:marBottom w:val="0"/>
                      <w:divBdr>
                        <w:top w:val="none" w:sz="0" w:space="0" w:color="auto"/>
                        <w:left w:val="none" w:sz="0" w:space="0" w:color="auto"/>
                        <w:bottom w:val="none" w:sz="0" w:space="0" w:color="auto"/>
                        <w:right w:val="none" w:sz="0" w:space="0" w:color="auto"/>
                      </w:divBdr>
                    </w:div>
                  </w:divsChild>
                </w:div>
                <w:div w:id="884754885">
                  <w:marLeft w:val="0"/>
                  <w:marRight w:val="0"/>
                  <w:marTop w:val="0"/>
                  <w:marBottom w:val="0"/>
                  <w:divBdr>
                    <w:top w:val="none" w:sz="0" w:space="0" w:color="auto"/>
                    <w:left w:val="none" w:sz="0" w:space="0" w:color="auto"/>
                    <w:bottom w:val="none" w:sz="0" w:space="0" w:color="auto"/>
                    <w:right w:val="none" w:sz="0" w:space="0" w:color="auto"/>
                  </w:divBdr>
                  <w:divsChild>
                    <w:div w:id="253982172">
                      <w:marLeft w:val="0"/>
                      <w:marRight w:val="0"/>
                      <w:marTop w:val="0"/>
                      <w:marBottom w:val="0"/>
                      <w:divBdr>
                        <w:top w:val="none" w:sz="0" w:space="0" w:color="auto"/>
                        <w:left w:val="none" w:sz="0" w:space="0" w:color="auto"/>
                        <w:bottom w:val="none" w:sz="0" w:space="0" w:color="auto"/>
                        <w:right w:val="none" w:sz="0" w:space="0" w:color="auto"/>
                      </w:divBdr>
                    </w:div>
                  </w:divsChild>
                </w:div>
                <w:div w:id="1061177149">
                  <w:marLeft w:val="0"/>
                  <w:marRight w:val="0"/>
                  <w:marTop w:val="0"/>
                  <w:marBottom w:val="0"/>
                  <w:divBdr>
                    <w:top w:val="none" w:sz="0" w:space="0" w:color="auto"/>
                    <w:left w:val="none" w:sz="0" w:space="0" w:color="auto"/>
                    <w:bottom w:val="none" w:sz="0" w:space="0" w:color="auto"/>
                    <w:right w:val="none" w:sz="0" w:space="0" w:color="auto"/>
                  </w:divBdr>
                  <w:divsChild>
                    <w:div w:id="1712222134">
                      <w:marLeft w:val="0"/>
                      <w:marRight w:val="0"/>
                      <w:marTop w:val="0"/>
                      <w:marBottom w:val="0"/>
                      <w:divBdr>
                        <w:top w:val="none" w:sz="0" w:space="0" w:color="auto"/>
                        <w:left w:val="none" w:sz="0" w:space="0" w:color="auto"/>
                        <w:bottom w:val="none" w:sz="0" w:space="0" w:color="auto"/>
                        <w:right w:val="none" w:sz="0" w:space="0" w:color="auto"/>
                      </w:divBdr>
                    </w:div>
                  </w:divsChild>
                </w:div>
                <w:div w:id="1225722482">
                  <w:marLeft w:val="0"/>
                  <w:marRight w:val="0"/>
                  <w:marTop w:val="0"/>
                  <w:marBottom w:val="0"/>
                  <w:divBdr>
                    <w:top w:val="none" w:sz="0" w:space="0" w:color="auto"/>
                    <w:left w:val="none" w:sz="0" w:space="0" w:color="auto"/>
                    <w:bottom w:val="none" w:sz="0" w:space="0" w:color="auto"/>
                    <w:right w:val="none" w:sz="0" w:space="0" w:color="auto"/>
                  </w:divBdr>
                  <w:divsChild>
                    <w:div w:id="1230917706">
                      <w:marLeft w:val="0"/>
                      <w:marRight w:val="0"/>
                      <w:marTop w:val="0"/>
                      <w:marBottom w:val="0"/>
                      <w:divBdr>
                        <w:top w:val="none" w:sz="0" w:space="0" w:color="auto"/>
                        <w:left w:val="none" w:sz="0" w:space="0" w:color="auto"/>
                        <w:bottom w:val="none" w:sz="0" w:space="0" w:color="auto"/>
                        <w:right w:val="none" w:sz="0" w:space="0" w:color="auto"/>
                      </w:divBdr>
                    </w:div>
                  </w:divsChild>
                </w:div>
                <w:div w:id="1230651988">
                  <w:marLeft w:val="0"/>
                  <w:marRight w:val="0"/>
                  <w:marTop w:val="0"/>
                  <w:marBottom w:val="0"/>
                  <w:divBdr>
                    <w:top w:val="none" w:sz="0" w:space="0" w:color="auto"/>
                    <w:left w:val="none" w:sz="0" w:space="0" w:color="auto"/>
                    <w:bottom w:val="none" w:sz="0" w:space="0" w:color="auto"/>
                    <w:right w:val="none" w:sz="0" w:space="0" w:color="auto"/>
                  </w:divBdr>
                  <w:divsChild>
                    <w:div w:id="1280719061">
                      <w:marLeft w:val="0"/>
                      <w:marRight w:val="0"/>
                      <w:marTop w:val="0"/>
                      <w:marBottom w:val="0"/>
                      <w:divBdr>
                        <w:top w:val="none" w:sz="0" w:space="0" w:color="auto"/>
                        <w:left w:val="none" w:sz="0" w:space="0" w:color="auto"/>
                        <w:bottom w:val="none" w:sz="0" w:space="0" w:color="auto"/>
                        <w:right w:val="none" w:sz="0" w:space="0" w:color="auto"/>
                      </w:divBdr>
                    </w:div>
                  </w:divsChild>
                </w:div>
                <w:div w:id="1262489564">
                  <w:marLeft w:val="0"/>
                  <w:marRight w:val="0"/>
                  <w:marTop w:val="0"/>
                  <w:marBottom w:val="0"/>
                  <w:divBdr>
                    <w:top w:val="none" w:sz="0" w:space="0" w:color="auto"/>
                    <w:left w:val="none" w:sz="0" w:space="0" w:color="auto"/>
                    <w:bottom w:val="none" w:sz="0" w:space="0" w:color="auto"/>
                    <w:right w:val="none" w:sz="0" w:space="0" w:color="auto"/>
                  </w:divBdr>
                  <w:divsChild>
                    <w:div w:id="1354190979">
                      <w:marLeft w:val="0"/>
                      <w:marRight w:val="0"/>
                      <w:marTop w:val="0"/>
                      <w:marBottom w:val="0"/>
                      <w:divBdr>
                        <w:top w:val="none" w:sz="0" w:space="0" w:color="auto"/>
                        <w:left w:val="none" w:sz="0" w:space="0" w:color="auto"/>
                        <w:bottom w:val="none" w:sz="0" w:space="0" w:color="auto"/>
                        <w:right w:val="none" w:sz="0" w:space="0" w:color="auto"/>
                      </w:divBdr>
                    </w:div>
                  </w:divsChild>
                </w:div>
                <w:div w:id="1268848323">
                  <w:marLeft w:val="0"/>
                  <w:marRight w:val="0"/>
                  <w:marTop w:val="0"/>
                  <w:marBottom w:val="0"/>
                  <w:divBdr>
                    <w:top w:val="none" w:sz="0" w:space="0" w:color="auto"/>
                    <w:left w:val="none" w:sz="0" w:space="0" w:color="auto"/>
                    <w:bottom w:val="none" w:sz="0" w:space="0" w:color="auto"/>
                    <w:right w:val="none" w:sz="0" w:space="0" w:color="auto"/>
                  </w:divBdr>
                  <w:divsChild>
                    <w:div w:id="1338465619">
                      <w:marLeft w:val="0"/>
                      <w:marRight w:val="0"/>
                      <w:marTop w:val="0"/>
                      <w:marBottom w:val="0"/>
                      <w:divBdr>
                        <w:top w:val="none" w:sz="0" w:space="0" w:color="auto"/>
                        <w:left w:val="none" w:sz="0" w:space="0" w:color="auto"/>
                        <w:bottom w:val="none" w:sz="0" w:space="0" w:color="auto"/>
                        <w:right w:val="none" w:sz="0" w:space="0" w:color="auto"/>
                      </w:divBdr>
                    </w:div>
                  </w:divsChild>
                </w:div>
                <w:div w:id="1319192520">
                  <w:marLeft w:val="0"/>
                  <w:marRight w:val="0"/>
                  <w:marTop w:val="0"/>
                  <w:marBottom w:val="0"/>
                  <w:divBdr>
                    <w:top w:val="none" w:sz="0" w:space="0" w:color="auto"/>
                    <w:left w:val="none" w:sz="0" w:space="0" w:color="auto"/>
                    <w:bottom w:val="none" w:sz="0" w:space="0" w:color="auto"/>
                    <w:right w:val="none" w:sz="0" w:space="0" w:color="auto"/>
                  </w:divBdr>
                  <w:divsChild>
                    <w:div w:id="1139760083">
                      <w:marLeft w:val="0"/>
                      <w:marRight w:val="0"/>
                      <w:marTop w:val="0"/>
                      <w:marBottom w:val="0"/>
                      <w:divBdr>
                        <w:top w:val="none" w:sz="0" w:space="0" w:color="auto"/>
                        <w:left w:val="none" w:sz="0" w:space="0" w:color="auto"/>
                        <w:bottom w:val="none" w:sz="0" w:space="0" w:color="auto"/>
                        <w:right w:val="none" w:sz="0" w:space="0" w:color="auto"/>
                      </w:divBdr>
                    </w:div>
                  </w:divsChild>
                </w:div>
                <w:div w:id="1380669925">
                  <w:marLeft w:val="0"/>
                  <w:marRight w:val="0"/>
                  <w:marTop w:val="0"/>
                  <w:marBottom w:val="0"/>
                  <w:divBdr>
                    <w:top w:val="none" w:sz="0" w:space="0" w:color="auto"/>
                    <w:left w:val="none" w:sz="0" w:space="0" w:color="auto"/>
                    <w:bottom w:val="none" w:sz="0" w:space="0" w:color="auto"/>
                    <w:right w:val="none" w:sz="0" w:space="0" w:color="auto"/>
                  </w:divBdr>
                  <w:divsChild>
                    <w:div w:id="998969694">
                      <w:marLeft w:val="0"/>
                      <w:marRight w:val="0"/>
                      <w:marTop w:val="0"/>
                      <w:marBottom w:val="0"/>
                      <w:divBdr>
                        <w:top w:val="none" w:sz="0" w:space="0" w:color="auto"/>
                        <w:left w:val="none" w:sz="0" w:space="0" w:color="auto"/>
                        <w:bottom w:val="none" w:sz="0" w:space="0" w:color="auto"/>
                        <w:right w:val="none" w:sz="0" w:space="0" w:color="auto"/>
                      </w:divBdr>
                    </w:div>
                  </w:divsChild>
                </w:div>
                <w:div w:id="1421096640">
                  <w:marLeft w:val="0"/>
                  <w:marRight w:val="0"/>
                  <w:marTop w:val="0"/>
                  <w:marBottom w:val="0"/>
                  <w:divBdr>
                    <w:top w:val="none" w:sz="0" w:space="0" w:color="auto"/>
                    <w:left w:val="none" w:sz="0" w:space="0" w:color="auto"/>
                    <w:bottom w:val="none" w:sz="0" w:space="0" w:color="auto"/>
                    <w:right w:val="none" w:sz="0" w:space="0" w:color="auto"/>
                  </w:divBdr>
                  <w:divsChild>
                    <w:div w:id="393703814">
                      <w:marLeft w:val="0"/>
                      <w:marRight w:val="0"/>
                      <w:marTop w:val="0"/>
                      <w:marBottom w:val="0"/>
                      <w:divBdr>
                        <w:top w:val="none" w:sz="0" w:space="0" w:color="auto"/>
                        <w:left w:val="none" w:sz="0" w:space="0" w:color="auto"/>
                        <w:bottom w:val="none" w:sz="0" w:space="0" w:color="auto"/>
                        <w:right w:val="none" w:sz="0" w:space="0" w:color="auto"/>
                      </w:divBdr>
                    </w:div>
                  </w:divsChild>
                </w:div>
                <w:div w:id="1460683858">
                  <w:marLeft w:val="0"/>
                  <w:marRight w:val="0"/>
                  <w:marTop w:val="0"/>
                  <w:marBottom w:val="0"/>
                  <w:divBdr>
                    <w:top w:val="none" w:sz="0" w:space="0" w:color="auto"/>
                    <w:left w:val="none" w:sz="0" w:space="0" w:color="auto"/>
                    <w:bottom w:val="none" w:sz="0" w:space="0" w:color="auto"/>
                    <w:right w:val="none" w:sz="0" w:space="0" w:color="auto"/>
                  </w:divBdr>
                  <w:divsChild>
                    <w:div w:id="1364288127">
                      <w:marLeft w:val="0"/>
                      <w:marRight w:val="0"/>
                      <w:marTop w:val="0"/>
                      <w:marBottom w:val="0"/>
                      <w:divBdr>
                        <w:top w:val="none" w:sz="0" w:space="0" w:color="auto"/>
                        <w:left w:val="none" w:sz="0" w:space="0" w:color="auto"/>
                        <w:bottom w:val="none" w:sz="0" w:space="0" w:color="auto"/>
                        <w:right w:val="none" w:sz="0" w:space="0" w:color="auto"/>
                      </w:divBdr>
                    </w:div>
                  </w:divsChild>
                </w:div>
                <w:div w:id="1523737377">
                  <w:marLeft w:val="0"/>
                  <w:marRight w:val="0"/>
                  <w:marTop w:val="0"/>
                  <w:marBottom w:val="0"/>
                  <w:divBdr>
                    <w:top w:val="none" w:sz="0" w:space="0" w:color="auto"/>
                    <w:left w:val="none" w:sz="0" w:space="0" w:color="auto"/>
                    <w:bottom w:val="none" w:sz="0" w:space="0" w:color="auto"/>
                    <w:right w:val="none" w:sz="0" w:space="0" w:color="auto"/>
                  </w:divBdr>
                  <w:divsChild>
                    <w:div w:id="1847593293">
                      <w:marLeft w:val="0"/>
                      <w:marRight w:val="0"/>
                      <w:marTop w:val="0"/>
                      <w:marBottom w:val="0"/>
                      <w:divBdr>
                        <w:top w:val="none" w:sz="0" w:space="0" w:color="auto"/>
                        <w:left w:val="none" w:sz="0" w:space="0" w:color="auto"/>
                        <w:bottom w:val="none" w:sz="0" w:space="0" w:color="auto"/>
                        <w:right w:val="none" w:sz="0" w:space="0" w:color="auto"/>
                      </w:divBdr>
                    </w:div>
                  </w:divsChild>
                </w:div>
                <w:div w:id="1615332927">
                  <w:marLeft w:val="0"/>
                  <w:marRight w:val="0"/>
                  <w:marTop w:val="0"/>
                  <w:marBottom w:val="0"/>
                  <w:divBdr>
                    <w:top w:val="none" w:sz="0" w:space="0" w:color="auto"/>
                    <w:left w:val="none" w:sz="0" w:space="0" w:color="auto"/>
                    <w:bottom w:val="none" w:sz="0" w:space="0" w:color="auto"/>
                    <w:right w:val="none" w:sz="0" w:space="0" w:color="auto"/>
                  </w:divBdr>
                  <w:divsChild>
                    <w:div w:id="1886524910">
                      <w:marLeft w:val="0"/>
                      <w:marRight w:val="0"/>
                      <w:marTop w:val="0"/>
                      <w:marBottom w:val="0"/>
                      <w:divBdr>
                        <w:top w:val="none" w:sz="0" w:space="0" w:color="auto"/>
                        <w:left w:val="none" w:sz="0" w:space="0" w:color="auto"/>
                        <w:bottom w:val="none" w:sz="0" w:space="0" w:color="auto"/>
                        <w:right w:val="none" w:sz="0" w:space="0" w:color="auto"/>
                      </w:divBdr>
                    </w:div>
                  </w:divsChild>
                </w:div>
                <w:div w:id="1654023395">
                  <w:marLeft w:val="0"/>
                  <w:marRight w:val="0"/>
                  <w:marTop w:val="0"/>
                  <w:marBottom w:val="0"/>
                  <w:divBdr>
                    <w:top w:val="none" w:sz="0" w:space="0" w:color="auto"/>
                    <w:left w:val="none" w:sz="0" w:space="0" w:color="auto"/>
                    <w:bottom w:val="none" w:sz="0" w:space="0" w:color="auto"/>
                    <w:right w:val="none" w:sz="0" w:space="0" w:color="auto"/>
                  </w:divBdr>
                  <w:divsChild>
                    <w:div w:id="719326258">
                      <w:marLeft w:val="0"/>
                      <w:marRight w:val="0"/>
                      <w:marTop w:val="0"/>
                      <w:marBottom w:val="0"/>
                      <w:divBdr>
                        <w:top w:val="none" w:sz="0" w:space="0" w:color="auto"/>
                        <w:left w:val="none" w:sz="0" w:space="0" w:color="auto"/>
                        <w:bottom w:val="none" w:sz="0" w:space="0" w:color="auto"/>
                        <w:right w:val="none" w:sz="0" w:space="0" w:color="auto"/>
                      </w:divBdr>
                    </w:div>
                  </w:divsChild>
                </w:div>
                <w:div w:id="1861818665">
                  <w:marLeft w:val="0"/>
                  <w:marRight w:val="0"/>
                  <w:marTop w:val="0"/>
                  <w:marBottom w:val="0"/>
                  <w:divBdr>
                    <w:top w:val="none" w:sz="0" w:space="0" w:color="auto"/>
                    <w:left w:val="none" w:sz="0" w:space="0" w:color="auto"/>
                    <w:bottom w:val="none" w:sz="0" w:space="0" w:color="auto"/>
                    <w:right w:val="none" w:sz="0" w:space="0" w:color="auto"/>
                  </w:divBdr>
                  <w:divsChild>
                    <w:div w:id="465704434">
                      <w:marLeft w:val="0"/>
                      <w:marRight w:val="0"/>
                      <w:marTop w:val="0"/>
                      <w:marBottom w:val="0"/>
                      <w:divBdr>
                        <w:top w:val="none" w:sz="0" w:space="0" w:color="auto"/>
                        <w:left w:val="none" w:sz="0" w:space="0" w:color="auto"/>
                        <w:bottom w:val="none" w:sz="0" w:space="0" w:color="auto"/>
                        <w:right w:val="none" w:sz="0" w:space="0" w:color="auto"/>
                      </w:divBdr>
                    </w:div>
                  </w:divsChild>
                </w:div>
                <w:div w:id="1944530561">
                  <w:marLeft w:val="0"/>
                  <w:marRight w:val="0"/>
                  <w:marTop w:val="0"/>
                  <w:marBottom w:val="0"/>
                  <w:divBdr>
                    <w:top w:val="none" w:sz="0" w:space="0" w:color="auto"/>
                    <w:left w:val="none" w:sz="0" w:space="0" w:color="auto"/>
                    <w:bottom w:val="none" w:sz="0" w:space="0" w:color="auto"/>
                    <w:right w:val="none" w:sz="0" w:space="0" w:color="auto"/>
                  </w:divBdr>
                  <w:divsChild>
                    <w:div w:id="277419002">
                      <w:marLeft w:val="0"/>
                      <w:marRight w:val="0"/>
                      <w:marTop w:val="0"/>
                      <w:marBottom w:val="0"/>
                      <w:divBdr>
                        <w:top w:val="none" w:sz="0" w:space="0" w:color="auto"/>
                        <w:left w:val="none" w:sz="0" w:space="0" w:color="auto"/>
                        <w:bottom w:val="none" w:sz="0" w:space="0" w:color="auto"/>
                        <w:right w:val="none" w:sz="0" w:space="0" w:color="auto"/>
                      </w:divBdr>
                    </w:div>
                  </w:divsChild>
                </w:div>
                <w:div w:id="1953321259">
                  <w:marLeft w:val="0"/>
                  <w:marRight w:val="0"/>
                  <w:marTop w:val="0"/>
                  <w:marBottom w:val="0"/>
                  <w:divBdr>
                    <w:top w:val="none" w:sz="0" w:space="0" w:color="auto"/>
                    <w:left w:val="none" w:sz="0" w:space="0" w:color="auto"/>
                    <w:bottom w:val="none" w:sz="0" w:space="0" w:color="auto"/>
                    <w:right w:val="none" w:sz="0" w:space="0" w:color="auto"/>
                  </w:divBdr>
                  <w:divsChild>
                    <w:div w:id="746269929">
                      <w:marLeft w:val="0"/>
                      <w:marRight w:val="0"/>
                      <w:marTop w:val="0"/>
                      <w:marBottom w:val="0"/>
                      <w:divBdr>
                        <w:top w:val="none" w:sz="0" w:space="0" w:color="auto"/>
                        <w:left w:val="none" w:sz="0" w:space="0" w:color="auto"/>
                        <w:bottom w:val="none" w:sz="0" w:space="0" w:color="auto"/>
                        <w:right w:val="none" w:sz="0" w:space="0" w:color="auto"/>
                      </w:divBdr>
                    </w:div>
                  </w:divsChild>
                </w:div>
                <w:div w:id="1977488319">
                  <w:marLeft w:val="0"/>
                  <w:marRight w:val="0"/>
                  <w:marTop w:val="0"/>
                  <w:marBottom w:val="0"/>
                  <w:divBdr>
                    <w:top w:val="none" w:sz="0" w:space="0" w:color="auto"/>
                    <w:left w:val="none" w:sz="0" w:space="0" w:color="auto"/>
                    <w:bottom w:val="none" w:sz="0" w:space="0" w:color="auto"/>
                    <w:right w:val="none" w:sz="0" w:space="0" w:color="auto"/>
                  </w:divBdr>
                  <w:divsChild>
                    <w:div w:id="1495955311">
                      <w:marLeft w:val="0"/>
                      <w:marRight w:val="0"/>
                      <w:marTop w:val="0"/>
                      <w:marBottom w:val="0"/>
                      <w:divBdr>
                        <w:top w:val="none" w:sz="0" w:space="0" w:color="auto"/>
                        <w:left w:val="none" w:sz="0" w:space="0" w:color="auto"/>
                        <w:bottom w:val="none" w:sz="0" w:space="0" w:color="auto"/>
                        <w:right w:val="none" w:sz="0" w:space="0" w:color="auto"/>
                      </w:divBdr>
                    </w:div>
                  </w:divsChild>
                </w:div>
                <w:div w:id="1979843036">
                  <w:marLeft w:val="0"/>
                  <w:marRight w:val="0"/>
                  <w:marTop w:val="0"/>
                  <w:marBottom w:val="0"/>
                  <w:divBdr>
                    <w:top w:val="none" w:sz="0" w:space="0" w:color="auto"/>
                    <w:left w:val="none" w:sz="0" w:space="0" w:color="auto"/>
                    <w:bottom w:val="none" w:sz="0" w:space="0" w:color="auto"/>
                    <w:right w:val="none" w:sz="0" w:space="0" w:color="auto"/>
                  </w:divBdr>
                  <w:divsChild>
                    <w:div w:id="102773456">
                      <w:marLeft w:val="0"/>
                      <w:marRight w:val="0"/>
                      <w:marTop w:val="0"/>
                      <w:marBottom w:val="0"/>
                      <w:divBdr>
                        <w:top w:val="none" w:sz="0" w:space="0" w:color="auto"/>
                        <w:left w:val="none" w:sz="0" w:space="0" w:color="auto"/>
                        <w:bottom w:val="none" w:sz="0" w:space="0" w:color="auto"/>
                        <w:right w:val="none" w:sz="0" w:space="0" w:color="auto"/>
                      </w:divBdr>
                    </w:div>
                  </w:divsChild>
                </w:div>
                <w:div w:id="2020348311">
                  <w:marLeft w:val="0"/>
                  <w:marRight w:val="0"/>
                  <w:marTop w:val="0"/>
                  <w:marBottom w:val="0"/>
                  <w:divBdr>
                    <w:top w:val="none" w:sz="0" w:space="0" w:color="auto"/>
                    <w:left w:val="none" w:sz="0" w:space="0" w:color="auto"/>
                    <w:bottom w:val="none" w:sz="0" w:space="0" w:color="auto"/>
                    <w:right w:val="none" w:sz="0" w:space="0" w:color="auto"/>
                  </w:divBdr>
                  <w:divsChild>
                    <w:div w:id="305278138">
                      <w:marLeft w:val="0"/>
                      <w:marRight w:val="0"/>
                      <w:marTop w:val="0"/>
                      <w:marBottom w:val="0"/>
                      <w:divBdr>
                        <w:top w:val="none" w:sz="0" w:space="0" w:color="auto"/>
                        <w:left w:val="none" w:sz="0" w:space="0" w:color="auto"/>
                        <w:bottom w:val="none" w:sz="0" w:space="0" w:color="auto"/>
                        <w:right w:val="none" w:sz="0" w:space="0" w:color="auto"/>
                      </w:divBdr>
                    </w:div>
                  </w:divsChild>
                </w:div>
                <w:div w:id="2078239809">
                  <w:marLeft w:val="0"/>
                  <w:marRight w:val="0"/>
                  <w:marTop w:val="0"/>
                  <w:marBottom w:val="0"/>
                  <w:divBdr>
                    <w:top w:val="none" w:sz="0" w:space="0" w:color="auto"/>
                    <w:left w:val="none" w:sz="0" w:space="0" w:color="auto"/>
                    <w:bottom w:val="none" w:sz="0" w:space="0" w:color="auto"/>
                    <w:right w:val="none" w:sz="0" w:space="0" w:color="auto"/>
                  </w:divBdr>
                  <w:divsChild>
                    <w:div w:id="1411922628">
                      <w:marLeft w:val="0"/>
                      <w:marRight w:val="0"/>
                      <w:marTop w:val="0"/>
                      <w:marBottom w:val="0"/>
                      <w:divBdr>
                        <w:top w:val="none" w:sz="0" w:space="0" w:color="auto"/>
                        <w:left w:val="none" w:sz="0" w:space="0" w:color="auto"/>
                        <w:bottom w:val="none" w:sz="0" w:space="0" w:color="auto"/>
                        <w:right w:val="none" w:sz="0" w:space="0" w:color="auto"/>
                      </w:divBdr>
                    </w:div>
                  </w:divsChild>
                </w:div>
                <w:div w:id="2139102676">
                  <w:marLeft w:val="0"/>
                  <w:marRight w:val="0"/>
                  <w:marTop w:val="0"/>
                  <w:marBottom w:val="0"/>
                  <w:divBdr>
                    <w:top w:val="none" w:sz="0" w:space="0" w:color="auto"/>
                    <w:left w:val="none" w:sz="0" w:space="0" w:color="auto"/>
                    <w:bottom w:val="none" w:sz="0" w:space="0" w:color="auto"/>
                    <w:right w:val="none" w:sz="0" w:space="0" w:color="auto"/>
                  </w:divBdr>
                  <w:divsChild>
                    <w:div w:id="20585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117">
          <w:marLeft w:val="0"/>
          <w:marRight w:val="0"/>
          <w:marTop w:val="0"/>
          <w:marBottom w:val="0"/>
          <w:divBdr>
            <w:top w:val="none" w:sz="0" w:space="0" w:color="auto"/>
            <w:left w:val="none" w:sz="0" w:space="0" w:color="auto"/>
            <w:bottom w:val="none" w:sz="0" w:space="0" w:color="auto"/>
            <w:right w:val="none" w:sz="0" w:space="0" w:color="auto"/>
          </w:divBdr>
        </w:div>
        <w:div w:id="1503740688">
          <w:marLeft w:val="0"/>
          <w:marRight w:val="0"/>
          <w:marTop w:val="0"/>
          <w:marBottom w:val="0"/>
          <w:divBdr>
            <w:top w:val="none" w:sz="0" w:space="0" w:color="auto"/>
            <w:left w:val="none" w:sz="0" w:space="0" w:color="auto"/>
            <w:bottom w:val="none" w:sz="0" w:space="0" w:color="auto"/>
            <w:right w:val="none" w:sz="0" w:space="0" w:color="auto"/>
          </w:divBdr>
        </w:div>
        <w:div w:id="1523283668">
          <w:marLeft w:val="0"/>
          <w:marRight w:val="0"/>
          <w:marTop w:val="0"/>
          <w:marBottom w:val="0"/>
          <w:divBdr>
            <w:top w:val="none" w:sz="0" w:space="0" w:color="auto"/>
            <w:left w:val="none" w:sz="0" w:space="0" w:color="auto"/>
            <w:bottom w:val="none" w:sz="0" w:space="0" w:color="auto"/>
            <w:right w:val="none" w:sz="0" w:space="0" w:color="auto"/>
          </w:divBdr>
        </w:div>
        <w:div w:id="1555236140">
          <w:marLeft w:val="0"/>
          <w:marRight w:val="0"/>
          <w:marTop w:val="0"/>
          <w:marBottom w:val="0"/>
          <w:divBdr>
            <w:top w:val="none" w:sz="0" w:space="0" w:color="auto"/>
            <w:left w:val="none" w:sz="0" w:space="0" w:color="auto"/>
            <w:bottom w:val="none" w:sz="0" w:space="0" w:color="auto"/>
            <w:right w:val="none" w:sz="0" w:space="0" w:color="auto"/>
          </w:divBdr>
        </w:div>
        <w:div w:id="1621915680">
          <w:marLeft w:val="0"/>
          <w:marRight w:val="0"/>
          <w:marTop w:val="0"/>
          <w:marBottom w:val="0"/>
          <w:divBdr>
            <w:top w:val="none" w:sz="0" w:space="0" w:color="auto"/>
            <w:left w:val="none" w:sz="0" w:space="0" w:color="auto"/>
            <w:bottom w:val="none" w:sz="0" w:space="0" w:color="auto"/>
            <w:right w:val="none" w:sz="0" w:space="0" w:color="auto"/>
          </w:divBdr>
        </w:div>
        <w:div w:id="1659769657">
          <w:marLeft w:val="0"/>
          <w:marRight w:val="0"/>
          <w:marTop w:val="0"/>
          <w:marBottom w:val="0"/>
          <w:divBdr>
            <w:top w:val="none" w:sz="0" w:space="0" w:color="auto"/>
            <w:left w:val="none" w:sz="0" w:space="0" w:color="auto"/>
            <w:bottom w:val="none" w:sz="0" w:space="0" w:color="auto"/>
            <w:right w:val="none" w:sz="0" w:space="0" w:color="auto"/>
          </w:divBdr>
        </w:div>
        <w:div w:id="1774740564">
          <w:marLeft w:val="0"/>
          <w:marRight w:val="0"/>
          <w:marTop w:val="0"/>
          <w:marBottom w:val="0"/>
          <w:divBdr>
            <w:top w:val="none" w:sz="0" w:space="0" w:color="auto"/>
            <w:left w:val="none" w:sz="0" w:space="0" w:color="auto"/>
            <w:bottom w:val="none" w:sz="0" w:space="0" w:color="auto"/>
            <w:right w:val="none" w:sz="0" w:space="0" w:color="auto"/>
          </w:divBdr>
        </w:div>
        <w:div w:id="1990792484">
          <w:marLeft w:val="0"/>
          <w:marRight w:val="0"/>
          <w:marTop w:val="0"/>
          <w:marBottom w:val="0"/>
          <w:divBdr>
            <w:top w:val="none" w:sz="0" w:space="0" w:color="auto"/>
            <w:left w:val="none" w:sz="0" w:space="0" w:color="auto"/>
            <w:bottom w:val="none" w:sz="0" w:space="0" w:color="auto"/>
            <w:right w:val="none" w:sz="0" w:space="0" w:color="auto"/>
          </w:divBdr>
        </w:div>
        <w:div w:id="2008363941">
          <w:marLeft w:val="0"/>
          <w:marRight w:val="0"/>
          <w:marTop w:val="0"/>
          <w:marBottom w:val="0"/>
          <w:divBdr>
            <w:top w:val="none" w:sz="0" w:space="0" w:color="auto"/>
            <w:left w:val="none" w:sz="0" w:space="0" w:color="auto"/>
            <w:bottom w:val="none" w:sz="0" w:space="0" w:color="auto"/>
            <w:right w:val="none" w:sz="0" w:space="0" w:color="auto"/>
          </w:divBdr>
        </w:div>
        <w:div w:id="2098821122">
          <w:marLeft w:val="0"/>
          <w:marRight w:val="0"/>
          <w:marTop w:val="0"/>
          <w:marBottom w:val="0"/>
          <w:divBdr>
            <w:top w:val="none" w:sz="0" w:space="0" w:color="auto"/>
            <w:left w:val="none" w:sz="0" w:space="0" w:color="auto"/>
            <w:bottom w:val="none" w:sz="0" w:space="0" w:color="auto"/>
            <w:right w:val="none" w:sz="0" w:space="0" w:color="auto"/>
          </w:divBdr>
        </w:div>
      </w:divsChild>
    </w:div>
    <w:div w:id="369456636">
      <w:bodyDiv w:val="1"/>
      <w:marLeft w:val="0"/>
      <w:marRight w:val="0"/>
      <w:marTop w:val="0"/>
      <w:marBottom w:val="0"/>
      <w:divBdr>
        <w:top w:val="none" w:sz="0" w:space="0" w:color="auto"/>
        <w:left w:val="none" w:sz="0" w:space="0" w:color="auto"/>
        <w:bottom w:val="none" w:sz="0" w:space="0" w:color="auto"/>
        <w:right w:val="none" w:sz="0" w:space="0" w:color="auto"/>
      </w:divBdr>
      <w:divsChild>
        <w:div w:id="652876175">
          <w:marLeft w:val="0"/>
          <w:marRight w:val="0"/>
          <w:marTop w:val="0"/>
          <w:marBottom w:val="0"/>
          <w:divBdr>
            <w:top w:val="none" w:sz="0" w:space="0" w:color="auto"/>
            <w:left w:val="none" w:sz="0" w:space="0" w:color="auto"/>
            <w:bottom w:val="none" w:sz="0" w:space="0" w:color="auto"/>
            <w:right w:val="none" w:sz="0" w:space="0" w:color="auto"/>
          </w:divBdr>
          <w:divsChild>
            <w:div w:id="491676900">
              <w:marLeft w:val="0"/>
              <w:marRight w:val="0"/>
              <w:marTop w:val="0"/>
              <w:marBottom w:val="0"/>
              <w:divBdr>
                <w:top w:val="none" w:sz="0" w:space="0" w:color="auto"/>
                <w:left w:val="none" w:sz="0" w:space="0" w:color="auto"/>
                <w:bottom w:val="none" w:sz="0" w:space="0" w:color="auto"/>
                <w:right w:val="none" w:sz="0" w:space="0" w:color="auto"/>
              </w:divBdr>
            </w:div>
          </w:divsChild>
        </w:div>
        <w:div w:id="737703187">
          <w:marLeft w:val="0"/>
          <w:marRight w:val="0"/>
          <w:marTop w:val="0"/>
          <w:marBottom w:val="0"/>
          <w:divBdr>
            <w:top w:val="none" w:sz="0" w:space="0" w:color="auto"/>
            <w:left w:val="none" w:sz="0" w:space="0" w:color="auto"/>
            <w:bottom w:val="none" w:sz="0" w:space="0" w:color="auto"/>
            <w:right w:val="none" w:sz="0" w:space="0" w:color="auto"/>
          </w:divBdr>
          <w:divsChild>
            <w:div w:id="374157997">
              <w:marLeft w:val="0"/>
              <w:marRight w:val="0"/>
              <w:marTop w:val="0"/>
              <w:marBottom w:val="0"/>
              <w:divBdr>
                <w:top w:val="none" w:sz="0" w:space="0" w:color="auto"/>
                <w:left w:val="none" w:sz="0" w:space="0" w:color="auto"/>
                <w:bottom w:val="none" w:sz="0" w:space="0" w:color="auto"/>
                <w:right w:val="none" w:sz="0" w:space="0" w:color="auto"/>
              </w:divBdr>
            </w:div>
          </w:divsChild>
        </w:div>
        <w:div w:id="2120486110">
          <w:marLeft w:val="0"/>
          <w:marRight w:val="0"/>
          <w:marTop w:val="0"/>
          <w:marBottom w:val="0"/>
          <w:divBdr>
            <w:top w:val="none" w:sz="0" w:space="0" w:color="auto"/>
            <w:left w:val="none" w:sz="0" w:space="0" w:color="auto"/>
            <w:bottom w:val="none" w:sz="0" w:space="0" w:color="auto"/>
            <w:right w:val="none" w:sz="0" w:space="0" w:color="auto"/>
          </w:divBdr>
          <w:divsChild>
            <w:div w:id="5437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13930">
      <w:bodyDiv w:val="1"/>
      <w:marLeft w:val="0"/>
      <w:marRight w:val="0"/>
      <w:marTop w:val="0"/>
      <w:marBottom w:val="0"/>
      <w:divBdr>
        <w:top w:val="none" w:sz="0" w:space="0" w:color="auto"/>
        <w:left w:val="none" w:sz="0" w:space="0" w:color="auto"/>
        <w:bottom w:val="none" w:sz="0" w:space="0" w:color="auto"/>
        <w:right w:val="none" w:sz="0" w:space="0" w:color="auto"/>
      </w:divBdr>
      <w:divsChild>
        <w:div w:id="1832215354">
          <w:marLeft w:val="0"/>
          <w:marRight w:val="0"/>
          <w:marTop w:val="0"/>
          <w:marBottom w:val="0"/>
          <w:divBdr>
            <w:top w:val="none" w:sz="0" w:space="0" w:color="auto"/>
            <w:left w:val="none" w:sz="0" w:space="0" w:color="auto"/>
            <w:bottom w:val="none" w:sz="0" w:space="0" w:color="auto"/>
            <w:right w:val="none" w:sz="0" w:space="0" w:color="auto"/>
          </w:divBdr>
          <w:divsChild>
            <w:div w:id="32970953">
              <w:marLeft w:val="0"/>
              <w:marRight w:val="0"/>
              <w:marTop w:val="0"/>
              <w:marBottom w:val="0"/>
              <w:divBdr>
                <w:top w:val="none" w:sz="0" w:space="0" w:color="auto"/>
                <w:left w:val="none" w:sz="0" w:space="0" w:color="auto"/>
                <w:bottom w:val="none" w:sz="0" w:space="0" w:color="auto"/>
                <w:right w:val="none" w:sz="0" w:space="0" w:color="auto"/>
              </w:divBdr>
            </w:div>
            <w:div w:id="349962930">
              <w:marLeft w:val="0"/>
              <w:marRight w:val="0"/>
              <w:marTop w:val="0"/>
              <w:marBottom w:val="0"/>
              <w:divBdr>
                <w:top w:val="none" w:sz="0" w:space="0" w:color="auto"/>
                <w:left w:val="none" w:sz="0" w:space="0" w:color="auto"/>
                <w:bottom w:val="none" w:sz="0" w:space="0" w:color="auto"/>
                <w:right w:val="none" w:sz="0" w:space="0" w:color="auto"/>
              </w:divBdr>
            </w:div>
            <w:div w:id="540021926">
              <w:marLeft w:val="0"/>
              <w:marRight w:val="0"/>
              <w:marTop w:val="0"/>
              <w:marBottom w:val="0"/>
              <w:divBdr>
                <w:top w:val="none" w:sz="0" w:space="0" w:color="auto"/>
                <w:left w:val="none" w:sz="0" w:space="0" w:color="auto"/>
                <w:bottom w:val="none" w:sz="0" w:space="0" w:color="auto"/>
                <w:right w:val="none" w:sz="0" w:space="0" w:color="auto"/>
              </w:divBdr>
            </w:div>
            <w:div w:id="1023017946">
              <w:marLeft w:val="0"/>
              <w:marRight w:val="0"/>
              <w:marTop w:val="0"/>
              <w:marBottom w:val="0"/>
              <w:divBdr>
                <w:top w:val="none" w:sz="0" w:space="0" w:color="auto"/>
                <w:left w:val="none" w:sz="0" w:space="0" w:color="auto"/>
                <w:bottom w:val="none" w:sz="0" w:space="0" w:color="auto"/>
                <w:right w:val="none" w:sz="0" w:space="0" w:color="auto"/>
              </w:divBdr>
            </w:div>
            <w:div w:id="1055353154">
              <w:marLeft w:val="0"/>
              <w:marRight w:val="0"/>
              <w:marTop w:val="0"/>
              <w:marBottom w:val="0"/>
              <w:divBdr>
                <w:top w:val="none" w:sz="0" w:space="0" w:color="auto"/>
                <w:left w:val="none" w:sz="0" w:space="0" w:color="auto"/>
                <w:bottom w:val="none" w:sz="0" w:space="0" w:color="auto"/>
                <w:right w:val="none" w:sz="0" w:space="0" w:color="auto"/>
              </w:divBdr>
            </w:div>
            <w:div w:id="1063719677">
              <w:marLeft w:val="0"/>
              <w:marRight w:val="0"/>
              <w:marTop w:val="0"/>
              <w:marBottom w:val="0"/>
              <w:divBdr>
                <w:top w:val="none" w:sz="0" w:space="0" w:color="auto"/>
                <w:left w:val="none" w:sz="0" w:space="0" w:color="auto"/>
                <w:bottom w:val="none" w:sz="0" w:space="0" w:color="auto"/>
                <w:right w:val="none" w:sz="0" w:space="0" w:color="auto"/>
              </w:divBdr>
            </w:div>
            <w:div w:id="1187793474">
              <w:marLeft w:val="0"/>
              <w:marRight w:val="0"/>
              <w:marTop w:val="0"/>
              <w:marBottom w:val="0"/>
              <w:divBdr>
                <w:top w:val="none" w:sz="0" w:space="0" w:color="auto"/>
                <w:left w:val="none" w:sz="0" w:space="0" w:color="auto"/>
                <w:bottom w:val="none" w:sz="0" w:space="0" w:color="auto"/>
                <w:right w:val="none" w:sz="0" w:space="0" w:color="auto"/>
              </w:divBdr>
            </w:div>
            <w:div w:id="1376584884">
              <w:marLeft w:val="0"/>
              <w:marRight w:val="0"/>
              <w:marTop w:val="0"/>
              <w:marBottom w:val="0"/>
              <w:divBdr>
                <w:top w:val="none" w:sz="0" w:space="0" w:color="auto"/>
                <w:left w:val="none" w:sz="0" w:space="0" w:color="auto"/>
                <w:bottom w:val="none" w:sz="0" w:space="0" w:color="auto"/>
                <w:right w:val="none" w:sz="0" w:space="0" w:color="auto"/>
              </w:divBdr>
            </w:div>
            <w:div w:id="1549799467">
              <w:marLeft w:val="0"/>
              <w:marRight w:val="0"/>
              <w:marTop w:val="0"/>
              <w:marBottom w:val="0"/>
              <w:divBdr>
                <w:top w:val="none" w:sz="0" w:space="0" w:color="auto"/>
                <w:left w:val="none" w:sz="0" w:space="0" w:color="auto"/>
                <w:bottom w:val="none" w:sz="0" w:space="0" w:color="auto"/>
                <w:right w:val="none" w:sz="0" w:space="0" w:color="auto"/>
              </w:divBdr>
            </w:div>
            <w:div w:id="1826777371">
              <w:marLeft w:val="0"/>
              <w:marRight w:val="0"/>
              <w:marTop w:val="0"/>
              <w:marBottom w:val="0"/>
              <w:divBdr>
                <w:top w:val="none" w:sz="0" w:space="0" w:color="auto"/>
                <w:left w:val="none" w:sz="0" w:space="0" w:color="auto"/>
                <w:bottom w:val="none" w:sz="0" w:space="0" w:color="auto"/>
                <w:right w:val="none" w:sz="0" w:space="0" w:color="auto"/>
              </w:divBdr>
            </w:div>
            <w:div w:id="1838571618">
              <w:marLeft w:val="0"/>
              <w:marRight w:val="0"/>
              <w:marTop w:val="0"/>
              <w:marBottom w:val="0"/>
              <w:divBdr>
                <w:top w:val="none" w:sz="0" w:space="0" w:color="auto"/>
                <w:left w:val="none" w:sz="0" w:space="0" w:color="auto"/>
                <w:bottom w:val="none" w:sz="0" w:space="0" w:color="auto"/>
                <w:right w:val="none" w:sz="0" w:space="0" w:color="auto"/>
              </w:divBdr>
            </w:div>
            <w:div w:id="1943879785">
              <w:marLeft w:val="0"/>
              <w:marRight w:val="0"/>
              <w:marTop w:val="0"/>
              <w:marBottom w:val="0"/>
              <w:divBdr>
                <w:top w:val="none" w:sz="0" w:space="0" w:color="auto"/>
                <w:left w:val="none" w:sz="0" w:space="0" w:color="auto"/>
                <w:bottom w:val="none" w:sz="0" w:space="0" w:color="auto"/>
                <w:right w:val="none" w:sz="0" w:space="0" w:color="auto"/>
              </w:divBdr>
            </w:div>
            <w:div w:id="2000690277">
              <w:marLeft w:val="0"/>
              <w:marRight w:val="0"/>
              <w:marTop w:val="0"/>
              <w:marBottom w:val="0"/>
              <w:divBdr>
                <w:top w:val="none" w:sz="0" w:space="0" w:color="auto"/>
                <w:left w:val="none" w:sz="0" w:space="0" w:color="auto"/>
                <w:bottom w:val="none" w:sz="0" w:space="0" w:color="auto"/>
                <w:right w:val="none" w:sz="0" w:space="0" w:color="auto"/>
              </w:divBdr>
            </w:div>
            <w:div w:id="2095323507">
              <w:marLeft w:val="0"/>
              <w:marRight w:val="0"/>
              <w:marTop w:val="0"/>
              <w:marBottom w:val="0"/>
              <w:divBdr>
                <w:top w:val="none" w:sz="0" w:space="0" w:color="auto"/>
                <w:left w:val="none" w:sz="0" w:space="0" w:color="auto"/>
                <w:bottom w:val="none" w:sz="0" w:space="0" w:color="auto"/>
                <w:right w:val="none" w:sz="0" w:space="0" w:color="auto"/>
              </w:divBdr>
            </w:div>
          </w:divsChild>
        </w:div>
        <w:div w:id="1966278486">
          <w:marLeft w:val="0"/>
          <w:marRight w:val="0"/>
          <w:marTop w:val="0"/>
          <w:marBottom w:val="0"/>
          <w:divBdr>
            <w:top w:val="none" w:sz="0" w:space="0" w:color="auto"/>
            <w:left w:val="none" w:sz="0" w:space="0" w:color="auto"/>
            <w:bottom w:val="none" w:sz="0" w:space="0" w:color="auto"/>
            <w:right w:val="none" w:sz="0" w:space="0" w:color="auto"/>
          </w:divBdr>
          <w:divsChild>
            <w:div w:id="174273447">
              <w:marLeft w:val="0"/>
              <w:marRight w:val="0"/>
              <w:marTop w:val="0"/>
              <w:marBottom w:val="0"/>
              <w:divBdr>
                <w:top w:val="none" w:sz="0" w:space="0" w:color="auto"/>
                <w:left w:val="none" w:sz="0" w:space="0" w:color="auto"/>
                <w:bottom w:val="none" w:sz="0" w:space="0" w:color="auto"/>
                <w:right w:val="none" w:sz="0" w:space="0" w:color="auto"/>
              </w:divBdr>
            </w:div>
            <w:div w:id="257451520">
              <w:marLeft w:val="0"/>
              <w:marRight w:val="0"/>
              <w:marTop w:val="0"/>
              <w:marBottom w:val="0"/>
              <w:divBdr>
                <w:top w:val="none" w:sz="0" w:space="0" w:color="auto"/>
                <w:left w:val="none" w:sz="0" w:space="0" w:color="auto"/>
                <w:bottom w:val="none" w:sz="0" w:space="0" w:color="auto"/>
                <w:right w:val="none" w:sz="0" w:space="0" w:color="auto"/>
              </w:divBdr>
            </w:div>
            <w:div w:id="295917748">
              <w:marLeft w:val="0"/>
              <w:marRight w:val="0"/>
              <w:marTop w:val="0"/>
              <w:marBottom w:val="0"/>
              <w:divBdr>
                <w:top w:val="none" w:sz="0" w:space="0" w:color="auto"/>
                <w:left w:val="none" w:sz="0" w:space="0" w:color="auto"/>
                <w:bottom w:val="none" w:sz="0" w:space="0" w:color="auto"/>
                <w:right w:val="none" w:sz="0" w:space="0" w:color="auto"/>
              </w:divBdr>
            </w:div>
            <w:div w:id="372970034">
              <w:marLeft w:val="0"/>
              <w:marRight w:val="0"/>
              <w:marTop w:val="0"/>
              <w:marBottom w:val="0"/>
              <w:divBdr>
                <w:top w:val="none" w:sz="0" w:space="0" w:color="auto"/>
                <w:left w:val="none" w:sz="0" w:space="0" w:color="auto"/>
                <w:bottom w:val="none" w:sz="0" w:space="0" w:color="auto"/>
                <w:right w:val="none" w:sz="0" w:space="0" w:color="auto"/>
              </w:divBdr>
            </w:div>
            <w:div w:id="596401437">
              <w:marLeft w:val="0"/>
              <w:marRight w:val="0"/>
              <w:marTop w:val="0"/>
              <w:marBottom w:val="0"/>
              <w:divBdr>
                <w:top w:val="none" w:sz="0" w:space="0" w:color="auto"/>
                <w:left w:val="none" w:sz="0" w:space="0" w:color="auto"/>
                <w:bottom w:val="none" w:sz="0" w:space="0" w:color="auto"/>
                <w:right w:val="none" w:sz="0" w:space="0" w:color="auto"/>
              </w:divBdr>
            </w:div>
            <w:div w:id="657999738">
              <w:marLeft w:val="0"/>
              <w:marRight w:val="0"/>
              <w:marTop w:val="0"/>
              <w:marBottom w:val="0"/>
              <w:divBdr>
                <w:top w:val="none" w:sz="0" w:space="0" w:color="auto"/>
                <w:left w:val="none" w:sz="0" w:space="0" w:color="auto"/>
                <w:bottom w:val="none" w:sz="0" w:space="0" w:color="auto"/>
                <w:right w:val="none" w:sz="0" w:space="0" w:color="auto"/>
              </w:divBdr>
            </w:div>
            <w:div w:id="680352400">
              <w:marLeft w:val="0"/>
              <w:marRight w:val="0"/>
              <w:marTop w:val="0"/>
              <w:marBottom w:val="0"/>
              <w:divBdr>
                <w:top w:val="none" w:sz="0" w:space="0" w:color="auto"/>
                <w:left w:val="none" w:sz="0" w:space="0" w:color="auto"/>
                <w:bottom w:val="none" w:sz="0" w:space="0" w:color="auto"/>
                <w:right w:val="none" w:sz="0" w:space="0" w:color="auto"/>
              </w:divBdr>
            </w:div>
            <w:div w:id="979504157">
              <w:marLeft w:val="0"/>
              <w:marRight w:val="0"/>
              <w:marTop w:val="0"/>
              <w:marBottom w:val="0"/>
              <w:divBdr>
                <w:top w:val="none" w:sz="0" w:space="0" w:color="auto"/>
                <w:left w:val="none" w:sz="0" w:space="0" w:color="auto"/>
                <w:bottom w:val="none" w:sz="0" w:space="0" w:color="auto"/>
                <w:right w:val="none" w:sz="0" w:space="0" w:color="auto"/>
              </w:divBdr>
            </w:div>
            <w:div w:id="1101729757">
              <w:marLeft w:val="0"/>
              <w:marRight w:val="0"/>
              <w:marTop w:val="0"/>
              <w:marBottom w:val="0"/>
              <w:divBdr>
                <w:top w:val="none" w:sz="0" w:space="0" w:color="auto"/>
                <w:left w:val="none" w:sz="0" w:space="0" w:color="auto"/>
                <w:bottom w:val="none" w:sz="0" w:space="0" w:color="auto"/>
                <w:right w:val="none" w:sz="0" w:space="0" w:color="auto"/>
              </w:divBdr>
            </w:div>
            <w:div w:id="1129472663">
              <w:marLeft w:val="0"/>
              <w:marRight w:val="0"/>
              <w:marTop w:val="0"/>
              <w:marBottom w:val="0"/>
              <w:divBdr>
                <w:top w:val="none" w:sz="0" w:space="0" w:color="auto"/>
                <w:left w:val="none" w:sz="0" w:space="0" w:color="auto"/>
                <w:bottom w:val="none" w:sz="0" w:space="0" w:color="auto"/>
                <w:right w:val="none" w:sz="0" w:space="0" w:color="auto"/>
              </w:divBdr>
            </w:div>
            <w:div w:id="1281306542">
              <w:marLeft w:val="0"/>
              <w:marRight w:val="0"/>
              <w:marTop w:val="0"/>
              <w:marBottom w:val="0"/>
              <w:divBdr>
                <w:top w:val="none" w:sz="0" w:space="0" w:color="auto"/>
                <w:left w:val="none" w:sz="0" w:space="0" w:color="auto"/>
                <w:bottom w:val="none" w:sz="0" w:space="0" w:color="auto"/>
                <w:right w:val="none" w:sz="0" w:space="0" w:color="auto"/>
              </w:divBdr>
            </w:div>
            <w:div w:id="1282952238">
              <w:marLeft w:val="0"/>
              <w:marRight w:val="0"/>
              <w:marTop w:val="0"/>
              <w:marBottom w:val="0"/>
              <w:divBdr>
                <w:top w:val="none" w:sz="0" w:space="0" w:color="auto"/>
                <w:left w:val="none" w:sz="0" w:space="0" w:color="auto"/>
                <w:bottom w:val="none" w:sz="0" w:space="0" w:color="auto"/>
                <w:right w:val="none" w:sz="0" w:space="0" w:color="auto"/>
              </w:divBdr>
            </w:div>
            <w:div w:id="1345091052">
              <w:marLeft w:val="0"/>
              <w:marRight w:val="0"/>
              <w:marTop w:val="0"/>
              <w:marBottom w:val="0"/>
              <w:divBdr>
                <w:top w:val="none" w:sz="0" w:space="0" w:color="auto"/>
                <w:left w:val="none" w:sz="0" w:space="0" w:color="auto"/>
                <w:bottom w:val="none" w:sz="0" w:space="0" w:color="auto"/>
                <w:right w:val="none" w:sz="0" w:space="0" w:color="auto"/>
              </w:divBdr>
            </w:div>
            <w:div w:id="1348945183">
              <w:marLeft w:val="0"/>
              <w:marRight w:val="0"/>
              <w:marTop w:val="0"/>
              <w:marBottom w:val="0"/>
              <w:divBdr>
                <w:top w:val="none" w:sz="0" w:space="0" w:color="auto"/>
                <w:left w:val="none" w:sz="0" w:space="0" w:color="auto"/>
                <w:bottom w:val="none" w:sz="0" w:space="0" w:color="auto"/>
                <w:right w:val="none" w:sz="0" w:space="0" w:color="auto"/>
              </w:divBdr>
            </w:div>
            <w:div w:id="1707414466">
              <w:marLeft w:val="0"/>
              <w:marRight w:val="0"/>
              <w:marTop w:val="0"/>
              <w:marBottom w:val="0"/>
              <w:divBdr>
                <w:top w:val="none" w:sz="0" w:space="0" w:color="auto"/>
                <w:left w:val="none" w:sz="0" w:space="0" w:color="auto"/>
                <w:bottom w:val="none" w:sz="0" w:space="0" w:color="auto"/>
                <w:right w:val="none" w:sz="0" w:space="0" w:color="auto"/>
              </w:divBdr>
            </w:div>
            <w:div w:id="1752504829">
              <w:marLeft w:val="0"/>
              <w:marRight w:val="0"/>
              <w:marTop w:val="0"/>
              <w:marBottom w:val="0"/>
              <w:divBdr>
                <w:top w:val="none" w:sz="0" w:space="0" w:color="auto"/>
                <w:left w:val="none" w:sz="0" w:space="0" w:color="auto"/>
                <w:bottom w:val="none" w:sz="0" w:space="0" w:color="auto"/>
                <w:right w:val="none" w:sz="0" w:space="0" w:color="auto"/>
              </w:divBdr>
            </w:div>
            <w:div w:id="1763061011">
              <w:marLeft w:val="0"/>
              <w:marRight w:val="0"/>
              <w:marTop w:val="0"/>
              <w:marBottom w:val="0"/>
              <w:divBdr>
                <w:top w:val="none" w:sz="0" w:space="0" w:color="auto"/>
                <w:left w:val="none" w:sz="0" w:space="0" w:color="auto"/>
                <w:bottom w:val="none" w:sz="0" w:space="0" w:color="auto"/>
                <w:right w:val="none" w:sz="0" w:space="0" w:color="auto"/>
              </w:divBdr>
            </w:div>
            <w:div w:id="1835218032">
              <w:marLeft w:val="0"/>
              <w:marRight w:val="0"/>
              <w:marTop w:val="0"/>
              <w:marBottom w:val="0"/>
              <w:divBdr>
                <w:top w:val="none" w:sz="0" w:space="0" w:color="auto"/>
                <w:left w:val="none" w:sz="0" w:space="0" w:color="auto"/>
                <w:bottom w:val="none" w:sz="0" w:space="0" w:color="auto"/>
                <w:right w:val="none" w:sz="0" w:space="0" w:color="auto"/>
              </w:divBdr>
            </w:div>
            <w:div w:id="1893080834">
              <w:marLeft w:val="0"/>
              <w:marRight w:val="0"/>
              <w:marTop w:val="0"/>
              <w:marBottom w:val="0"/>
              <w:divBdr>
                <w:top w:val="none" w:sz="0" w:space="0" w:color="auto"/>
                <w:left w:val="none" w:sz="0" w:space="0" w:color="auto"/>
                <w:bottom w:val="none" w:sz="0" w:space="0" w:color="auto"/>
                <w:right w:val="none" w:sz="0" w:space="0" w:color="auto"/>
              </w:divBdr>
            </w:div>
            <w:div w:id="20257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0950">
      <w:bodyDiv w:val="1"/>
      <w:marLeft w:val="0"/>
      <w:marRight w:val="0"/>
      <w:marTop w:val="0"/>
      <w:marBottom w:val="0"/>
      <w:divBdr>
        <w:top w:val="none" w:sz="0" w:space="0" w:color="auto"/>
        <w:left w:val="none" w:sz="0" w:space="0" w:color="auto"/>
        <w:bottom w:val="none" w:sz="0" w:space="0" w:color="auto"/>
        <w:right w:val="none" w:sz="0" w:space="0" w:color="auto"/>
      </w:divBdr>
      <w:divsChild>
        <w:div w:id="428740138">
          <w:marLeft w:val="0"/>
          <w:marRight w:val="0"/>
          <w:marTop w:val="0"/>
          <w:marBottom w:val="0"/>
          <w:divBdr>
            <w:top w:val="none" w:sz="0" w:space="0" w:color="auto"/>
            <w:left w:val="none" w:sz="0" w:space="0" w:color="auto"/>
            <w:bottom w:val="none" w:sz="0" w:space="0" w:color="auto"/>
            <w:right w:val="none" w:sz="0" w:space="0" w:color="auto"/>
          </w:divBdr>
        </w:div>
        <w:div w:id="685714328">
          <w:marLeft w:val="0"/>
          <w:marRight w:val="0"/>
          <w:marTop w:val="0"/>
          <w:marBottom w:val="0"/>
          <w:divBdr>
            <w:top w:val="none" w:sz="0" w:space="0" w:color="auto"/>
            <w:left w:val="none" w:sz="0" w:space="0" w:color="auto"/>
            <w:bottom w:val="none" w:sz="0" w:space="0" w:color="auto"/>
            <w:right w:val="none" w:sz="0" w:space="0" w:color="auto"/>
          </w:divBdr>
        </w:div>
        <w:div w:id="1239096724">
          <w:marLeft w:val="0"/>
          <w:marRight w:val="0"/>
          <w:marTop w:val="0"/>
          <w:marBottom w:val="0"/>
          <w:divBdr>
            <w:top w:val="none" w:sz="0" w:space="0" w:color="auto"/>
            <w:left w:val="none" w:sz="0" w:space="0" w:color="auto"/>
            <w:bottom w:val="none" w:sz="0" w:space="0" w:color="auto"/>
            <w:right w:val="none" w:sz="0" w:space="0" w:color="auto"/>
          </w:divBdr>
        </w:div>
        <w:div w:id="1748190627">
          <w:marLeft w:val="0"/>
          <w:marRight w:val="0"/>
          <w:marTop w:val="0"/>
          <w:marBottom w:val="0"/>
          <w:divBdr>
            <w:top w:val="none" w:sz="0" w:space="0" w:color="auto"/>
            <w:left w:val="none" w:sz="0" w:space="0" w:color="auto"/>
            <w:bottom w:val="none" w:sz="0" w:space="0" w:color="auto"/>
            <w:right w:val="none" w:sz="0" w:space="0" w:color="auto"/>
          </w:divBdr>
        </w:div>
        <w:div w:id="1790009784">
          <w:marLeft w:val="0"/>
          <w:marRight w:val="0"/>
          <w:marTop w:val="0"/>
          <w:marBottom w:val="0"/>
          <w:divBdr>
            <w:top w:val="none" w:sz="0" w:space="0" w:color="auto"/>
            <w:left w:val="none" w:sz="0" w:space="0" w:color="auto"/>
            <w:bottom w:val="none" w:sz="0" w:space="0" w:color="auto"/>
            <w:right w:val="none" w:sz="0" w:space="0" w:color="auto"/>
          </w:divBdr>
        </w:div>
        <w:div w:id="1855068811">
          <w:marLeft w:val="0"/>
          <w:marRight w:val="0"/>
          <w:marTop w:val="0"/>
          <w:marBottom w:val="0"/>
          <w:divBdr>
            <w:top w:val="none" w:sz="0" w:space="0" w:color="auto"/>
            <w:left w:val="none" w:sz="0" w:space="0" w:color="auto"/>
            <w:bottom w:val="none" w:sz="0" w:space="0" w:color="auto"/>
            <w:right w:val="none" w:sz="0" w:space="0" w:color="auto"/>
          </w:divBdr>
        </w:div>
        <w:div w:id="2005474467">
          <w:marLeft w:val="0"/>
          <w:marRight w:val="0"/>
          <w:marTop w:val="0"/>
          <w:marBottom w:val="0"/>
          <w:divBdr>
            <w:top w:val="none" w:sz="0" w:space="0" w:color="auto"/>
            <w:left w:val="none" w:sz="0" w:space="0" w:color="auto"/>
            <w:bottom w:val="none" w:sz="0" w:space="0" w:color="auto"/>
            <w:right w:val="none" w:sz="0" w:space="0" w:color="auto"/>
          </w:divBdr>
        </w:div>
      </w:divsChild>
    </w:div>
    <w:div w:id="1270619907">
      <w:bodyDiv w:val="1"/>
      <w:marLeft w:val="0"/>
      <w:marRight w:val="0"/>
      <w:marTop w:val="0"/>
      <w:marBottom w:val="0"/>
      <w:divBdr>
        <w:top w:val="none" w:sz="0" w:space="0" w:color="auto"/>
        <w:left w:val="none" w:sz="0" w:space="0" w:color="auto"/>
        <w:bottom w:val="none" w:sz="0" w:space="0" w:color="auto"/>
        <w:right w:val="none" w:sz="0" w:space="0" w:color="auto"/>
      </w:divBdr>
    </w:div>
    <w:div w:id="1476602035">
      <w:bodyDiv w:val="1"/>
      <w:marLeft w:val="0"/>
      <w:marRight w:val="0"/>
      <w:marTop w:val="0"/>
      <w:marBottom w:val="0"/>
      <w:divBdr>
        <w:top w:val="none" w:sz="0" w:space="0" w:color="auto"/>
        <w:left w:val="none" w:sz="0" w:space="0" w:color="auto"/>
        <w:bottom w:val="none" w:sz="0" w:space="0" w:color="auto"/>
        <w:right w:val="none" w:sz="0" w:space="0" w:color="auto"/>
      </w:divBdr>
      <w:divsChild>
        <w:div w:id="55323630">
          <w:marLeft w:val="0"/>
          <w:marRight w:val="0"/>
          <w:marTop w:val="0"/>
          <w:marBottom w:val="0"/>
          <w:divBdr>
            <w:top w:val="none" w:sz="0" w:space="0" w:color="auto"/>
            <w:left w:val="none" w:sz="0" w:space="0" w:color="auto"/>
            <w:bottom w:val="none" w:sz="0" w:space="0" w:color="auto"/>
            <w:right w:val="none" w:sz="0" w:space="0" w:color="auto"/>
          </w:divBdr>
        </w:div>
        <w:div w:id="56057576">
          <w:marLeft w:val="0"/>
          <w:marRight w:val="0"/>
          <w:marTop w:val="0"/>
          <w:marBottom w:val="0"/>
          <w:divBdr>
            <w:top w:val="none" w:sz="0" w:space="0" w:color="auto"/>
            <w:left w:val="none" w:sz="0" w:space="0" w:color="auto"/>
            <w:bottom w:val="none" w:sz="0" w:space="0" w:color="auto"/>
            <w:right w:val="none" w:sz="0" w:space="0" w:color="auto"/>
          </w:divBdr>
        </w:div>
        <w:div w:id="392511305">
          <w:marLeft w:val="0"/>
          <w:marRight w:val="0"/>
          <w:marTop w:val="0"/>
          <w:marBottom w:val="0"/>
          <w:divBdr>
            <w:top w:val="none" w:sz="0" w:space="0" w:color="auto"/>
            <w:left w:val="none" w:sz="0" w:space="0" w:color="auto"/>
            <w:bottom w:val="none" w:sz="0" w:space="0" w:color="auto"/>
            <w:right w:val="none" w:sz="0" w:space="0" w:color="auto"/>
          </w:divBdr>
        </w:div>
        <w:div w:id="593821865">
          <w:marLeft w:val="0"/>
          <w:marRight w:val="0"/>
          <w:marTop w:val="0"/>
          <w:marBottom w:val="0"/>
          <w:divBdr>
            <w:top w:val="none" w:sz="0" w:space="0" w:color="auto"/>
            <w:left w:val="none" w:sz="0" w:space="0" w:color="auto"/>
            <w:bottom w:val="none" w:sz="0" w:space="0" w:color="auto"/>
            <w:right w:val="none" w:sz="0" w:space="0" w:color="auto"/>
          </w:divBdr>
        </w:div>
        <w:div w:id="1791632937">
          <w:marLeft w:val="0"/>
          <w:marRight w:val="0"/>
          <w:marTop w:val="0"/>
          <w:marBottom w:val="0"/>
          <w:divBdr>
            <w:top w:val="none" w:sz="0" w:space="0" w:color="auto"/>
            <w:left w:val="none" w:sz="0" w:space="0" w:color="auto"/>
            <w:bottom w:val="none" w:sz="0" w:space="0" w:color="auto"/>
            <w:right w:val="none" w:sz="0" w:space="0" w:color="auto"/>
          </w:divBdr>
        </w:div>
        <w:div w:id="2101636378">
          <w:marLeft w:val="0"/>
          <w:marRight w:val="0"/>
          <w:marTop w:val="0"/>
          <w:marBottom w:val="0"/>
          <w:divBdr>
            <w:top w:val="none" w:sz="0" w:space="0" w:color="auto"/>
            <w:left w:val="none" w:sz="0" w:space="0" w:color="auto"/>
            <w:bottom w:val="none" w:sz="0" w:space="0" w:color="auto"/>
            <w:right w:val="none" w:sz="0" w:space="0" w:color="auto"/>
          </w:divBdr>
        </w:div>
        <w:div w:id="2111004011">
          <w:marLeft w:val="0"/>
          <w:marRight w:val="0"/>
          <w:marTop w:val="0"/>
          <w:marBottom w:val="0"/>
          <w:divBdr>
            <w:top w:val="none" w:sz="0" w:space="0" w:color="auto"/>
            <w:left w:val="none" w:sz="0" w:space="0" w:color="auto"/>
            <w:bottom w:val="none" w:sz="0" w:space="0" w:color="auto"/>
            <w:right w:val="none" w:sz="0" w:space="0" w:color="auto"/>
          </w:divBdr>
        </w:div>
      </w:divsChild>
    </w:div>
    <w:div w:id="1519735539">
      <w:bodyDiv w:val="1"/>
      <w:marLeft w:val="0"/>
      <w:marRight w:val="0"/>
      <w:marTop w:val="0"/>
      <w:marBottom w:val="0"/>
      <w:divBdr>
        <w:top w:val="none" w:sz="0" w:space="0" w:color="auto"/>
        <w:left w:val="none" w:sz="0" w:space="0" w:color="auto"/>
        <w:bottom w:val="none" w:sz="0" w:space="0" w:color="auto"/>
        <w:right w:val="none" w:sz="0" w:space="0" w:color="auto"/>
      </w:divBdr>
      <w:divsChild>
        <w:div w:id="99182854">
          <w:marLeft w:val="0"/>
          <w:marRight w:val="0"/>
          <w:marTop w:val="0"/>
          <w:marBottom w:val="0"/>
          <w:divBdr>
            <w:top w:val="none" w:sz="0" w:space="0" w:color="auto"/>
            <w:left w:val="none" w:sz="0" w:space="0" w:color="auto"/>
            <w:bottom w:val="none" w:sz="0" w:space="0" w:color="auto"/>
            <w:right w:val="none" w:sz="0" w:space="0" w:color="auto"/>
          </w:divBdr>
        </w:div>
        <w:div w:id="481122690">
          <w:marLeft w:val="0"/>
          <w:marRight w:val="0"/>
          <w:marTop w:val="0"/>
          <w:marBottom w:val="0"/>
          <w:divBdr>
            <w:top w:val="none" w:sz="0" w:space="0" w:color="auto"/>
            <w:left w:val="none" w:sz="0" w:space="0" w:color="auto"/>
            <w:bottom w:val="none" w:sz="0" w:space="0" w:color="auto"/>
            <w:right w:val="none" w:sz="0" w:space="0" w:color="auto"/>
          </w:divBdr>
        </w:div>
        <w:div w:id="524906868">
          <w:marLeft w:val="0"/>
          <w:marRight w:val="0"/>
          <w:marTop w:val="0"/>
          <w:marBottom w:val="0"/>
          <w:divBdr>
            <w:top w:val="none" w:sz="0" w:space="0" w:color="auto"/>
            <w:left w:val="none" w:sz="0" w:space="0" w:color="auto"/>
            <w:bottom w:val="none" w:sz="0" w:space="0" w:color="auto"/>
            <w:right w:val="none" w:sz="0" w:space="0" w:color="auto"/>
          </w:divBdr>
          <w:divsChild>
            <w:div w:id="428817042">
              <w:marLeft w:val="-75"/>
              <w:marRight w:val="0"/>
              <w:marTop w:val="30"/>
              <w:marBottom w:val="30"/>
              <w:divBdr>
                <w:top w:val="none" w:sz="0" w:space="0" w:color="auto"/>
                <w:left w:val="none" w:sz="0" w:space="0" w:color="auto"/>
                <w:bottom w:val="none" w:sz="0" w:space="0" w:color="auto"/>
                <w:right w:val="none" w:sz="0" w:space="0" w:color="auto"/>
              </w:divBdr>
              <w:divsChild>
                <w:div w:id="52125589">
                  <w:marLeft w:val="0"/>
                  <w:marRight w:val="0"/>
                  <w:marTop w:val="0"/>
                  <w:marBottom w:val="0"/>
                  <w:divBdr>
                    <w:top w:val="none" w:sz="0" w:space="0" w:color="auto"/>
                    <w:left w:val="none" w:sz="0" w:space="0" w:color="auto"/>
                    <w:bottom w:val="none" w:sz="0" w:space="0" w:color="auto"/>
                    <w:right w:val="none" w:sz="0" w:space="0" w:color="auto"/>
                  </w:divBdr>
                  <w:divsChild>
                    <w:div w:id="1843928196">
                      <w:marLeft w:val="0"/>
                      <w:marRight w:val="0"/>
                      <w:marTop w:val="0"/>
                      <w:marBottom w:val="0"/>
                      <w:divBdr>
                        <w:top w:val="none" w:sz="0" w:space="0" w:color="auto"/>
                        <w:left w:val="none" w:sz="0" w:space="0" w:color="auto"/>
                        <w:bottom w:val="none" w:sz="0" w:space="0" w:color="auto"/>
                        <w:right w:val="none" w:sz="0" w:space="0" w:color="auto"/>
                      </w:divBdr>
                    </w:div>
                  </w:divsChild>
                </w:div>
                <w:div w:id="124781646">
                  <w:marLeft w:val="0"/>
                  <w:marRight w:val="0"/>
                  <w:marTop w:val="0"/>
                  <w:marBottom w:val="0"/>
                  <w:divBdr>
                    <w:top w:val="none" w:sz="0" w:space="0" w:color="auto"/>
                    <w:left w:val="none" w:sz="0" w:space="0" w:color="auto"/>
                    <w:bottom w:val="none" w:sz="0" w:space="0" w:color="auto"/>
                    <w:right w:val="none" w:sz="0" w:space="0" w:color="auto"/>
                  </w:divBdr>
                  <w:divsChild>
                    <w:div w:id="1901014800">
                      <w:marLeft w:val="0"/>
                      <w:marRight w:val="0"/>
                      <w:marTop w:val="0"/>
                      <w:marBottom w:val="0"/>
                      <w:divBdr>
                        <w:top w:val="none" w:sz="0" w:space="0" w:color="auto"/>
                        <w:left w:val="none" w:sz="0" w:space="0" w:color="auto"/>
                        <w:bottom w:val="none" w:sz="0" w:space="0" w:color="auto"/>
                        <w:right w:val="none" w:sz="0" w:space="0" w:color="auto"/>
                      </w:divBdr>
                    </w:div>
                  </w:divsChild>
                </w:div>
                <w:div w:id="154615539">
                  <w:marLeft w:val="0"/>
                  <w:marRight w:val="0"/>
                  <w:marTop w:val="0"/>
                  <w:marBottom w:val="0"/>
                  <w:divBdr>
                    <w:top w:val="none" w:sz="0" w:space="0" w:color="auto"/>
                    <w:left w:val="none" w:sz="0" w:space="0" w:color="auto"/>
                    <w:bottom w:val="none" w:sz="0" w:space="0" w:color="auto"/>
                    <w:right w:val="none" w:sz="0" w:space="0" w:color="auto"/>
                  </w:divBdr>
                  <w:divsChild>
                    <w:div w:id="1519351426">
                      <w:marLeft w:val="0"/>
                      <w:marRight w:val="0"/>
                      <w:marTop w:val="0"/>
                      <w:marBottom w:val="0"/>
                      <w:divBdr>
                        <w:top w:val="none" w:sz="0" w:space="0" w:color="auto"/>
                        <w:left w:val="none" w:sz="0" w:space="0" w:color="auto"/>
                        <w:bottom w:val="none" w:sz="0" w:space="0" w:color="auto"/>
                        <w:right w:val="none" w:sz="0" w:space="0" w:color="auto"/>
                      </w:divBdr>
                    </w:div>
                  </w:divsChild>
                </w:div>
                <w:div w:id="256865434">
                  <w:marLeft w:val="0"/>
                  <w:marRight w:val="0"/>
                  <w:marTop w:val="0"/>
                  <w:marBottom w:val="0"/>
                  <w:divBdr>
                    <w:top w:val="none" w:sz="0" w:space="0" w:color="auto"/>
                    <w:left w:val="none" w:sz="0" w:space="0" w:color="auto"/>
                    <w:bottom w:val="none" w:sz="0" w:space="0" w:color="auto"/>
                    <w:right w:val="none" w:sz="0" w:space="0" w:color="auto"/>
                  </w:divBdr>
                  <w:divsChild>
                    <w:div w:id="1055853863">
                      <w:marLeft w:val="0"/>
                      <w:marRight w:val="0"/>
                      <w:marTop w:val="0"/>
                      <w:marBottom w:val="0"/>
                      <w:divBdr>
                        <w:top w:val="none" w:sz="0" w:space="0" w:color="auto"/>
                        <w:left w:val="none" w:sz="0" w:space="0" w:color="auto"/>
                        <w:bottom w:val="none" w:sz="0" w:space="0" w:color="auto"/>
                        <w:right w:val="none" w:sz="0" w:space="0" w:color="auto"/>
                      </w:divBdr>
                    </w:div>
                  </w:divsChild>
                </w:div>
                <w:div w:id="296838000">
                  <w:marLeft w:val="0"/>
                  <w:marRight w:val="0"/>
                  <w:marTop w:val="0"/>
                  <w:marBottom w:val="0"/>
                  <w:divBdr>
                    <w:top w:val="none" w:sz="0" w:space="0" w:color="auto"/>
                    <w:left w:val="none" w:sz="0" w:space="0" w:color="auto"/>
                    <w:bottom w:val="none" w:sz="0" w:space="0" w:color="auto"/>
                    <w:right w:val="none" w:sz="0" w:space="0" w:color="auto"/>
                  </w:divBdr>
                  <w:divsChild>
                    <w:div w:id="1754623031">
                      <w:marLeft w:val="0"/>
                      <w:marRight w:val="0"/>
                      <w:marTop w:val="0"/>
                      <w:marBottom w:val="0"/>
                      <w:divBdr>
                        <w:top w:val="none" w:sz="0" w:space="0" w:color="auto"/>
                        <w:left w:val="none" w:sz="0" w:space="0" w:color="auto"/>
                        <w:bottom w:val="none" w:sz="0" w:space="0" w:color="auto"/>
                        <w:right w:val="none" w:sz="0" w:space="0" w:color="auto"/>
                      </w:divBdr>
                    </w:div>
                  </w:divsChild>
                </w:div>
                <w:div w:id="345137586">
                  <w:marLeft w:val="0"/>
                  <w:marRight w:val="0"/>
                  <w:marTop w:val="0"/>
                  <w:marBottom w:val="0"/>
                  <w:divBdr>
                    <w:top w:val="none" w:sz="0" w:space="0" w:color="auto"/>
                    <w:left w:val="none" w:sz="0" w:space="0" w:color="auto"/>
                    <w:bottom w:val="none" w:sz="0" w:space="0" w:color="auto"/>
                    <w:right w:val="none" w:sz="0" w:space="0" w:color="auto"/>
                  </w:divBdr>
                  <w:divsChild>
                    <w:div w:id="13966358">
                      <w:marLeft w:val="0"/>
                      <w:marRight w:val="0"/>
                      <w:marTop w:val="0"/>
                      <w:marBottom w:val="0"/>
                      <w:divBdr>
                        <w:top w:val="none" w:sz="0" w:space="0" w:color="auto"/>
                        <w:left w:val="none" w:sz="0" w:space="0" w:color="auto"/>
                        <w:bottom w:val="none" w:sz="0" w:space="0" w:color="auto"/>
                        <w:right w:val="none" w:sz="0" w:space="0" w:color="auto"/>
                      </w:divBdr>
                    </w:div>
                  </w:divsChild>
                </w:div>
                <w:div w:id="533155407">
                  <w:marLeft w:val="0"/>
                  <w:marRight w:val="0"/>
                  <w:marTop w:val="0"/>
                  <w:marBottom w:val="0"/>
                  <w:divBdr>
                    <w:top w:val="none" w:sz="0" w:space="0" w:color="auto"/>
                    <w:left w:val="none" w:sz="0" w:space="0" w:color="auto"/>
                    <w:bottom w:val="none" w:sz="0" w:space="0" w:color="auto"/>
                    <w:right w:val="none" w:sz="0" w:space="0" w:color="auto"/>
                  </w:divBdr>
                  <w:divsChild>
                    <w:div w:id="441610529">
                      <w:marLeft w:val="0"/>
                      <w:marRight w:val="0"/>
                      <w:marTop w:val="0"/>
                      <w:marBottom w:val="0"/>
                      <w:divBdr>
                        <w:top w:val="none" w:sz="0" w:space="0" w:color="auto"/>
                        <w:left w:val="none" w:sz="0" w:space="0" w:color="auto"/>
                        <w:bottom w:val="none" w:sz="0" w:space="0" w:color="auto"/>
                        <w:right w:val="none" w:sz="0" w:space="0" w:color="auto"/>
                      </w:divBdr>
                    </w:div>
                  </w:divsChild>
                </w:div>
                <w:div w:id="582687479">
                  <w:marLeft w:val="0"/>
                  <w:marRight w:val="0"/>
                  <w:marTop w:val="0"/>
                  <w:marBottom w:val="0"/>
                  <w:divBdr>
                    <w:top w:val="none" w:sz="0" w:space="0" w:color="auto"/>
                    <w:left w:val="none" w:sz="0" w:space="0" w:color="auto"/>
                    <w:bottom w:val="none" w:sz="0" w:space="0" w:color="auto"/>
                    <w:right w:val="none" w:sz="0" w:space="0" w:color="auto"/>
                  </w:divBdr>
                  <w:divsChild>
                    <w:div w:id="1146437317">
                      <w:marLeft w:val="0"/>
                      <w:marRight w:val="0"/>
                      <w:marTop w:val="0"/>
                      <w:marBottom w:val="0"/>
                      <w:divBdr>
                        <w:top w:val="none" w:sz="0" w:space="0" w:color="auto"/>
                        <w:left w:val="none" w:sz="0" w:space="0" w:color="auto"/>
                        <w:bottom w:val="none" w:sz="0" w:space="0" w:color="auto"/>
                        <w:right w:val="none" w:sz="0" w:space="0" w:color="auto"/>
                      </w:divBdr>
                    </w:div>
                  </w:divsChild>
                </w:div>
                <w:div w:id="815027757">
                  <w:marLeft w:val="0"/>
                  <w:marRight w:val="0"/>
                  <w:marTop w:val="0"/>
                  <w:marBottom w:val="0"/>
                  <w:divBdr>
                    <w:top w:val="none" w:sz="0" w:space="0" w:color="auto"/>
                    <w:left w:val="none" w:sz="0" w:space="0" w:color="auto"/>
                    <w:bottom w:val="none" w:sz="0" w:space="0" w:color="auto"/>
                    <w:right w:val="none" w:sz="0" w:space="0" w:color="auto"/>
                  </w:divBdr>
                  <w:divsChild>
                    <w:div w:id="1746412734">
                      <w:marLeft w:val="0"/>
                      <w:marRight w:val="0"/>
                      <w:marTop w:val="0"/>
                      <w:marBottom w:val="0"/>
                      <w:divBdr>
                        <w:top w:val="none" w:sz="0" w:space="0" w:color="auto"/>
                        <w:left w:val="none" w:sz="0" w:space="0" w:color="auto"/>
                        <w:bottom w:val="none" w:sz="0" w:space="0" w:color="auto"/>
                        <w:right w:val="none" w:sz="0" w:space="0" w:color="auto"/>
                      </w:divBdr>
                    </w:div>
                  </w:divsChild>
                </w:div>
                <w:div w:id="858011267">
                  <w:marLeft w:val="0"/>
                  <w:marRight w:val="0"/>
                  <w:marTop w:val="0"/>
                  <w:marBottom w:val="0"/>
                  <w:divBdr>
                    <w:top w:val="none" w:sz="0" w:space="0" w:color="auto"/>
                    <w:left w:val="none" w:sz="0" w:space="0" w:color="auto"/>
                    <w:bottom w:val="none" w:sz="0" w:space="0" w:color="auto"/>
                    <w:right w:val="none" w:sz="0" w:space="0" w:color="auto"/>
                  </w:divBdr>
                  <w:divsChild>
                    <w:div w:id="1579709262">
                      <w:marLeft w:val="0"/>
                      <w:marRight w:val="0"/>
                      <w:marTop w:val="0"/>
                      <w:marBottom w:val="0"/>
                      <w:divBdr>
                        <w:top w:val="none" w:sz="0" w:space="0" w:color="auto"/>
                        <w:left w:val="none" w:sz="0" w:space="0" w:color="auto"/>
                        <w:bottom w:val="none" w:sz="0" w:space="0" w:color="auto"/>
                        <w:right w:val="none" w:sz="0" w:space="0" w:color="auto"/>
                      </w:divBdr>
                    </w:div>
                  </w:divsChild>
                </w:div>
                <w:div w:id="907227004">
                  <w:marLeft w:val="0"/>
                  <w:marRight w:val="0"/>
                  <w:marTop w:val="0"/>
                  <w:marBottom w:val="0"/>
                  <w:divBdr>
                    <w:top w:val="none" w:sz="0" w:space="0" w:color="auto"/>
                    <w:left w:val="none" w:sz="0" w:space="0" w:color="auto"/>
                    <w:bottom w:val="none" w:sz="0" w:space="0" w:color="auto"/>
                    <w:right w:val="none" w:sz="0" w:space="0" w:color="auto"/>
                  </w:divBdr>
                  <w:divsChild>
                    <w:div w:id="854461943">
                      <w:marLeft w:val="0"/>
                      <w:marRight w:val="0"/>
                      <w:marTop w:val="0"/>
                      <w:marBottom w:val="0"/>
                      <w:divBdr>
                        <w:top w:val="none" w:sz="0" w:space="0" w:color="auto"/>
                        <w:left w:val="none" w:sz="0" w:space="0" w:color="auto"/>
                        <w:bottom w:val="none" w:sz="0" w:space="0" w:color="auto"/>
                        <w:right w:val="none" w:sz="0" w:space="0" w:color="auto"/>
                      </w:divBdr>
                    </w:div>
                  </w:divsChild>
                </w:div>
                <w:div w:id="1063257055">
                  <w:marLeft w:val="0"/>
                  <w:marRight w:val="0"/>
                  <w:marTop w:val="0"/>
                  <w:marBottom w:val="0"/>
                  <w:divBdr>
                    <w:top w:val="none" w:sz="0" w:space="0" w:color="auto"/>
                    <w:left w:val="none" w:sz="0" w:space="0" w:color="auto"/>
                    <w:bottom w:val="none" w:sz="0" w:space="0" w:color="auto"/>
                    <w:right w:val="none" w:sz="0" w:space="0" w:color="auto"/>
                  </w:divBdr>
                  <w:divsChild>
                    <w:div w:id="1382556182">
                      <w:marLeft w:val="0"/>
                      <w:marRight w:val="0"/>
                      <w:marTop w:val="0"/>
                      <w:marBottom w:val="0"/>
                      <w:divBdr>
                        <w:top w:val="none" w:sz="0" w:space="0" w:color="auto"/>
                        <w:left w:val="none" w:sz="0" w:space="0" w:color="auto"/>
                        <w:bottom w:val="none" w:sz="0" w:space="0" w:color="auto"/>
                        <w:right w:val="none" w:sz="0" w:space="0" w:color="auto"/>
                      </w:divBdr>
                    </w:div>
                  </w:divsChild>
                </w:div>
                <w:div w:id="1225874531">
                  <w:marLeft w:val="0"/>
                  <w:marRight w:val="0"/>
                  <w:marTop w:val="0"/>
                  <w:marBottom w:val="0"/>
                  <w:divBdr>
                    <w:top w:val="none" w:sz="0" w:space="0" w:color="auto"/>
                    <w:left w:val="none" w:sz="0" w:space="0" w:color="auto"/>
                    <w:bottom w:val="none" w:sz="0" w:space="0" w:color="auto"/>
                    <w:right w:val="none" w:sz="0" w:space="0" w:color="auto"/>
                  </w:divBdr>
                  <w:divsChild>
                    <w:div w:id="710958142">
                      <w:marLeft w:val="0"/>
                      <w:marRight w:val="0"/>
                      <w:marTop w:val="0"/>
                      <w:marBottom w:val="0"/>
                      <w:divBdr>
                        <w:top w:val="none" w:sz="0" w:space="0" w:color="auto"/>
                        <w:left w:val="none" w:sz="0" w:space="0" w:color="auto"/>
                        <w:bottom w:val="none" w:sz="0" w:space="0" w:color="auto"/>
                        <w:right w:val="none" w:sz="0" w:space="0" w:color="auto"/>
                      </w:divBdr>
                    </w:div>
                  </w:divsChild>
                </w:div>
                <w:div w:id="1253121950">
                  <w:marLeft w:val="0"/>
                  <w:marRight w:val="0"/>
                  <w:marTop w:val="0"/>
                  <w:marBottom w:val="0"/>
                  <w:divBdr>
                    <w:top w:val="none" w:sz="0" w:space="0" w:color="auto"/>
                    <w:left w:val="none" w:sz="0" w:space="0" w:color="auto"/>
                    <w:bottom w:val="none" w:sz="0" w:space="0" w:color="auto"/>
                    <w:right w:val="none" w:sz="0" w:space="0" w:color="auto"/>
                  </w:divBdr>
                  <w:divsChild>
                    <w:div w:id="179902834">
                      <w:marLeft w:val="0"/>
                      <w:marRight w:val="0"/>
                      <w:marTop w:val="0"/>
                      <w:marBottom w:val="0"/>
                      <w:divBdr>
                        <w:top w:val="none" w:sz="0" w:space="0" w:color="auto"/>
                        <w:left w:val="none" w:sz="0" w:space="0" w:color="auto"/>
                        <w:bottom w:val="none" w:sz="0" w:space="0" w:color="auto"/>
                        <w:right w:val="none" w:sz="0" w:space="0" w:color="auto"/>
                      </w:divBdr>
                    </w:div>
                  </w:divsChild>
                </w:div>
                <w:div w:id="1280451010">
                  <w:marLeft w:val="0"/>
                  <w:marRight w:val="0"/>
                  <w:marTop w:val="0"/>
                  <w:marBottom w:val="0"/>
                  <w:divBdr>
                    <w:top w:val="none" w:sz="0" w:space="0" w:color="auto"/>
                    <w:left w:val="none" w:sz="0" w:space="0" w:color="auto"/>
                    <w:bottom w:val="none" w:sz="0" w:space="0" w:color="auto"/>
                    <w:right w:val="none" w:sz="0" w:space="0" w:color="auto"/>
                  </w:divBdr>
                  <w:divsChild>
                    <w:div w:id="1612669297">
                      <w:marLeft w:val="0"/>
                      <w:marRight w:val="0"/>
                      <w:marTop w:val="0"/>
                      <w:marBottom w:val="0"/>
                      <w:divBdr>
                        <w:top w:val="none" w:sz="0" w:space="0" w:color="auto"/>
                        <w:left w:val="none" w:sz="0" w:space="0" w:color="auto"/>
                        <w:bottom w:val="none" w:sz="0" w:space="0" w:color="auto"/>
                        <w:right w:val="none" w:sz="0" w:space="0" w:color="auto"/>
                      </w:divBdr>
                    </w:div>
                  </w:divsChild>
                </w:div>
                <w:div w:id="1400133920">
                  <w:marLeft w:val="0"/>
                  <w:marRight w:val="0"/>
                  <w:marTop w:val="0"/>
                  <w:marBottom w:val="0"/>
                  <w:divBdr>
                    <w:top w:val="none" w:sz="0" w:space="0" w:color="auto"/>
                    <w:left w:val="none" w:sz="0" w:space="0" w:color="auto"/>
                    <w:bottom w:val="none" w:sz="0" w:space="0" w:color="auto"/>
                    <w:right w:val="none" w:sz="0" w:space="0" w:color="auto"/>
                  </w:divBdr>
                  <w:divsChild>
                    <w:div w:id="344402399">
                      <w:marLeft w:val="0"/>
                      <w:marRight w:val="0"/>
                      <w:marTop w:val="0"/>
                      <w:marBottom w:val="0"/>
                      <w:divBdr>
                        <w:top w:val="none" w:sz="0" w:space="0" w:color="auto"/>
                        <w:left w:val="none" w:sz="0" w:space="0" w:color="auto"/>
                        <w:bottom w:val="none" w:sz="0" w:space="0" w:color="auto"/>
                        <w:right w:val="none" w:sz="0" w:space="0" w:color="auto"/>
                      </w:divBdr>
                    </w:div>
                  </w:divsChild>
                </w:div>
                <w:div w:id="1473714473">
                  <w:marLeft w:val="0"/>
                  <w:marRight w:val="0"/>
                  <w:marTop w:val="0"/>
                  <w:marBottom w:val="0"/>
                  <w:divBdr>
                    <w:top w:val="none" w:sz="0" w:space="0" w:color="auto"/>
                    <w:left w:val="none" w:sz="0" w:space="0" w:color="auto"/>
                    <w:bottom w:val="none" w:sz="0" w:space="0" w:color="auto"/>
                    <w:right w:val="none" w:sz="0" w:space="0" w:color="auto"/>
                  </w:divBdr>
                  <w:divsChild>
                    <w:div w:id="1886409479">
                      <w:marLeft w:val="0"/>
                      <w:marRight w:val="0"/>
                      <w:marTop w:val="0"/>
                      <w:marBottom w:val="0"/>
                      <w:divBdr>
                        <w:top w:val="none" w:sz="0" w:space="0" w:color="auto"/>
                        <w:left w:val="none" w:sz="0" w:space="0" w:color="auto"/>
                        <w:bottom w:val="none" w:sz="0" w:space="0" w:color="auto"/>
                        <w:right w:val="none" w:sz="0" w:space="0" w:color="auto"/>
                      </w:divBdr>
                    </w:div>
                  </w:divsChild>
                </w:div>
                <w:div w:id="1478914289">
                  <w:marLeft w:val="0"/>
                  <w:marRight w:val="0"/>
                  <w:marTop w:val="0"/>
                  <w:marBottom w:val="0"/>
                  <w:divBdr>
                    <w:top w:val="none" w:sz="0" w:space="0" w:color="auto"/>
                    <w:left w:val="none" w:sz="0" w:space="0" w:color="auto"/>
                    <w:bottom w:val="none" w:sz="0" w:space="0" w:color="auto"/>
                    <w:right w:val="none" w:sz="0" w:space="0" w:color="auto"/>
                  </w:divBdr>
                  <w:divsChild>
                    <w:div w:id="486869865">
                      <w:marLeft w:val="0"/>
                      <w:marRight w:val="0"/>
                      <w:marTop w:val="0"/>
                      <w:marBottom w:val="0"/>
                      <w:divBdr>
                        <w:top w:val="none" w:sz="0" w:space="0" w:color="auto"/>
                        <w:left w:val="none" w:sz="0" w:space="0" w:color="auto"/>
                        <w:bottom w:val="none" w:sz="0" w:space="0" w:color="auto"/>
                        <w:right w:val="none" w:sz="0" w:space="0" w:color="auto"/>
                      </w:divBdr>
                    </w:div>
                  </w:divsChild>
                </w:div>
                <w:div w:id="1527908612">
                  <w:marLeft w:val="0"/>
                  <w:marRight w:val="0"/>
                  <w:marTop w:val="0"/>
                  <w:marBottom w:val="0"/>
                  <w:divBdr>
                    <w:top w:val="none" w:sz="0" w:space="0" w:color="auto"/>
                    <w:left w:val="none" w:sz="0" w:space="0" w:color="auto"/>
                    <w:bottom w:val="none" w:sz="0" w:space="0" w:color="auto"/>
                    <w:right w:val="none" w:sz="0" w:space="0" w:color="auto"/>
                  </w:divBdr>
                  <w:divsChild>
                    <w:div w:id="602226188">
                      <w:marLeft w:val="0"/>
                      <w:marRight w:val="0"/>
                      <w:marTop w:val="0"/>
                      <w:marBottom w:val="0"/>
                      <w:divBdr>
                        <w:top w:val="none" w:sz="0" w:space="0" w:color="auto"/>
                        <w:left w:val="none" w:sz="0" w:space="0" w:color="auto"/>
                        <w:bottom w:val="none" w:sz="0" w:space="0" w:color="auto"/>
                        <w:right w:val="none" w:sz="0" w:space="0" w:color="auto"/>
                      </w:divBdr>
                    </w:div>
                  </w:divsChild>
                </w:div>
                <w:div w:id="1547985341">
                  <w:marLeft w:val="0"/>
                  <w:marRight w:val="0"/>
                  <w:marTop w:val="0"/>
                  <w:marBottom w:val="0"/>
                  <w:divBdr>
                    <w:top w:val="none" w:sz="0" w:space="0" w:color="auto"/>
                    <w:left w:val="none" w:sz="0" w:space="0" w:color="auto"/>
                    <w:bottom w:val="none" w:sz="0" w:space="0" w:color="auto"/>
                    <w:right w:val="none" w:sz="0" w:space="0" w:color="auto"/>
                  </w:divBdr>
                  <w:divsChild>
                    <w:div w:id="1378311677">
                      <w:marLeft w:val="0"/>
                      <w:marRight w:val="0"/>
                      <w:marTop w:val="0"/>
                      <w:marBottom w:val="0"/>
                      <w:divBdr>
                        <w:top w:val="none" w:sz="0" w:space="0" w:color="auto"/>
                        <w:left w:val="none" w:sz="0" w:space="0" w:color="auto"/>
                        <w:bottom w:val="none" w:sz="0" w:space="0" w:color="auto"/>
                        <w:right w:val="none" w:sz="0" w:space="0" w:color="auto"/>
                      </w:divBdr>
                    </w:div>
                  </w:divsChild>
                </w:div>
                <w:div w:id="1573083735">
                  <w:marLeft w:val="0"/>
                  <w:marRight w:val="0"/>
                  <w:marTop w:val="0"/>
                  <w:marBottom w:val="0"/>
                  <w:divBdr>
                    <w:top w:val="none" w:sz="0" w:space="0" w:color="auto"/>
                    <w:left w:val="none" w:sz="0" w:space="0" w:color="auto"/>
                    <w:bottom w:val="none" w:sz="0" w:space="0" w:color="auto"/>
                    <w:right w:val="none" w:sz="0" w:space="0" w:color="auto"/>
                  </w:divBdr>
                  <w:divsChild>
                    <w:div w:id="1286353903">
                      <w:marLeft w:val="0"/>
                      <w:marRight w:val="0"/>
                      <w:marTop w:val="0"/>
                      <w:marBottom w:val="0"/>
                      <w:divBdr>
                        <w:top w:val="none" w:sz="0" w:space="0" w:color="auto"/>
                        <w:left w:val="none" w:sz="0" w:space="0" w:color="auto"/>
                        <w:bottom w:val="none" w:sz="0" w:space="0" w:color="auto"/>
                        <w:right w:val="none" w:sz="0" w:space="0" w:color="auto"/>
                      </w:divBdr>
                    </w:div>
                  </w:divsChild>
                </w:div>
                <w:div w:id="1656110261">
                  <w:marLeft w:val="0"/>
                  <w:marRight w:val="0"/>
                  <w:marTop w:val="0"/>
                  <w:marBottom w:val="0"/>
                  <w:divBdr>
                    <w:top w:val="none" w:sz="0" w:space="0" w:color="auto"/>
                    <w:left w:val="none" w:sz="0" w:space="0" w:color="auto"/>
                    <w:bottom w:val="none" w:sz="0" w:space="0" w:color="auto"/>
                    <w:right w:val="none" w:sz="0" w:space="0" w:color="auto"/>
                  </w:divBdr>
                  <w:divsChild>
                    <w:div w:id="1931234665">
                      <w:marLeft w:val="0"/>
                      <w:marRight w:val="0"/>
                      <w:marTop w:val="0"/>
                      <w:marBottom w:val="0"/>
                      <w:divBdr>
                        <w:top w:val="none" w:sz="0" w:space="0" w:color="auto"/>
                        <w:left w:val="none" w:sz="0" w:space="0" w:color="auto"/>
                        <w:bottom w:val="none" w:sz="0" w:space="0" w:color="auto"/>
                        <w:right w:val="none" w:sz="0" w:space="0" w:color="auto"/>
                      </w:divBdr>
                    </w:div>
                  </w:divsChild>
                </w:div>
                <w:div w:id="1658681916">
                  <w:marLeft w:val="0"/>
                  <w:marRight w:val="0"/>
                  <w:marTop w:val="0"/>
                  <w:marBottom w:val="0"/>
                  <w:divBdr>
                    <w:top w:val="none" w:sz="0" w:space="0" w:color="auto"/>
                    <w:left w:val="none" w:sz="0" w:space="0" w:color="auto"/>
                    <w:bottom w:val="none" w:sz="0" w:space="0" w:color="auto"/>
                    <w:right w:val="none" w:sz="0" w:space="0" w:color="auto"/>
                  </w:divBdr>
                  <w:divsChild>
                    <w:div w:id="880089069">
                      <w:marLeft w:val="0"/>
                      <w:marRight w:val="0"/>
                      <w:marTop w:val="0"/>
                      <w:marBottom w:val="0"/>
                      <w:divBdr>
                        <w:top w:val="none" w:sz="0" w:space="0" w:color="auto"/>
                        <w:left w:val="none" w:sz="0" w:space="0" w:color="auto"/>
                        <w:bottom w:val="none" w:sz="0" w:space="0" w:color="auto"/>
                        <w:right w:val="none" w:sz="0" w:space="0" w:color="auto"/>
                      </w:divBdr>
                    </w:div>
                  </w:divsChild>
                </w:div>
                <w:div w:id="1767653107">
                  <w:marLeft w:val="0"/>
                  <w:marRight w:val="0"/>
                  <w:marTop w:val="0"/>
                  <w:marBottom w:val="0"/>
                  <w:divBdr>
                    <w:top w:val="none" w:sz="0" w:space="0" w:color="auto"/>
                    <w:left w:val="none" w:sz="0" w:space="0" w:color="auto"/>
                    <w:bottom w:val="none" w:sz="0" w:space="0" w:color="auto"/>
                    <w:right w:val="none" w:sz="0" w:space="0" w:color="auto"/>
                  </w:divBdr>
                  <w:divsChild>
                    <w:div w:id="461963770">
                      <w:marLeft w:val="0"/>
                      <w:marRight w:val="0"/>
                      <w:marTop w:val="0"/>
                      <w:marBottom w:val="0"/>
                      <w:divBdr>
                        <w:top w:val="none" w:sz="0" w:space="0" w:color="auto"/>
                        <w:left w:val="none" w:sz="0" w:space="0" w:color="auto"/>
                        <w:bottom w:val="none" w:sz="0" w:space="0" w:color="auto"/>
                        <w:right w:val="none" w:sz="0" w:space="0" w:color="auto"/>
                      </w:divBdr>
                    </w:div>
                  </w:divsChild>
                </w:div>
                <w:div w:id="1787432183">
                  <w:marLeft w:val="0"/>
                  <w:marRight w:val="0"/>
                  <w:marTop w:val="0"/>
                  <w:marBottom w:val="0"/>
                  <w:divBdr>
                    <w:top w:val="none" w:sz="0" w:space="0" w:color="auto"/>
                    <w:left w:val="none" w:sz="0" w:space="0" w:color="auto"/>
                    <w:bottom w:val="none" w:sz="0" w:space="0" w:color="auto"/>
                    <w:right w:val="none" w:sz="0" w:space="0" w:color="auto"/>
                  </w:divBdr>
                  <w:divsChild>
                    <w:div w:id="1547522283">
                      <w:marLeft w:val="0"/>
                      <w:marRight w:val="0"/>
                      <w:marTop w:val="0"/>
                      <w:marBottom w:val="0"/>
                      <w:divBdr>
                        <w:top w:val="none" w:sz="0" w:space="0" w:color="auto"/>
                        <w:left w:val="none" w:sz="0" w:space="0" w:color="auto"/>
                        <w:bottom w:val="none" w:sz="0" w:space="0" w:color="auto"/>
                        <w:right w:val="none" w:sz="0" w:space="0" w:color="auto"/>
                      </w:divBdr>
                    </w:div>
                  </w:divsChild>
                </w:div>
                <w:div w:id="1812165919">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sChild>
                </w:div>
                <w:div w:id="1910843346">
                  <w:marLeft w:val="0"/>
                  <w:marRight w:val="0"/>
                  <w:marTop w:val="0"/>
                  <w:marBottom w:val="0"/>
                  <w:divBdr>
                    <w:top w:val="none" w:sz="0" w:space="0" w:color="auto"/>
                    <w:left w:val="none" w:sz="0" w:space="0" w:color="auto"/>
                    <w:bottom w:val="none" w:sz="0" w:space="0" w:color="auto"/>
                    <w:right w:val="none" w:sz="0" w:space="0" w:color="auto"/>
                  </w:divBdr>
                  <w:divsChild>
                    <w:div w:id="1140346361">
                      <w:marLeft w:val="0"/>
                      <w:marRight w:val="0"/>
                      <w:marTop w:val="0"/>
                      <w:marBottom w:val="0"/>
                      <w:divBdr>
                        <w:top w:val="none" w:sz="0" w:space="0" w:color="auto"/>
                        <w:left w:val="none" w:sz="0" w:space="0" w:color="auto"/>
                        <w:bottom w:val="none" w:sz="0" w:space="0" w:color="auto"/>
                        <w:right w:val="none" w:sz="0" w:space="0" w:color="auto"/>
                      </w:divBdr>
                    </w:div>
                  </w:divsChild>
                </w:div>
                <w:div w:id="1962763441">
                  <w:marLeft w:val="0"/>
                  <w:marRight w:val="0"/>
                  <w:marTop w:val="0"/>
                  <w:marBottom w:val="0"/>
                  <w:divBdr>
                    <w:top w:val="none" w:sz="0" w:space="0" w:color="auto"/>
                    <w:left w:val="none" w:sz="0" w:space="0" w:color="auto"/>
                    <w:bottom w:val="none" w:sz="0" w:space="0" w:color="auto"/>
                    <w:right w:val="none" w:sz="0" w:space="0" w:color="auto"/>
                  </w:divBdr>
                  <w:divsChild>
                    <w:div w:id="540869322">
                      <w:marLeft w:val="0"/>
                      <w:marRight w:val="0"/>
                      <w:marTop w:val="0"/>
                      <w:marBottom w:val="0"/>
                      <w:divBdr>
                        <w:top w:val="none" w:sz="0" w:space="0" w:color="auto"/>
                        <w:left w:val="none" w:sz="0" w:space="0" w:color="auto"/>
                        <w:bottom w:val="none" w:sz="0" w:space="0" w:color="auto"/>
                        <w:right w:val="none" w:sz="0" w:space="0" w:color="auto"/>
                      </w:divBdr>
                    </w:div>
                  </w:divsChild>
                </w:div>
                <w:div w:id="1992060578">
                  <w:marLeft w:val="0"/>
                  <w:marRight w:val="0"/>
                  <w:marTop w:val="0"/>
                  <w:marBottom w:val="0"/>
                  <w:divBdr>
                    <w:top w:val="none" w:sz="0" w:space="0" w:color="auto"/>
                    <w:left w:val="none" w:sz="0" w:space="0" w:color="auto"/>
                    <w:bottom w:val="none" w:sz="0" w:space="0" w:color="auto"/>
                    <w:right w:val="none" w:sz="0" w:space="0" w:color="auto"/>
                  </w:divBdr>
                  <w:divsChild>
                    <w:div w:id="1278684329">
                      <w:marLeft w:val="0"/>
                      <w:marRight w:val="0"/>
                      <w:marTop w:val="0"/>
                      <w:marBottom w:val="0"/>
                      <w:divBdr>
                        <w:top w:val="none" w:sz="0" w:space="0" w:color="auto"/>
                        <w:left w:val="none" w:sz="0" w:space="0" w:color="auto"/>
                        <w:bottom w:val="none" w:sz="0" w:space="0" w:color="auto"/>
                        <w:right w:val="none" w:sz="0" w:space="0" w:color="auto"/>
                      </w:divBdr>
                    </w:div>
                  </w:divsChild>
                </w:div>
                <w:div w:id="2005164013">
                  <w:marLeft w:val="0"/>
                  <w:marRight w:val="0"/>
                  <w:marTop w:val="0"/>
                  <w:marBottom w:val="0"/>
                  <w:divBdr>
                    <w:top w:val="none" w:sz="0" w:space="0" w:color="auto"/>
                    <w:left w:val="none" w:sz="0" w:space="0" w:color="auto"/>
                    <w:bottom w:val="none" w:sz="0" w:space="0" w:color="auto"/>
                    <w:right w:val="none" w:sz="0" w:space="0" w:color="auto"/>
                  </w:divBdr>
                  <w:divsChild>
                    <w:div w:id="2132550258">
                      <w:marLeft w:val="0"/>
                      <w:marRight w:val="0"/>
                      <w:marTop w:val="0"/>
                      <w:marBottom w:val="0"/>
                      <w:divBdr>
                        <w:top w:val="none" w:sz="0" w:space="0" w:color="auto"/>
                        <w:left w:val="none" w:sz="0" w:space="0" w:color="auto"/>
                        <w:bottom w:val="none" w:sz="0" w:space="0" w:color="auto"/>
                        <w:right w:val="none" w:sz="0" w:space="0" w:color="auto"/>
                      </w:divBdr>
                    </w:div>
                  </w:divsChild>
                </w:div>
                <w:div w:id="2029210015">
                  <w:marLeft w:val="0"/>
                  <w:marRight w:val="0"/>
                  <w:marTop w:val="0"/>
                  <w:marBottom w:val="0"/>
                  <w:divBdr>
                    <w:top w:val="none" w:sz="0" w:space="0" w:color="auto"/>
                    <w:left w:val="none" w:sz="0" w:space="0" w:color="auto"/>
                    <w:bottom w:val="none" w:sz="0" w:space="0" w:color="auto"/>
                    <w:right w:val="none" w:sz="0" w:space="0" w:color="auto"/>
                  </w:divBdr>
                  <w:divsChild>
                    <w:div w:id="940648367">
                      <w:marLeft w:val="0"/>
                      <w:marRight w:val="0"/>
                      <w:marTop w:val="0"/>
                      <w:marBottom w:val="0"/>
                      <w:divBdr>
                        <w:top w:val="none" w:sz="0" w:space="0" w:color="auto"/>
                        <w:left w:val="none" w:sz="0" w:space="0" w:color="auto"/>
                        <w:bottom w:val="none" w:sz="0" w:space="0" w:color="auto"/>
                        <w:right w:val="none" w:sz="0" w:space="0" w:color="auto"/>
                      </w:divBdr>
                    </w:div>
                  </w:divsChild>
                </w:div>
                <w:div w:id="2056735445">
                  <w:marLeft w:val="0"/>
                  <w:marRight w:val="0"/>
                  <w:marTop w:val="0"/>
                  <w:marBottom w:val="0"/>
                  <w:divBdr>
                    <w:top w:val="none" w:sz="0" w:space="0" w:color="auto"/>
                    <w:left w:val="none" w:sz="0" w:space="0" w:color="auto"/>
                    <w:bottom w:val="none" w:sz="0" w:space="0" w:color="auto"/>
                    <w:right w:val="none" w:sz="0" w:space="0" w:color="auto"/>
                  </w:divBdr>
                  <w:divsChild>
                    <w:div w:id="2011641810">
                      <w:marLeft w:val="0"/>
                      <w:marRight w:val="0"/>
                      <w:marTop w:val="0"/>
                      <w:marBottom w:val="0"/>
                      <w:divBdr>
                        <w:top w:val="none" w:sz="0" w:space="0" w:color="auto"/>
                        <w:left w:val="none" w:sz="0" w:space="0" w:color="auto"/>
                        <w:bottom w:val="none" w:sz="0" w:space="0" w:color="auto"/>
                        <w:right w:val="none" w:sz="0" w:space="0" w:color="auto"/>
                      </w:divBdr>
                    </w:div>
                  </w:divsChild>
                </w:div>
                <w:div w:id="2146309343">
                  <w:marLeft w:val="0"/>
                  <w:marRight w:val="0"/>
                  <w:marTop w:val="0"/>
                  <w:marBottom w:val="0"/>
                  <w:divBdr>
                    <w:top w:val="none" w:sz="0" w:space="0" w:color="auto"/>
                    <w:left w:val="none" w:sz="0" w:space="0" w:color="auto"/>
                    <w:bottom w:val="none" w:sz="0" w:space="0" w:color="auto"/>
                    <w:right w:val="none" w:sz="0" w:space="0" w:color="auto"/>
                  </w:divBdr>
                  <w:divsChild>
                    <w:div w:id="1115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1259">
          <w:marLeft w:val="0"/>
          <w:marRight w:val="0"/>
          <w:marTop w:val="0"/>
          <w:marBottom w:val="0"/>
          <w:divBdr>
            <w:top w:val="none" w:sz="0" w:space="0" w:color="auto"/>
            <w:left w:val="none" w:sz="0" w:space="0" w:color="auto"/>
            <w:bottom w:val="none" w:sz="0" w:space="0" w:color="auto"/>
            <w:right w:val="none" w:sz="0" w:space="0" w:color="auto"/>
          </w:divBdr>
        </w:div>
        <w:div w:id="586380445">
          <w:marLeft w:val="0"/>
          <w:marRight w:val="0"/>
          <w:marTop w:val="0"/>
          <w:marBottom w:val="0"/>
          <w:divBdr>
            <w:top w:val="none" w:sz="0" w:space="0" w:color="auto"/>
            <w:left w:val="none" w:sz="0" w:space="0" w:color="auto"/>
            <w:bottom w:val="none" w:sz="0" w:space="0" w:color="auto"/>
            <w:right w:val="none" w:sz="0" w:space="0" w:color="auto"/>
          </w:divBdr>
        </w:div>
        <w:div w:id="590162476">
          <w:marLeft w:val="0"/>
          <w:marRight w:val="0"/>
          <w:marTop w:val="0"/>
          <w:marBottom w:val="0"/>
          <w:divBdr>
            <w:top w:val="none" w:sz="0" w:space="0" w:color="auto"/>
            <w:left w:val="none" w:sz="0" w:space="0" w:color="auto"/>
            <w:bottom w:val="none" w:sz="0" w:space="0" w:color="auto"/>
            <w:right w:val="none" w:sz="0" w:space="0" w:color="auto"/>
          </w:divBdr>
          <w:divsChild>
            <w:div w:id="17200282">
              <w:marLeft w:val="0"/>
              <w:marRight w:val="0"/>
              <w:marTop w:val="0"/>
              <w:marBottom w:val="0"/>
              <w:divBdr>
                <w:top w:val="none" w:sz="0" w:space="0" w:color="auto"/>
                <w:left w:val="none" w:sz="0" w:space="0" w:color="auto"/>
                <w:bottom w:val="none" w:sz="0" w:space="0" w:color="auto"/>
                <w:right w:val="none" w:sz="0" w:space="0" w:color="auto"/>
              </w:divBdr>
            </w:div>
            <w:div w:id="84615983">
              <w:marLeft w:val="0"/>
              <w:marRight w:val="0"/>
              <w:marTop w:val="0"/>
              <w:marBottom w:val="0"/>
              <w:divBdr>
                <w:top w:val="none" w:sz="0" w:space="0" w:color="auto"/>
                <w:left w:val="none" w:sz="0" w:space="0" w:color="auto"/>
                <w:bottom w:val="none" w:sz="0" w:space="0" w:color="auto"/>
                <w:right w:val="none" w:sz="0" w:space="0" w:color="auto"/>
              </w:divBdr>
            </w:div>
            <w:div w:id="194394667">
              <w:marLeft w:val="0"/>
              <w:marRight w:val="0"/>
              <w:marTop w:val="0"/>
              <w:marBottom w:val="0"/>
              <w:divBdr>
                <w:top w:val="none" w:sz="0" w:space="0" w:color="auto"/>
                <w:left w:val="none" w:sz="0" w:space="0" w:color="auto"/>
                <w:bottom w:val="none" w:sz="0" w:space="0" w:color="auto"/>
                <w:right w:val="none" w:sz="0" w:space="0" w:color="auto"/>
              </w:divBdr>
            </w:div>
            <w:div w:id="539710810">
              <w:marLeft w:val="0"/>
              <w:marRight w:val="0"/>
              <w:marTop w:val="0"/>
              <w:marBottom w:val="0"/>
              <w:divBdr>
                <w:top w:val="none" w:sz="0" w:space="0" w:color="auto"/>
                <w:left w:val="none" w:sz="0" w:space="0" w:color="auto"/>
                <w:bottom w:val="none" w:sz="0" w:space="0" w:color="auto"/>
                <w:right w:val="none" w:sz="0" w:space="0" w:color="auto"/>
              </w:divBdr>
            </w:div>
            <w:div w:id="544608876">
              <w:marLeft w:val="0"/>
              <w:marRight w:val="0"/>
              <w:marTop w:val="0"/>
              <w:marBottom w:val="0"/>
              <w:divBdr>
                <w:top w:val="none" w:sz="0" w:space="0" w:color="auto"/>
                <w:left w:val="none" w:sz="0" w:space="0" w:color="auto"/>
                <w:bottom w:val="none" w:sz="0" w:space="0" w:color="auto"/>
                <w:right w:val="none" w:sz="0" w:space="0" w:color="auto"/>
              </w:divBdr>
            </w:div>
            <w:div w:id="677318168">
              <w:marLeft w:val="0"/>
              <w:marRight w:val="0"/>
              <w:marTop w:val="0"/>
              <w:marBottom w:val="0"/>
              <w:divBdr>
                <w:top w:val="none" w:sz="0" w:space="0" w:color="auto"/>
                <w:left w:val="none" w:sz="0" w:space="0" w:color="auto"/>
                <w:bottom w:val="none" w:sz="0" w:space="0" w:color="auto"/>
                <w:right w:val="none" w:sz="0" w:space="0" w:color="auto"/>
              </w:divBdr>
            </w:div>
            <w:div w:id="705908362">
              <w:marLeft w:val="0"/>
              <w:marRight w:val="0"/>
              <w:marTop w:val="0"/>
              <w:marBottom w:val="0"/>
              <w:divBdr>
                <w:top w:val="none" w:sz="0" w:space="0" w:color="auto"/>
                <w:left w:val="none" w:sz="0" w:space="0" w:color="auto"/>
                <w:bottom w:val="none" w:sz="0" w:space="0" w:color="auto"/>
                <w:right w:val="none" w:sz="0" w:space="0" w:color="auto"/>
              </w:divBdr>
            </w:div>
            <w:div w:id="707489637">
              <w:marLeft w:val="0"/>
              <w:marRight w:val="0"/>
              <w:marTop w:val="0"/>
              <w:marBottom w:val="0"/>
              <w:divBdr>
                <w:top w:val="none" w:sz="0" w:space="0" w:color="auto"/>
                <w:left w:val="none" w:sz="0" w:space="0" w:color="auto"/>
                <w:bottom w:val="none" w:sz="0" w:space="0" w:color="auto"/>
                <w:right w:val="none" w:sz="0" w:space="0" w:color="auto"/>
              </w:divBdr>
            </w:div>
            <w:div w:id="859658440">
              <w:marLeft w:val="0"/>
              <w:marRight w:val="0"/>
              <w:marTop w:val="0"/>
              <w:marBottom w:val="0"/>
              <w:divBdr>
                <w:top w:val="none" w:sz="0" w:space="0" w:color="auto"/>
                <w:left w:val="none" w:sz="0" w:space="0" w:color="auto"/>
                <w:bottom w:val="none" w:sz="0" w:space="0" w:color="auto"/>
                <w:right w:val="none" w:sz="0" w:space="0" w:color="auto"/>
              </w:divBdr>
            </w:div>
            <w:div w:id="1003557211">
              <w:marLeft w:val="0"/>
              <w:marRight w:val="0"/>
              <w:marTop w:val="0"/>
              <w:marBottom w:val="0"/>
              <w:divBdr>
                <w:top w:val="none" w:sz="0" w:space="0" w:color="auto"/>
                <w:left w:val="none" w:sz="0" w:space="0" w:color="auto"/>
                <w:bottom w:val="none" w:sz="0" w:space="0" w:color="auto"/>
                <w:right w:val="none" w:sz="0" w:space="0" w:color="auto"/>
              </w:divBdr>
            </w:div>
            <w:div w:id="1260674462">
              <w:marLeft w:val="0"/>
              <w:marRight w:val="0"/>
              <w:marTop w:val="0"/>
              <w:marBottom w:val="0"/>
              <w:divBdr>
                <w:top w:val="none" w:sz="0" w:space="0" w:color="auto"/>
                <w:left w:val="none" w:sz="0" w:space="0" w:color="auto"/>
                <w:bottom w:val="none" w:sz="0" w:space="0" w:color="auto"/>
                <w:right w:val="none" w:sz="0" w:space="0" w:color="auto"/>
              </w:divBdr>
            </w:div>
            <w:div w:id="1500148147">
              <w:marLeft w:val="0"/>
              <w:marRight w:val="0"/>
              <w:marTop w:val="0"/>
              <w:marBottom w:val="0"/>
              <w:divBdr>
                <w:top w:val="none" w:sz="0" w:space="0" w:color="auto"/>
                <w:left w:val="none" w:sz="0" w:space="0" w:color="auto"/>
                <w:bottom w:val="none" w:sz="0" w:space="0" w:color="auto"/>
                <w:right w:val="none" w:sz="0" w:space="0" w:color="auto"/>
              </w:divBdr>
            </w:div>
            <w:div w:id="1814716052">
              <w:marLeft w:val="0"/>
              <w:marRight w:val="0"/>
              <w:marTop w:val="0"/>
              <w:marBottom w:val="0"/>
              <w:divBdr>
                <w:top w:val="none" w:sz="0" w:space="0" w:color="auto"/>
                <w:left w:val="none" w:sz="0" w:space="0" w:color="auto"/>
                <w:bottom w:val="none" w:sz="0" w:space="0" w:color="auto"/>
                <w:right w:val="none" w:sz="0" w:space="0" w:color="auto"/>
              </w:divBdr>
            </w:div>
            <w:div w:id="1824393531">
              <w:marLeft w:val="0"/>
              <w:marRight w:val="0"/>
              <w:marTop w:val="0"/>
              <w:marBottom w:val="0"/>
              <w:divBdr>
                <w:top w:val="none" w:sz="0" w:space="0" w:color="auto"/>
                <w:left w:val="none" w:sz="0" w:space="0" w:color="auto"/>
                <w:bottom w:val="none" w:sz="0" w:space="0" w:color="auto"/>
                <w:right w:val="none" w:sz="0" w:space="0" w:color="auto"/>
              </w:divBdr>
            </w:div>
            <w:div w:id="2145805283">
              <w:marLeft w:val="0"/>
              <w:marRight w:val="0"/>
              <w:marTop w:val="0"/>
              <w:marBottom w:val="0"/>
              <w:divBdr>
                <w:top w:val="none" w:sz="0" w:space="0" w:color="auto"/>
                <w:left w:val="none" w:sz="0" w:space="0" w:color="auto"/>
                <w:bottom w:val="none" w:sz="0" w:space="0" w:color="auto"/>
                <w:right w:val="none" w:sz="0" w:space="0" w:color="auto"/>
              </w:divBdr>
            </w:div>
          </w:divsChild>
        </w:div>
        <w:div w:id="598369997">
          <w:marLeft w:val="0"/>
          <w:marRight w:val="0"/>
          <w:marTop w:val="0"/>
          <w:marBottom w:val="0"/>
          <w:divBdr>
            <w:top w:val="none" w:sz="0" w:space="0" w:color="auto"/>
            <w:left w:val="none" w:sz="0" w:space="0" w:color="auto"/>
            <w:bottom w:val="none" w:sz="0" w:space="0" w:color="auto"/>
            <w:right w:val="none" w:sz="0" w:space="0" w:color="auto"/>
          </w:divBdr>
        </w:div>
        <w:div w:id="694767543">
          <w:marLeft w:val="0"/>
          <w:marRight w:val="0"/>
          <w:marTop w:val="0"/>
          <w:marBottom w:val="0"/>
          <w:divBdr>
            <w:top w:val="none" w:sz="0" w:space="0" w:color="auto"/>
            <w:left w:val="none" w:sz="0" w:space="0" w:color="auto"/>
            <w:bottom w:val="none" w:sz="0" w:space="0" w:color="auto"/>
            <w:right w:val="none" w:sz="0" w:space="0" w:color="auto"/>
          </w:divBdr>
        </w:div>
        <w:div w:id="709648022">
          <w:marLeft w:val="0"/>
          <w:marRight w:val="0"/>
          <w:marTop w:val="0"/>
          <w:marBottom w:val="0"/>
          <w:divBdr>
            <w:top w:val="none" w:sz="0" w:space="0" w:color="auto"/>
            <w:left w:val="none" w:sz="0" w:space="0" w:color="auto"/>
            <w:bottom w:val="none" w:sz="0" w:space="0" w:color="auto"/>
            <w:right w:val="none" w:sz="0" w:space="0" w:color="auto"/>
          </w:divBdr>
        </w:div>
        <w:div w:id="791637126">
          <w:marLeft w:val="0"/>
          <w:marRight w:val="0"/>
          <w:marTop w:val="0"/>
          <w:marBottom w:val="0"/>
          <w:divBdr>
            <w:top w:val="none" w:sz="0" w:space="0" w:color="auto"/>
            <w:left w:val="none" w:sz="0" w:space="0" w:color="auto"/>
            <w:bottom w:val="none" w:sz="0" w:space="0" w:color="auto"/>
            <w:right w:val="none" w:sz="0" w:space="0" w:color="auto"/>
          </w:divBdr>
        </w:div>
        <w:div w:id="812530463">
          <w:marLeft w:val="0"/>
          <w:marRight w:val="0"/>
          <w:marTop w:val="0"/>
          <w:marBottom w:val="0"/>
          <w:divBdr>
            <w:top w:val="none" w:sz="0" w:space="0" w:color="auto"/>
            <w:left w:val="none" w:sz="0" w:space="0" w:color="auto"/>
            <w:bottom w:val="none" w:sz="0" w:space="0" w:color="auto"/>
            <w:right w:val="none" w:sz="0" w:space="0" w:color="auto"/>
          </w:divBdr>
        </w:div>
        <w:div w:id="993416956">
          <w:marLeft w:val="0"/>
          <w:marRight w:val="0"/>
          <w:marTop w:val="0"/>
          <w:marBottom w:val="0"/>
          <w:divBdr>
            <w:top w:val="none" w:sz="0" w:space="0" w:color="auto"/>
            <w:left w:val="none" w:sz="0" w:space="0" w:color="auto"/>
            <w:bottom w:val="none" w:sz="0" w:space="0" w:color="auto"/>
            <w:right w:val="none" w:sz="0" w:space="0" w:color="auto"/>
          </w:divBdr>
          <w:divsChild>
            <w:div w:id="224027827">
              <w:marLeft w:val="0"/>
              <w:marRight w:val="0"/>
              <w:marTop w:val="0"/>
              <w:marBottom w:val="0"/>
              <w:divBdr>
                <w:top w:val="none" w:sz="0" w:space="0" w:color="auto"/>
                <w:left w:val="none" w:sz="0" w:space="0" w:color="auto"/>
                <w:bottom w:val="none" w:sz="0" w:space="0" w:color="auto"/>
                <w:right w:val="none" w:sz="0" w:space="0" w:color="auto"/>
              </w:divBdr>
            </w:div>
            <w:div w:id="297761749">
              <w:marLeft w:val="0"/>
              <w:marRight w:val="0"/>
              <w:marTop w:val="0"/>
              <w:marBottom w:val="0"/>
              <w:divBdr>
                <w:top w:val="none" w:sz="0" w:space="0" w:color="auto"/>
                <w:left w:val="none" w:sz="0" w:space="0" w:color="auto"/>
                <w:bottom w:val="none" w:sz="0" w:space="0" w:color="auto"/>
                <w:right w:val="none" w:sz="0" w:space="0" w:color="auto"/>
              </w:divBdr>
            </w:div>
            <w:div w:id="343677576">
              <w:marLeft w:val="0"/>
              <w:marRight w:val="0"/>
              <w:marTop w:val="0"/>
              <w:marBottom w:val="0"/>
              <w:divBdr>
                <w:top w:val="none" w:sz="0" w:space="0" w:color="auto"/>
                <w:left w:val="none" w:sz="0" w:space="0" w:color="auto"/>
                <w:bottom w:val="none" w:sz="0" w:space="0" w:color="auto"/>
                <w:right w:val="none" w:sz="0" w:space="0" w:color="auto"/>
              </w:divBdr>
            </w:div>
            <w:div w:id="555506911">
              <w:marLeft w:val="0"/>
              <w:marRight w:val="0"/>
              <w:marTop w:val="0"/>
              <w:marBottom w:val="0"/>
              <w:divBdr>
                <w:top w:val="none" w:sz="0" w:space="0" w:color="auto"/>
                <w:left w:val="none" w:sz="0" w:space="0" w:color="auto"/>
                <w:bottom w:val="none" w:sz="0" w:space="0" w:color="auto"/>
                <w:right w:val="none" w:sz="0" w:space="0" w:color="auto"/>
              </w:divBdr>
            </w:div>
            <w:div w:id="769928599">
              <w:marLeft w:val="0"/>
              <w:marRight w:val="0"/>
              <w:marTop w:val="0"/>
              <w:marBottom w:val="0"/>
              <w:divBdr>
                <w:top w:val="none" w:sz="0" w:space="0" w:color="auto"/>
                <w:left w:val="none" w:sz="0" w:space="0" w:color="auto"/>
                <w:bottom w:val="none" w:sz="0" w:space="0" w:color="auto"/>
                <w:right w:val="none" w:sz="0" w:space="0" w:color="auto"/>
              </w:divBdr>
            </w:div>
            <w:div w:id="870610099">
              <w:marLeft w:val="0"/>
              <w:marRight w:val="0"/>
              <w:marTop w:val="0"/>
              <w:marBottom w:val="0"/>
              <w:divBdr>
                <w:top w:val="none" w:sz="0" w:space="0" w:color="auto"/>
                <w:left w:val="none" w:sz="0" w:space="0" w:color="auto"/>
                <w:bottom w:val="none" w:sz="0" w:space="0" w:color="auto"/>
                <w:right w:val="none" w:sz="0" w:space="0" w:color="auto"/>
              </w:divBdr>
            </w:div>
            <w:div w:id="871923122">
              <w:marLeft w:val="0"/>
              <w:marRight w:val="0"/>
              <w:marTop w:val="0"/>
              <w:marBottom w:val="0"/>
              <w:divBdr>
                <w:top w:val="none" w:sz="0" w:space="0" w:color="auto"/>
                <w:left w:val="none" w:sz="0" w:space="0" w:color="auto"/>
                <w:bottom w:val="none" w:sz="0" w:space="0" w:color="auto"/>
                <w:right w:val="none" w:sz="0" w:space="0" w:color="auto"/>
              </w:divBdr>
            </w:div>
            <w:div w:id="912813173">
              <w:marLeft w:val="0"/>
              <w:marRight w:val="0"/>
              <w:marTop w:val="0"/>
              <w:marBottom w:val="0"/>
              <w:divBdr>
                <w:top w:val="none" w:sz="0" w:space="0" w:color="auto"/>
                <w:left w:val="none" w:sz="0" w:space="0" w:color="auto"/>
                <w:bottom w:val="none" w:sz="0" w:space="0" w:color="auto"/>
                <w:right w:val="none" w:sz="0" w:space="0" w:color="auto"/>
              </w:divBdr>
            </w:div>
            <w:div w:id="1006786263">
              <w:marLeft w:val="0"/>
              <w:marRight w:val="0"/>
              <w:marTop w:val="0"/>
              <w:marBottom w:val="0"/>
              <w:divBdr>
                <w:top w:val="none" w:sz="0" w:space="0" w:color="auto"/>
                <w:left w:val="none" w:sz="0" w:space="0" w:color="auto"/>
                <w:bottom w:val="none" w:sz="0" w:space="0" w:color="auto"/>
                <w:right w:val="none" w:sz="0" w:space="0" w:color="auto"/>
              </w:divBdr>
            </w:div>
            <w:div w:id="1339313160">
              <w:marLeft w:val="0"/>
              <w:marRight w:val="0"/>
              <w:marTop w:val="0"/>
              <w:marBottom w:val="0"/>
              <w:divBdr>
                <w:top w:val="none" w:sz="0" w:space="0" w:color="auto"/>
                <w:left w:val="none" w:sz="0" w:space="0" w:color="auto"/>
                <w:bottom w:val="none" w:sz="0" w:space="0" w:color="auto"/>
                <w:right w:val="none" w:sz="0" w:space="0" w:color="auto"/>
              </w:divBdr>
            </w:div>
            <w:div w:id="1350643849">
              <w:marLeft w:val="0"/>
              <w:marRight w:val="0"/>
              <w:marTop w:val="0"/>
              <w:marBottom w:val="0"/>
              <w:divBdr>
                <w:top w:val="none" w:sz="0" w:space="0" w:color="auto"/>
                <w:left w:val="none" w:sz="0" w:space="0" w:color="auto"/>
                <w:bottom w:val="none" w:sz="0" w:space="0" w:color="auto"/>
                <w:right w:val="none" w:sz="0" w:space="0" w:color="auto"/>
              </w:divBdr>
            </w:div>
            <w:div w:id="1734616731">
              <w:marLeft w:val="0"/>
              <w:marRight w:val="0"/>
              <w:marTop w:val="0"/>
              <w:marBottom w:val="0"/>
              <w:divBdr>
                <w:top w:val="none" w:sz="0" w:space="0" w:color="auto"/>
                <w:left w:val="none" w:sz="0" w:space="0" w:color="auto"/>
                <w:bottom w:val="none" w:sz="0" w:space="0" w:color="auto"/>
                <w:right w:val="none" w:sz="0" w:space="0" w:color="auto"/>
              </w:divBdr>
            </w:div>
            <w:div w:id="1945141118">
              <w:marLeft w:val="0"/>
              <w:marRight w:val="0"/>
              <w:marTop w:val="0"/>
              <w:marBottom w:val="0"/>
              <w:divBdr>
                <w:top w:val="none" w:sz="0" w:space="0" w:color="auto"/>
                <w:left w:val="none" w:sz="0" w:space="0" w:color="auto"/>
                <w:bottom w:val="none" w:sz="0" w:space="0" w:color="auto"/>
                <w:right w:val="none" w:sz="0" w:space="0" w:color="auto"/>
              </w:divBdr>
            </w:div>
            <w:div w:id="1951547849">
              <w:marLeft w:val="0"/>
              <w:marRight w:val="0"/>
              <w:marTop w:val="0"/>
              <w:marBottom w:val="0"/>
              <w:divBdr>
                <w:top w:val="none" w:sz="0" w:space="0" w:color="auto"/>
                <w:left w:val="none" w:sz="0" w:space="0" w:color="auto"/>
                <w:bottom w:val="none" w:sz="0" w:space="0" w:color="auto"/>
                <w:right w:val="none" w:sz="0" w:space="0" w:color="auto"/>
              </w:divBdr>
            </w:div>
            <w:div w:id="2129271925">
              <w:marLeft w:val="0"/>
              <w:marRight w:val="0"/>
              <w:marTop w:val="0"/>
              <w:marBottom w:val="0"/>
              <w:divBdr>
                <w:top w:val="none" w:sz="0" w:space="0" w:color="auto"/>
                <w:left w:val="none" w:sz="0" w:space="0" w:color="auto"/>
                <w:bottom w:val="none" w:sz="0" w:space="0" w:color="auto"/>
                <w:right w:val="none" w:sz="0" w:space="0" w:color="auto"/>
              </w:divBdr>
            </w:div>
          </w:divsChild>
        </w:div>
        <w:div w:id="1006589796">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1085688042">
          <w:marLeft w:val="0"/>
          <w:marRight w:val="0"/>
          <w:marTop w:val="0"/>
          <w:marBottom w:val="0"/>
          <w:divBdr>
            <w:top w:val="none" w:sz="0" w:space="0" w:color="auto"/>
            <w:left w:val="none" w:sz="0" w:space="0" w:color="auto"/>
            <w:bottom w:val="none" w:sz="0" w:space="0" w:color="auto"/>
            <w:right w:val="none" w:sz="0" w:space="0" w:color="auto"/>
          </w:divBdr>
        </w:div>
        <w:div w:id="1235123782">
          <w:marLeft w:val="0"/>
          <w:marRight w:val="0"/>
          <w:marTop w:val="0"/>
          <w:marBottom w:val="0"/>
          <w:divBdr>
            <w:top w:val="none" w:sz="0" w:space="0" w:color="auto"/>
            <w:left w:val="none" w:sz="0" w:space="0" w:color="auto"/>
            <w:bottom w:val="none" w:sz="0" w:space="0" w:color="auto"/>
            <w:right w:val="none" w:sz="0" w:space="0" w:color="auto"/>
          </w:divBdr>
        </w:div>
        <w:div w:id="1311642466">
          <w:marLeft w:val="0"/>
          <w:marRight w:val="0"/>
          <w:marTop w:val="0"/>
          <w:marBottom w:val="0"/>
          <w:divBdr>
            <w:top w:val="none" w:sz="0" w:space="0" w:color="auto"/>
            <w:left w:val="none" w:sz="0" w:space="0" w:color="auto"/>
            <w:bottom w:val="none" w:sz="0" w:space="0" w:color="auto"/>
            <w:right w:val="none" w:sz="0" w:space="0" w:color="auto"/>
          </w:divBdr>
        </w:div>
        <w:div w:id="1335230558">
          <w:marLeft w:val="0"/>
          <w:marRight w:val="0"/>
          <w:marTop w:val="0"/>
          <w:marBottom w:val="0"/>
          <w:divBdr>
            <w:top w:val="none" w:sz="0" w:space="0" w:color="auto"/>
            <w:left w:val="none" w:sz="0" w:space="0" w:color="auto"/>
            <w:bottom w:val="none" w:sz="0" w:space="0" w:color="auto"/>
            <w:right w:val="none" w:sz="0" w:space="0" w:color="auto"/>
          </w:divBdr>
        </w:div>
        <w:div w:id="1376585985">
          <w:marLeft w:val="0"/>
          <w:marRight w:val="0"/>
          <w:marTop w:val="0"/>
          <w:marBottom w:val="0"/>
          <w:divBdr>
            <w:top w:val="none" w:sz="0" w:space="0" w:color="auto"/>
            <w:left w:val="none" w:sz="0" w:space="0" w:color="auto"/>
            <w:bottom w:val="none" w:sz="0" w:space="0" w:color="auto"/>
            <w:right w:val="none" w:sz="0" w:space="0" w:color="auto"/>
          </w:divBdr>
        </w:div>
        <w:div w:id="1400908708">
          <w:marLeft w:val="0"/>
          <w:marRight w:val="0"/>
          <w:marTop w:val="0"/>
          <w:marBottom w:val="0"/>
          <w:divBdr>
            <w:top w:val="none" w:sz="0" w:space="0" w:color="auto"/>
            <w:left w:val="none" w:sz="0" w:space="0" w:color="auto"/>
            <w:bottom w:val="none" w:sz="0" w:space="0" w:color="auto"/>
            <w:right w:val="none" w:sz="0" w:space="0" w:color="auto"/>
          </w:divBdr>
        </w:div>
        <w:div w:id="1404454116">
          <w:marLeft w:val="0"/>
          <w:marRight w:val="0"/>
          <w:marTop w:val="0"/>
          <w:marBottom w:val="0"/>
          <w:divBdr>
            <w:top w:val="none" w:sz="0" w:space="0" w:color="auto"/>
            <w:left w:val="none" w:sz="0" w:space="0" w:color="auto"/>
            <w:bottom w:val="none" w:sz="0" w:space="0" w:color="auto"/>
            <w:right w:val="none" w:sz="0" w:space="0" w:color="auto"/>
          </w:divBdr>
        </w:div>
        <w:div w:id="1440370851">
          <w:marLeft w:val="0"/>
          <w:marRight w:val="0"/>
          <w:marTop w:val="0"/>
          <w:marBottom w:val="0"/>
          <w:divBdr>
            <w:top w:val="none" w:sz="0" w:space="0" w:color="auto"/>
            <w:left w:val="none" w:sz="0" w:space="0" w:color="auto"/>
            <w:bottom w:val="none" w:sz="0" w:space="0" w:color="auto"/>
            <w:right w:val="none" w:sz="0" w:space="0" w:color="auto"/>
          </w:divBdr>
        </w:div>
        <w:div w:id="1455713051">
          <w:marLeft w:val="0"/>
          <w:marRight w:val="0"/>
          <w:marTop w:val="0"/>
          <w:marBottom w:val="0"/>
          <w:divBdr>
            <w:top w:val="none" w:sz="0" w:space="0" w:color="auto"/>
            <w:left w:val="none" w:sz="0" w:space="0" w:color="auto"/>
            <w:bottom w:val="none" w:sz="0" w:space="0" w:color="auto"/>
            <w:right w:val="none" w:sz="0" w:space="0" w:color="auto"/>
          </w:divBdr>
        </w:div>
        <w:div w:id="1611232257">
          <w:marLeft w:val="0"/>
          <w:marRight w:val="0"/>
          <w:marTop w:val="0"/>
          <w:marBottom w:val="0"/>
          <w:divBdr>
            <w:top w:val="none" w:sz="0" w:space="0" w:color="auto"/>
            <w:left w:val="none" w:sz="0" w:space="0" w:color="auto"/>
            <w:bottom w:val="none" w:sz="0" w:space="0" w:color="auto"/>
            <w:right w:val="none" w:sz="0" w:space="0" w:color="auto"/>
          </w:divBdr>
        </w:div>
        <w:div w:id="1683776437">
          <w:marLeft w:val="0"/>
          <w:marRight w:val="0"/>
          <w:marTop w:val="0"/>
          <w:marBottom w:val="0"/>
          <w:divBdr>
            <w:top w:val="none" w:sz="0" w:space="0" w:color="auto"/>
            <w:left w:val="none" w:sz="0" w:space="0" w:color="auto"/>
            <w:bottom w:val="none" w:sz="0" w:space="0" w:color="auto"/>
            <w:right w:val="none" w:sz="0" w:space="0" w:color="auto"/>
          </w:divBdr>
        </w:div>
        <w:div w:id="1779830634">
          <w:marLeft w:val="0"/>
          <w:marRight w:val="0"/>
          <w:marTop w:val="0"/>
          <w:marBottom w:val="0"/>
          <w:divBdr>
            <w:top w:val="none" w:sz="0" w:space="0" w:color="auto"/>
            <w:left w:val="none" w:sz="0" w:space="0" w:color="auto"/>
            <w:bottom w:val="none" w:sz="0" w:space="0" w:color="auto"/>
            <w:right w:val="none" w:sz="0" w:space="0" w:color="auto"/>
          </w:divBdr>
        </w:div>
        <w:div w:id="1810047314">
          <w:marLeft w:val="0"/>
          <w:marRight w:val="0"/>
          <w:marTop w:val="0"/>
          <w:marBottom w:val="0"/>
          <w:divBdr>
            <w:top w:val="none" w:sz="0" w:space="0" w:color="auto"/>
            <w:left w:val="none" w:sz="0" w:space="0" w:color="auto"/>
            <w:bottom w:val="none" w:sz="0" w:space="0" w:color="auto"/>
            <w:right w:val="none" w:sz="0" w:space="0" w:color="auto"/>
          </w:divBdr>
        </w:div>
        <w:div w:id="1890261667">
          <w:marLeft w:val="0"/>
          <w:marRight w:val="0"/>
          <w:marTop w:val="0"/>
          <w:marBottom w:val="0"/>
          <w:divBdr>
            <w:top w:val="none" w:sz="0" w:space="0" w:color="auto"/>
            <w:left w:val="none" w:sz="0" w:space="0" w:color="auto"/>
            <w:bottom w:val="none" w:sz="0" w:space="0" w:color="auto"/>
            <w:right w:val="none" w:sz="0" w:space="0" w:color="auto"/>
          </w:divBdr>
        </w:div>
        <w:div w:id="2037581943">
          <w:marLeft w:val="0"/>
          <w:marRight w:val="0"/>
          <w:marTop w:val="0"/>
          <w:marBottom w:val="0"/>
          <w:divBdr>
            <w:top w:val="none" w:sz="0" w:space="0" w:color="auto"/>
            <w:left w:val="none" w:sz="0" w:space="0" w:color="auto"/>
            <w:bottom w:val="none" w:sz="0" w:space="0" w:color="auto"/>
            <w:right w:val="none" w:sz="0" w:space="0" w:color="auto"/>
          </w:divBdr>
        </w:div>
        <w:div w:id="2048749807">
          <w:marLeft w:val="0"/>
          <w:marRight w:val="0"/>
          <w:marTop w:val="0"/>
          <w:marBottom w:val="0"/>
          <w:divBdr>
            <w:top w:val="none" w:sz="0" w:space="0" w:color="auto"/>
            <w:left w:val="none" w:sz="0" w:space="0" w:color="auto"/>
            <w:bottom w:val="none" w:sz="0" w:space="0" w:color="auto"/>
            <w:right w:val="none" w:sz="0" w:space="0" w:color="auto"/>
          </w:divBdr>
        </w:div>
        <w:div w:id="2093160325">
          <w:marLeft w:val="0"/>
          <w:marRight w:val="0"/>
          <w:marTop w:val="0"/>
          <w:marBottom w:val="0"/>
          <w:divBdr>
            <w:top w:val="none" w:sz="0" w:space="0" w:color="auto"/>
            <w:left w:val="none" w:sz="0" w:space="0" w:color="auto"/>
            <w:bottom w:val="none" w:sz="0" w:space="0" w:color="auto"/>
            <w:right w:val="none" w:sz="0" w:space="0" w:color="auto"/>
          </w:divBdr>
        </w:div>
        <w:div w:id="2123960727">
          <w:marLeft w:val="0"/>
          <w:marRight w:val="0"/>
          <w:marTop w:val="0"/>
          <w:marBottom w:val="0"/>
          <w:divBdr>
            <w:top w:val="none" w:sz="0" w:space="0" w:color="auto"/>
            <w:left w:val="none" w:sz="0" w:space="0" w:color="auto"/>
            <w:bottom w:val="none" w:sz="0" w:space="0" w:color="auto"/>
            <w:right w:val="none" w:sz="0" w:space="0" w:color="auto"/>
          </w:divBdr>
        </w:div>
      </w:divsChild>
    </w:div>
    <w:div w:id="1751804403">
      <w:bodyDiv w:val="1"/>
      <w:marLeft w:val="0"/>
      <w:marRight w:val="0"/>
      <w:marTop w:val="0"/>
      <w:marBottom w:val="0"/>
      <w:divBdr>
        <w:top w:val="none" w:sz="0" w:space="0" w:color="auto"/>
        <w:left w:val="none" w:sz="0" w:space="0" w:color="auto"/>
        <w:bottom w:val="none" w:sz="0" w:space="0" w:color="auto"/>
        <w:right w:val="none" w:sz="0" w:space="0" w:color="auto"/>
      </w:divBdr>
    </w:div>
    <w:div w:id="2001083238">
      <w:bodyDiv w:val="1"/>
      <w:marLeft w:val="0"/>
      <w:marRight w:val="0"/>
      <w:marTop w:val="0"/>
      <w:marBottom w:val="0"/>
      <w:divBdr>
        <w:top w:val="none" w:sz="0" w:space="0" w:color="auto"/>
        <w:left w:val="none" w:sz="0" w:space="0" w:color="auto"/>
        <w:bottom w:val="none" w:sz="0" w:space="0" w:color="auto"/>
        <w:right w:val="none" w:sz="0" w:space="0" w:color="auto"/>
      </w:divBdr>
      <w:divsChild>
        <w:div w:id="982152353">
          <w:marLeft w:val="0"/>
          <w:marRight w:val="0"/>
          <w:marTop w:val="0"/>
          <w:marBottom w:val="0"/>
          <w:divBdr>
            <w:top w:val="none" w:sz="0" w:space="0" w:color="auto"/>
            <w:left w:val="none" w:sz="0" w:space="0" w:color="auto"/>
            <w:bottom w:val="none" w:sz="0" w:space="0" w:color="auto"/>
            <w:right w:val="none" w:sz="0" w:space="0" w:color="auto"/>
          </w:divBdr>
        </w:div>
        <w:div w:id="1355224704">
          <w:marLeft w:val="0"/>
          <w:marRight w:val="0"/>
          <w:marTop w:val="0"/>
          <w:marBottom w:val="0"/>
          <w:divBdr>
            <w:top w:val="none" w:sz="0" w:space="0" w:color="auto"/>
            <w:left w:val="none" w:sz="0" w:space="0" w:color="auto"/>
            <w:bottom w:val="none" w:sz="0" w:space="0" w:color="auto"/>
            <w:right w:val="none" w:sz="0" w:space="0" w:color="auto"/>
          </w:divBdr>
        </w:div>
        <w:div w:id="1433285198">
          <w:marLeft w:val="0"/>
          <w:marRight w:val="0"/>
          <w:marTop w:val="0"/>
          <w:marBottom w:val="0"/>
          <w:divBdr>
            <w:top w:val="none" w:sz="0" w:space="0" w:color="auto"/>
            <w:left w:val="none" w:sz="0" w:space="0" w:color="auto"/>
            <w:bottom w:val="none" w:sz="0" w:space="0" w:color="auto"/>
            <w:right w:val="none" w:sz="0" w:space="0" w:color="auto"/>
          </w:divBdr>
        </w:div>
        <w:div w:id="2065059337">
          <w:marLeft w:val="0"/>
          <w:marRight w:val="0"/>
          <w:marTop w:val="0"/>
          <w:marBottom w:val="0"/>
          <w:divBdr>
            <w:top w:val="none" w:sz="0" w:space="0" w:color="auto"/>
            <w:left w:val="none" w:sz="0" w:space="0" w:color="auto"/>
            <w:bottom w:val="none" w:sz="0" w:space="0" w:color="auto"/>
            <w:right w:val="none" w:sz="0" w:space="0" w:color="auto"/>
          </w:divBdr>
          <w:divsChild>
            <w:div w:id="237055304">
              <w:marLeft w:val="0"/>
              <w:marRight w:val="0"/>
              <w:marTop w:val="0"/>
              <w:marBottom w:val="0"/>
              <w:divBdr>
                <w:top w:val="none" w:sz="0" w:space="0" w:color="auto"/>
                <w:left w:val="none" w:sz="0" w:space="0" w:color="auto"/>
                <w:bottom w:val="none" w:sz="0" w:space="0" w:color="auto"/>
                <w:right w:val="none" w:sz="0" w:space="0" w:color="auto"/>
              </w:divBdr>
            </w:div>
            <w:div w:id="337276458">
              <w:marLeft w:val="0"/>
              <w:marRight w:val="0"/>
              <w:marTop w:val="0"/>
              <w:marBottom w:val="0"/>
              <w:divBdr>
                <w:top w:val="none" w:sz="0" w:space="0" w:color="auto"/>
                <w:left w:val="none" w:sz="0" w:space="0" w:color="auto"/>
                <w:bottom w:val="none" w:sz="0" w:space="0" w:color="auto"/>
                <w:right w:val="none" w:sz="0" w:space="0" w:color="auto"/>
              </w:divBdr>
            </w:div>
            <w:div w:id="368146245">
              <w:marLeft w:val="0"/>
              <w:marRight w:val="0"/>
              <w:marTop w:val="0"/>
              <w:marBottom w:val="0"/>
              <w:divBdr>
                <w:top w:val="none" w:sz="0" w:space="0" w:color="auto"/>
                <w:left w:val="none" w:sz="0" w:space="0" w:color="auto"/>
                <w:bottom w:val="none" w:sz="0" w:space="0" w:color="auto"/>
                <w:right w:val="none" w:sz="0" w:space="0" w:color="auto"/>
              </w:divBdr>
            </w:div>
            <w:div w:id="710569613">
              <w:marLeft w:val="0"/>
              <w:marRight w:val="0"/>
              <w:marTop w:val="0"/>
              <w:marBottom w:val="0"/>
              <w:divBdr>
                <w:top w:val="none" w:sz="0" w:space="0" w:color="auto"/>
                <w:left w:val="none" w:sz="0" w:space="0" w:color="auto"/>
                <w:bottom w:val="none" w:sz="0" w:space="0" w:color="auto"/>
                <w:right w:val="none" w:sz="0" w:space="0" w:color="auto"/>
              </w:divBdr>
            </w:div>
            <w:div w:id="769203656">
              <w:marLeft w:val="0"/>
              <w:marRight w:val="0"/>
              <w:marTop w:val="0"/>
              <w:marBottom w:val="0"/>
              <w:divBdr>
                <w:top w:val="none" w:sz="0" w:space="0" w:color="auto"/>
                <w:left w:val="none" w:sz="0" w:space="0" w:color="auto"/>
                <w:bottom w:val="none" w:sz="0" w:space="0" w:color="auto"/>
                <w:right w:val="none" w:sz="0" w:space="0" w:color="auto"/>
              </w:divBdr>
            </w:div>
            <w:div w:id="815492234">
              <w:marLeft w:val="0"/>
              <w:marRight w:val="0"/>
              <w:marTop w:val="0"/>
              <w:marBottom w:val="0"/>
              <w:divBdr>
                <w:top w:val="none" w:sz="0" w:space="0" w:color="auto"/>
                <w:left w:val="none" w:sz="0" w:space="0" w:color="auto"/>
                <w:bottom w:val="none" w:sz="0" w:space="0" w:color="auto"/>
                <w:right w:val="none" w:sz="0" w:space="0" w:color="auto"/>
              </w:divBdr>
            </w:div>
            <w:div w:id="979383396">
              <w:marLeft w:val="0"/>
              <w:marRight w:val="0"/>
              <w:marTop w:val="0"/>
              <w:marBottom w:val="0"/>
              <w:divBdr>
                <w:top w:val="none" w:sz="0" w:space="0" w:color="auto"/>
                <w:left w:val="none" w:sz="0" w:space="0" w:color="auto"/>
                <w:bottom w:val="none" w:sz="0" w:space="0" w:color="auto"/>
                <w:right w:val="none" w:sz="0" w:space="0" w:color="auto"/>
              </w:divBdr>
            </w:div>
            <w:div w:id="1003320028">
              <w:marLeft w:val="0"/>
              <w:marRight w:val="0"/>
              <w:marTop w:val="0"/>
              <w:marBottom w:val="0"/>
              <w:divBdr>
                <w:top w:val="none" w:sz="0" w:space="0" w:color="auto"/>
                <w:left w:val="none" w:sz="0" w:space="0" w:color="auto"/>
                <w:bottom w:val="none" w:sz="0" w:space="0" w:color="auto"/>
                <w:right w:val="none" w:sz="0" w:space="0" w:color="auto"/>
              </w:divBdr>
            </w:div>
            <w:div w:id="1006053087">
              <w:marLeft w:val="0"/>
              <w:marRight w:val="0"/>
              <w:marTop w:val="0"/>
              <w:marBottom w:val="0"/>
              <w:divBdr>
                <w:top w:val="none" w:sz="0" w:space="0" w:color="auto"/>
                <w:left w:val="none" w:sz="0" w:space="0" w:color="auto"/>
                <w:bottom w:val="none" w:sz="0" w:space="0" w:color="auto"/>
                <w:right w:val="none" w:sz="0" w:space="0" w:color="auto"/>
              </w:divBdr>
            </w:div>
            <w:div w:id="1037003481">
              <w:marLeft w:val="0"/>
              <w:marRight w:val="0"/>
              <w:marTop w:val="0"/>
              <w:marBottom w:val="0"/>
              <w:divBdr>
                <w:top w:val="none" w:sz="0" w:space="0" w:color="auto"/>
                <w:left w:val="none" w:sz="0" w:space="0" w:color="auto"/>
                <w:bottom w:val="none" w:sz="0" w:space="0" w:color="auto"/>
                <w:right w:val="none" w:sz="0" w:space="0" w:color="auto"/>
              </w:divBdr>
            </w:div>
            <w:div w:id="1134836863">
              <w:marLeft w:val="0"/>
              <w:marRight w:val="0"/>
              <w:marTop w:val="0"/>
              <w:marBottom w:val="0"/>
              <w:divBdr>
                <w:top w:val="none" w:sz="0" w:space="0" w:color="auto"/>
                <w:left w:val="none" w:sz="0" w:space="0" w:color="auto"/>
                <w:bottom w:val="none" w:sz="0" w:space="0" w:color="auto"/>
                <w:right w:val="none" w:sz="0" w:space="0" w:color="auto"/>
              </w:divBdr>
            </w:div>
            <w:div w:id="1168136751">
              <w:marLeft w:val="0"/>
              <w:marRight w:val="0"/>
              <w:marTop w:val="0"/>
              <w:marBottom w:val="0"/>
              <w:divBdr>
                <w:top w:val="none" w:sz="0" w:space="0" w:color="auto"/>
                <w:left w:val="none" w:sz="0" w:space="0" w:color="auto"/>
                <w:bottom w:val="none" w:sz="0" w:space="0" w:color="auto"/>
                <w:right w:val="none" w:sz="0" w:space="0" w:color="auto"/>
              </w:divBdr>
            </w:div>
            <w:div w:id="1204369804">
              <w:marLeft w:val="0"/>
              <w:marRight w:val="0"/>
              <w:marTop w:val="0"/>
              <w:marBottom w:val="0"/>
              <w:divBdr>
                <w:top w:val="none" w:sz="0" w:space="0" w:color="auto"/>
                <w:left w:val="none" w:sz="0" w:space="0" w:color="auto"/>
                <w:bottom w:val="none" w:sz="0" w:space="0" w:color="auto"/>
                <w:right w:val="none" w:sz="0" w:space="0" w:color="auto"/>
              </w:divBdr>
            </w:div>
            <w:div w:id="1389378026">
              <w:marLeft w:val="0"/>
              <w:marRight w:val="0"/>
              <w:marTop w:val="0"/>
              <w:marBottom w:val="0"/>
              <w:divBdr>
                <w:top w:val="none" w:sz="0" w:space="0" w:color="auto"/>
                <w:left w:val="none" w:sz="0" w:space="0" w:color="auto"/>
                <w:bottom w:val="none" w:sz="0" w:space="0" w:color="auto"/>
                <w:right w:val="none" w:sz="0" w:space="0" w:color="auto"/>
              </w:divBdr>
            </w:div>
            <w:div w:id="1486824128">
              <w:marLeft w:val="0"/>
              <w:marRight w:val="0"/>
              <w:marTop w:val="0"/>
              <w:marBottom w:val="0"/>
              <w:divBdr>
                <w:top w:val="none" w:sz="0" w:space="0" w:color="auto"/>
                <w:left w:val="none" w:sz="0" w:space="0" w:color="auto"/>
                <w:bottom w:val="none" w:sz="0" w:space="0" w:color="auto"/>
                <w:right w:val="none" w:sz="0" w:space="0" w:color="auto"/>
              </w:divBdr>
            </w:div>
            <w:div w:id="1526943025">
              <w:marLeft w:val="0"/>
              <w:marRight w:val="0"/>
              <w:marTop w:val="0"/>
              <w:marBottom w:val="0"/>
              <w:divBdr>
                <w:top w:val="none" w:sz="0" w:space="0" w:color="auto"/>
                <w:left w:val="none" w:sz="0" w:space="0" w:color="auto"/>
                <w:bottom w:val="none" w:sz="0" w:space="0" w:color="auto"/>
                <w:right w:val="none" w:sz="0" w:space="0" w:color="auto"/>
              </w:divBdr>
            </w:div>
            <w:div w:id="1547137338">
              <w:marLeft w:val="0"/>
              <w:marRight w:val="0"/>
              <w:marTop w:val="0"/>
              <w:marBottom w:val="0"/>
              <w:divBdr>
                <w:top w:val="none" w:sz="0" w:space="0" w:color="auto"/>
                <w:left w:val="none" w:sz="0" w:space="0" w:color="auto"/>
                <w:bottom w:val="none" w:sz="0" w:space="0" w:color="auto"/>
                <w:right w:val="none" w:sz="0" w:space="0" w:color="auto"/>
              </w:divBdr>
            </w:div>
            <w:div w:id="1660771736">
              <w:marLeft w:val="0"/>
              <w:marRight w:val="0"/>
              <w:marTop w:val="0"/>
              <w:marBottom w:val="0"/>
              <w:divBdr>
                <w:top w:val="none" w:sz="0" w:space="0" w:color="auto"/>
                <w:left w:val="none" w:sz="0" w:space="0" w:color="auto"/>
                <w:bottom w:val="none" w:sz="0" w:space="0" w:color="auto"/>
                <w:right w:val="none" w:sz="0" w:space="0" w:color="auto"/>
              </w:divBdr>
            </w:div>
            <w:div w:id="1827434167">
              <w:marLeft w:val="0"/>
              <w:marRight w:val="0"/>
              <w:marTop w:val="0"/>
              <w:marBottom w:val="0"/>
              <w:divBdr>
                <w:top w:val="none" w:sz="0" w:space="0" w:color="auto"/>
                <w:left w:val="none" w:sz="0" w:space="0" w:color="auto"/>
                <w:bottom w:val="none" w:sz="0" w:space="0" w:color="auto"/>
                <w:right w:val="none" w:sz="0" w:space="0" w:color="auto"/>
              </w:divBdr>
            </w:div>
            <w:div w:id="2022470992">
              <w:marLeft w:val="0"/>
              <w:marRight w:val="0"/>
              <w:marTop w:val="0"/>
              <w:marBottom w:val="0"/>
              <w:divBdr>
                <w:top w:val="none" w:sz="0" w:space="0" w:color="auto"/>
                <w:left w:val="none" w:sz="0" w:space="0" w:color="auto"/>
                <w:bottom w:val="none" w:sz="0" w:space="0" w:color="auto"/>
                <w:right w:val="none" w:sz="0" w:space="0" w:color="auto"/>
              </w:divBdr>
            </w:div>
          </w:divsChild>
        </w:div>
        <w:div w:id="2090886670">
          <w:marLeft w:val="0"/>
          <w:marRight w:val="0"/>
          <w:marTop w:val="0"/>
          <w:marBottom w:val="0"/>
          <w:divBdr>
            <w:top w:val="none" w:sz="0" w:space="0" w:color="auto"/>
            <w:left w:val="none" w:sz="0" w:space="0" w:color="auto"/>
            <w:bottom w:val="none" w:sz="0" w:space="0" w:color="auto"/>
            <w:right w:val="none" w:sz="0" w:space="0" w:color="auto"/>
          </w:divBdr>
        </w:div>
      </w:divsChild>
    </w:div>
    <w:div w:id="2030636730">
      <w:bodyDiv w:val="1"/>
      <w:marLeft w:val="0"/>
      <w:marRight w:val="0"/>
      <w:marTop w:val="0"/>
      <w:marBottom w:val="0"/>
      <w:divBdr>
        <w:top w:val="none" w:sz="0" w:space="0" w:color="auto"/>
        <w:left w:val="none" w:sz="0" w:space="0" w:color="auto"/>
        <w:bottom w:val="none" w:sz="0" w:space="0" w:color="auto"/>
        <w:right w:val="none" w:sz="0" w:space="0" w:color="auto"/>
      </w:divBdr>
      <w:divsChild>
        <w:div w:id="165175231">
          <w:marLeft w:val="0"/>
          <w:marRight w:val="0"/>
          <w:marTop w:val="0"/>
          <w:marBottom w:val="0"/>
          <w:divBdr>
            <w:top w:val="none" w:sz="0" w:space="0" w:color="auto"/>
            <w:left w:val="none" w:sz="0" w:space="0" w:color="auto"/>
            <w:bottom w:val="none" w:sz="0" w:space="0" w:color="auto"/>
            <w:right w:val="none" w:sz="0" w:space="0" w:color="auto"/>
          </w:divBdr>
          <w:divsChild>
            <w:div w:id="224268773">
              <w:marLeft w:val="0"/>
              <w:marRight w:val="0"/>
              <w:marTop w:val="0"/>
              <w:marBottom w:val="0"/>
              <w:divBdr>
                <w:top w:val="none" w:sz="0" w:space="0" w:color="auto"/>
                <w:left w:val="none" w:sz="0" w:space="0" w:color="auto"/>
                <w:bottom w:val="none" w:sz="0" w:space="0" w:color="auto"/>
                <w:right w:val="none" w:sz="0" w:space="0" w:color="auto"/>
              </w:divBdr>
            </w:div>
          </w:divsChild>
        </w:div>
        <w:div w:id="697701810">
          <w:marLeft w:val="0"/>
          <w:marRight w:val="0"/>
          <w:marTop w:val="0"/>
          <w:marBottom w:val="0"/>
          <w:divBdr>
            <w:top w:val="none" w:sz="0" w:space="0" w:color="auto"/>
            <w:left w:val="none" w:sz="0" w:space="0" w:color="auto"/>
            <w:bottom w:val="none" w:sz="0" w:space="0" w:color="auto"/>
            <w:right w:val="none" w:sz="0" w:space="0" w:color="auto"/>
          </w:divBdr>
          <w:divsChild>
            <w:div w:id="668556729">
              <w:marLeft w:val="0"/>
              <w:marRight w:val="0"/>
              <w:marTop w:val="0"/>
              <w:marBottom w:val="0"/>
              <w:divBdr>
                <w:top w:val="none" w:sz="0" w:space="0" w:color="auto"/>
                <w:left w:val="none" w:sz="0" w:space="0" w:color="auto"/>
                <w:bottom w:val="none" w:sz="0" w:space="0" w:color="auto"/>
                <w:right w:val="none" w:sz="0" w:space="0" w:color="auto"/>
              </w:divBdr>
            </w:div>
          </w:divsChild>
        </w:div>
        <w:div w:id="1520698422">
          <w:marLeft w:val="0"/>
          <w:marRight w:val="0"/>
          <w:marTop w:val="0"/>
          <w:marBottom w:val="0"/>
          <w:divBdr>
            <w:top w:val="none" w:sz="0" w:space="0" w:color="auto"/>
            <w:left w:val="none" w:sz="0" w:space="0" w:color="auto"/>
            <w:bottom w:val="none" w:sz="0" w:space="0" w:color="auto"/>
            <w:right w:val="none" w:sz="0" w:space="0" w:color="auto"/>
          </w:divBdr>
          <w:divsChild>
            <w:div w:id="13706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9.xml"/><Relationship Id="rId39" Type="http://schemas.openxmlformats.org/officeDocument/2006/relationships/chart" Target="charts/chart7.xml"/><Relationship Id="rId21" Type="http://schemas.openxmlformats.org/officeDocument/2006/relationships/header" Target="header5.xml"/><Relationship Id="rId34" Type="http://schemas.openxmlformats.org/officeDocument/2006/relationships/chart" Target="charts/chart2.xml"/><Relationship Id="rId42" Type="http://schemas.openxmlformats.org/officeDocument/2006/relationships/chart" Target="charts/chart10.xml"/><Relationship Id="rId47" Type="http://schemas.microsoft.com/office/2007/relationships/diagramDrawing" Target="diagrams/drawing1.xml"/><Relationship Id="rId50" Type="http://schemas.openxmlformats.org/officeDocument/2006/relationships/diagramQuickStyle" Target="diagrams/quickStyle2.xml"/><Relationship Id="rId55" Type="http://schemas.openxmlformats.org/officeDocument/2006/relationships/diagramQuickStyle" Target="diagrams/quickStyle3.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0.jpeg"/><Relationship Id="rId41" Type="http://schemas.openxmlformats.org/officeDocument/2006/relationships/chart" Target="charts/chart9.xml"/><Relationship Id="rId54" Type="http://schemas.openxmlformats.org/officeDocument/2006/relationships/diagramLayout" Target="diagrams/layout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13.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diagramQuickStyle" Target="diagrams/quickStyle1.xml"/><Relationship Id="rId53" Type="http://schemas.openxmlformats.org/officeDocument/2006/relationships/diagramData" Target="diagrams/data3.xml"/><Relationship Id="rId58"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chart" Target="charts/chart4.xml"/><Relationship Id="rId49" Type="http://schemas.openxmlformats.org/officeDocument/2006/relationships/diagramLayout" Target="diagrams/layout2.xml"/><Relationship Id="rId57" Type="http://schemas.microsoft.com/office/2007/relationships/diagramDrawing" Target="diagrams/drawing3.xml"/><Relationship Id="rId61" Type="http://schemas.openxmlformats.org/officeDocument/2006/relationships/header" Target="header1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chart" Target="charts/chart3.xml"/><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diagramColors" Target="diagrams/colors3.xml"/><Relationship Id="rId8" Type="http://schemas.openxmlformats.org/officeDocument/2006/relationships/settings" Target="settings.xml"/><Relationship Id="rId51" Type="http://schemas.openxmlformats.org/officeDocument/2006/relationships/diagramColors" Target="diagrams/colors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diagramColors" Target="diagrams/colors1.xml"/><Relationship Id="rId59"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s://www.ledevoir.com/societe/sante/809214/societe-trans-subissent-contrecoups-desinformation-identite-genre" TargetMode="External"/><Relationship Id="rId117" Type="http://schemas.openxmlformats.org/officeDocument/2006/relationships/hyperlink" Target="https://www150.statcan.gc.ca/t1/tbl1/fr/cv.action?pid=3310009301" TargetMode="External"/><Relationship Id="rId21" Type="http://schemas.openxmlformats.org/officeDocument/2006/relationships/hyperlink" Target="https://cdn-contenu.quebec.ca/cdn-contenu/adm/gouv/homophobie-transphobie/RA-sondage-populationnel-diversite-sexuelle-genre-BLCHT.pdf" TargetMode="External"/><Relationship Id="rId42" Type="http://schemas.openxmlformats.org/officeDocument/2006/relationships/hyperlink" Target="https://numerique.banq.qc.ca/patrimoine/details/52327/4352460" TargetMode="External"/><Relationship Id="rId47" Type="http://schemas.openxmlformats.org/officeDocument/2006/relationships/hyperlink" Target="https://lgbtpurgefund.com/wp-content/uploads/2019/08/Entente-de-R%C3%A8glement-D%C3%A9finitive.pdf" TargetMode="External"/><Relationship Id="rId63" Type="http://schemas.openxmlformats.org/officeDocument/2006/relationships/hyperlink" Target="https://egale.ca/awareness/queering-sustainable-development-goals-canada/" TargetMode="External"/><Relationship Id="rId68" Type="http://schemas.openxmlformats.org/officeDocument/2006/relationships/hyperlink" Target="https://www.erudit.org/fr/revues/ref/2011-v17-n1-ref1812734/1005235ar/" TargetMode="External"/><Relationship Id="rId84" Type="http://schemas.openxmlformats.org/officeDocument/2006/relationships/hyperlink" Target="https://numerique.banq.qc.ca/patrimoine/details/52327/4791308" TargetMode="External"/><Relationship Id="rId89" Type="http://schemas.openxmlformats.org/officeDocument/2006/relationships/hyperlink" Target="https://www150.statcan.gc.ca/n1/daily-quotidien/210615/dq210615a-fra.htm" TargetMode="External"/><Relationship Id="rId112" Type="http://schemas.openxmlformats.org/officeDocument/2006/relationships/hyperlink" Target="https://statistique.quebec.ca/vitrine/egalite/dimensions-egalite/demographie/personnes-minorites-sexuelles-et-genre" TargetMode="External"/><Relationship Id="rId133" Type="http://schemas.openxmlformats.org/officeDocument/2006/relationships/hyperlink" Target="https://academic.oup.com/edited-volume/62239/chapter-abstract/550712181?redirectedFrom=fulltext" TargetMode="External"/><Relationship Id="rId16" Type="http://schemas.openxmlformats.org/officeDocument/2006/relationships/hyperlink" Target="https://www.24heures.ca/2024/02/26/de-plus-en-plus-dincidents-homophobes-et-transphobes-dans-les-ecoles-cest-surprenant-et-epeurant" TargetMode="External"/><Relationship Id="rId107" Type="http://schemas.openxmlformats.org/officeDocument/2006/relationships/hyperlink" Target="https://www.quebec.ca/nouvelles/actualites/details/mise-sur-pied-du-comite-de-sages-sur-lidentite-de-genre-52578" TargetMode="External"/><Relationship Id="rId11" Type="http://schemas.openxmlformats.org/officeDocument/2006/relationships/hyperlink" Target="https://www150.statcan.gc.ca/n1/fr/daily-quotidien/240725/dq240725b-fra.pdf?st=GOX9otPf" TargetMode="External"/><Relationship Id="rId32" Type="http://schemas.openxmlformats.org/officeDocument/2006/relationships/hyperlink" Target="https://e06ef624-6c85-4f0d-961f-a0bffcd58705.filesusr.com/ugd/cdd9d7_b137f00a55dc4154b1433b013083c1eb.pdf" TargetMode="External"/><Relationship Id="rId37" Type="http://schemas.openxmlformats.org/officeDocument/2006/relationships/hyperlink" Target="https://www.tandfonline.com/doi/full/10.1080/00918369.2022.2160941" TargetMode="External"/><Relationship Id="rId53" Type="http://schemas.openxmlformats.org/officeDocument/2006/relationships/hyperlink" Target="https://egale.ca/fr/awareness/tpc/" TargetMode="External"/><Relationship Id="rId58" Type="http://schemas.openxmlformats.org/officeDocument/2006/relationships/hyperlink" Target="https://dictionnaire.lerobert.com/definition/emploi" TargetMode="External"/><Relationship Id="rId74" Type="http://schemas.openxmlformats.org/officeDocument/2006/relationships/hyperlink" Target="https://shs.cairn.info/revue-travail-genre-et-societes-2023-1-page-27" TargetMode="External"/><Relationship Id="rId79" Type="http://schemas.openxmlformats.org/officeDocument/2006/relationships/hyperlink" Target="https://archipel.uqam.ca/9394/" TargetMode="External"/><Relationship Id="rId102" Type="http://schemas.openxmlformats.org/officeDocument/2006/relationships/hyperlink" Target="https://www.cdpdj.qc.ca/storage/app/media/publications/ra99.pdf" TargetMode="External"/><Relationship Id="rId123" Type="http://schemas.openxmlformats.org/officeDocument/2006/relationships/hyperlink" Target="https://doi.org/10.3138/cjhs.24.1-CO1" TargetMode="External"/><Relationship Id="rId128" Type="http://schemas.openxmlformats.org/officeDocument/2006/relationships/hyperlink" Target="https://www.ohrc.on.ca/sites/default/files/Pas%20au%20menu%20-%20Rapport%20d%27enqu%C3%AAte%20sur%20les%20codes%20vestimentaires%20sexualis%C3%A9s%20et%20fond%C3%A9s%20sur%20le%20sexe%20dans%20les%20restaurants%20de%20l%27Ontario.pdf" TargetMode="External"/><Relationship Id="rId5" Type="http://schemas.openxmlformats.org/officeDocument/2006/relationships/hyperlink" Target="https://www.cdpdj.qc.ca/storage/app/media/publications/memoire-reforme-droit-famille.pdf" TargetMode="External"/><Relationship Id="rId90" Type="http://schemas.openxmlformats.org/officeDocument/2006/relationships/hyperlink" Target="https://egale.ca/awareness/workplace-literature-review/" TargetMode="External"/><Relationship Id="rId95" Type="http://schemas.openxmlformats.org/officeDocument/2006/relationships/hyperlink" Target="https://cdpdj.qc.ca/storage/app/media/publications/Profilage_rapport_FR.pdf" TargetMode="External"/><Relationship Id="rId14" Type="http://schemas.openxmlformats.org/officeDocument/2006/relationships/hyperlink" Target="https://www.lapresse.ca/actualites/2024-08-31/attaques-contre-des-personnes-lgbtq2/c-est-a-cette-seconde-la-que-j-ai-compris-que-c-etait-un-guet-apens.php" TargetMode="External"/><Relationship Id="rId22" Type="http://schemas.openxmlformats.org/officeDocument/2006/relationships/hyperlink" Target="https://www.lapresse.ca/actualites/2024-07-13/graffitis-homophobes/une-vague-nous-sommes-fred-a-postes-canada.php" TargetMode="External"/><Relationship Id="rId27" Type="http://schemas.openxmlformats.org/officeDocument/2006/relationships/hyperlink" Target="https://www.cdpdj.qc.ca/storage/app/media/publications/memoire-identite-genre.pdf" TargetMode="External"/><Relationship Id="rId30" Type="http://schemas.openxmlformats.org/officeDocument/2006/relationships/hyperlink" Target="https://www.canada.ca/fr/emploi-developpement-social/ministere/portefeuille/travail/programmes/equite-emploi/rapports/groupe-examen-loi.html" TargetMode="External"/><Relationship Id="rId35" Type="http://schemas.openxmlformats.org/officeDocument/2006/relationships/hyperlink" Target="https://savie-lgbtq.uqam.ca/portrait-des-communautes-lgbtq-au-quebec-bilan-dune-enquete-historique-sur-leurs-experiences-dinclusion-et-dexclusion-sociales/" TargetMode="External"/><Relationship Id="rId43" Type="http://schemas.openxmlformats.org/officeDocument/2006/relationships/hyperlink" Target="https://cdn-contenu.quebec.ca/cdn-contenu/adm/gouv/homophobie-transphobie/Bilan_plan_action_LCHT_2011-2016_FR.pdf" TargetMode="External"/><Relationship Id="rId48" Type="http://schemas.openxmlformats.org/officeDocument/2006/relationships/hyperlink" Target="https://lefondspurgelgbt.com/wp-content/uploads/2021/05/Au-lendemain-de-la-Purge-final-mai-2021.pdf" TargetMode="External"/><Relationship Id="rId56" Type="http://schemas.openxmlformats.org/officeDocument/2006/relationships/hyperlink" Target="https://www.cclgbtq.org/fr/" TargetMode="External"/><Relationship Id="rId64" Type="http://schemas.openxmlformats.org/officeDocument/2006/relationships/hyperlink" Target="https://egale.ca/awareness/queering-sustainable-development-goals-canada/" TargetMode="External"/><Relationship Id="rId69" Type="http://schemas.openxmlformats.org/officeDocument/2006/relationships/hyperlink" Target="https://www.cnesst.gouv.qc.ca/sites/default/files/publications/loi-equite-salariale-un-apport-indeniable-pour-contrer-la-discrimination-salariale-rapport-ministre-du-travail-la-mise-en-uvre-de-la-loi-equite-salariale.pdf?cid=1597353456" TargetMode="External"/><Relationship Id="rId77" Type="http://schemas.openxmlformats.org/officeDocument/2006/relationships/hyperlink" Target="https://www.sciencedirect.com/science/article/pii/S187704281305252X" TargetMode="External"/><Relationship Id="rId100" Type="http://schemas.openxmlformats.org/officeDocument/2006/relationships/hyperlink" Target="https://statistique.quebec.ca/vitrine/egalite/dimensions-egalite/demographie/personnes-minorites-sexuelles-et-genre" TargetMode="External"/><Relationship Id="rId105" Type="http://schemas.openxmlformats.org/officeDocument/2006/relationships/hyperlink" Target="https://www.cdpdj.qc.ca/storage/app/media/publications/RA_2007_2008.pdf" TargetMode="External"/><Relationship Id="rId113" Type="http://schemas.openxmlformats.org/officeDocument/2006/relationships/hyperlink" Target="https://www150.statcan.gc.ca/t1/tbl1/fr/tv.action?pid=9810003601" TargetMode="External"/><Relationship Id="rId118" Type="http://schemas.openxmlformats.org/officeDocument/2006/relationships/hyperlink" Target="https://ised-isde.canada.ca/site/recherche-statistique-pme/fr/principales-statistiques-relatives-aux-petites-entreprises/principales-statistiques-relatives-aux-petites-entreprises-2024" TargetMode="External"/><Relationship Id="rId126" Type="http://schemas.openxmlformats.org/officeDocument/2006/relationships/hyperlink" Target="https://doi.org/10.1007/s12134-023-01039-3" TargetMode="External"/><Relationship Id="rId134" Type="http://schemas.openxmlformats.org/officeDocument/2006/relationships/hyperlink" Target="https://link.springer.com/article/10.1007/s13178-020-00462-w" TargetMode="External"/><Relationship Id="rId8" Type="http://schemas.openxmlformats.org/officeDocument/2006/relationships/hyperlink" Target="https://cdpdj.illuxi.com/activites/lgbtqi-4939-3826" TargetMode="External"/><Relationship Id="rId51" Type="http://schemas.openxmlformats.org/officeDocument/2006/relationships/hyperlink" Target="https://www.srdc.org/fr/project/creation-dune-base-de-connaissances-sur-les-inegalites-economiques-sociales-et-en-matiere-de-sante-auxquelles-sont-confrontees-les-personnes-lgbtq2s-au-canada/" TargetMode="External"/><Relationship Id="rId72" Type="http://schemas.openxmlformats.org/officeDocument/2006/relationships/hyperlink" Target="https://shs.cairn.info/revue-travail-genre-et-societes-2023-1-page-45" TargetMode="External"/><Relationship Id="rId80" Type="http://schemas.openxmlformats.org/officeDocument/2006/relationships/hyperlink" Target="https://srdc.org/wp-content/uploads/2022/06/wage-phase-3-final-report.pdf" TargetMode="External"/><Relationship Id="rId85" Type="http://schemas.openxmlformats.org/officeDocument/2006/relationships/hyperlink" Target="https://numerique.banq.qc.ca/patrimoine/details/52327/5072185" TargetMode="External"/><Relationship Id="rId93" Type="http://schemas.openxmlformats.org/officeDocument/2006/relationships/hyperlink" Target="https://statistique.quebec.ca/fr/document/la-presence-syndicale-au-quebec/tableau/taux-de-presence-syndicale-resultats-selon-le-sexe-pour-diverses-caracteristiques-de-la-main-doeuvre-et-de-lemploi-quebec-ontario-et-canada" TargetMode="External"/><Relationship Id="rId98" Type="http://schemas.openxmlformats.org/officeDocument/2006/relationships/hyperlink" Target="https://cdpdj.qc.ca/storage/app/media/blocs-informations/pour-en-savoir-plus-accommodement-raisonnable/Guide_virtuel_accommodement.pdf" TargetMode="External"/><Relationship Id="rId121" Type="http://schemas.openxmlformats.org/officeDocument/2006/relationships/hyperlink" Target="https://journals.openedition.org/gss/772" TargetMode="External"/><Relationship Id="rId3" Type="http://schemas.openxmlformats.org/officeDocument/2006/relationships/hyperlink" Target="https://www.cdpdj.qc.ca/storage/app/media/publications/rapport_consultation_homophobie_1994.pdf" TargetMode="External"/><Relationship Id="rId12" Type="http://schemas.openxmlformats.org/officeDocument/2006/relationships/hyperlink" Target="https://www.lapresse.ca/actualites/justice-et-faits-divers/2024-08-09/deux-personnes-lgbtq-victimes-d-un-guet-apens-en-estrie.php" TargetMode="External"/><Relationship Id="rId17" Type="http://schemas.openxmlformats.org/officeDocument/2006/relationships/hyperlink" Target="https://www.24heures.ca/2024/02/26/de-plus-en-plus-dincidents-homophobes-et-transphobes-dans-les-ecoles-cest-surprenant-et-epeurant" TargetMode="External"/><Relationship Id="rId25" Type="http://schemas.openxmlformats.org/officeDocument/2006/relationships/hyperlink" Target="https://www.lapresse.ca/affaires/entreprises/2024-09-06/politiques-de-diversite/molson-coors-prend-ses-distances.php" TargetMode="External"/><Relationship Id="rId33" Type="http://schemas.openxmlformats.org/officeDocument/2006/relationships/hyperlink" Target="https://www.cambridge.org/core/journals/canadian-journal-of-law-and-society-la-revue-canadienne-droit-et-societe/article/doing-transeconomic-justice-a-critique-of-antidiscrimination-laws-and-inclusive-employment-policies/FEEA47C6C38956D5A7731E4F1184CC28" TargetMode="External"/><Relationship Id="rId38" Type="http://schemas.openxmlformats.org/officeDocument/2006/relationships/hyperlink" Target="https://www.fondationemergence.org/ressources" TargetMode="External"/><Relationship Id="rId46" Type="http://schemas.openxmlformats.org/officeDocument/2006/relationships/hyperlink" Target="https://www.pm.gc.ca/fr/nouvelles/discours/2017/11/28/discours-du-premier-ministre-justin-trudeau-presenter-des-excuses-aux" TargetMode="External"/><Relationship Id="rId59" Type="http://schemas.openxmlformats.org/officeDocument/2006/relationships/hyperlink" Target="https://dictionnaire.lerobert.com/definition/travail" TargetMode="External"/><Relationship Id="rId67" Type="http://schemas.openxmlformats.org/officeDocument/2006/relationships/hyperlink" Target="https://www.defenseurdesdroits.fr/sites/default/files/2023-08/ddd_guide_discriminations_orientation-sexuelle-et-identite-genre_emploi_20190506.pdf" TargetMode="External"/><Relationship Id="rId103" Type="http://schemas.openxmlformats.org/officeDocument/2006/relationships/hyperlink" Target="https://www.cdpdj.qc.ca/storage/app/media/publications/ra_2000.pdf" TargetMode="External"/><Relationship Id="rId108" Type="http://schemas.openxmlformats.org/officeDocument/2006/relationships/hyperlink" Target="https://www.cdpdj.qc.ca/fr/publications/commentaires-sur-le-projet-de-17" TargetMode="External"/><Relationship Id="rId116" Type="http://schemas.openxmlformats.org/officeDocument/2006/relationships/hyperlink" Target="https://egale.ca/awareness/workplace-literature-review/" TargetMode="External"/><Relationship Id="rId124" Type="http://schemas.openxmlformats.org/officeDocument/2006/relationships/hyperlink" Target="https://www.mdpi.com/2076-328X/5/4/565" TargetMode="External"/><Relationship Id="rId129" Type="http://schemas.openxmlformats.org/officeDocument/2006/relationships/hyperlink" Target="https://savie-lgbtq.uqam.ca/personnes-lgbtq-en-region-2/" TargetMode="External"/><Relationship Id="rId20" Type="http://schemas.openxmlformats.org/officeDocument/2006/relationships/hyperlink" Target="https://ici.radio-canada.ca/nouvelle/2093741/securite-renforcee-festival-fierte-montreal" TargetMode="External"/><Relationship Id="rId41" Type="http://schemas.openxmlformats.org/officeDocument/2006/relationships/hyperlink" Target="https://www.gris.ca/de-lautre-cote-du-placard-petit-guide-du-coming-lintention-du-personnel-scolaire/" TargetMode="External"/><Relationship Id="rId54" Type="http://schemas.openxmlformats.org/officeDocument/2006/relationships/hyperlink" Target="https://ised-isde.canada.ca/site/isde/fr/defi-50-30-votre-avantage-diversite" TargetMode="External"/><Relationship Id="rId62" Type="http://schemas.openxmlformats.org/officeDocument/2006/relationships/hyperlink" Target="https://www150.statcan.gc.ca/n1/pub/91f0015m/91f0015m2025001-fra.htm" TargetMode="External"/><Relationship Id="rId70" Type="http://schemas.openxmlformats.org/officeDocument/2006/relationships/hyperlink" Target="https://www.cdpdj.qc.ca/fr/publications/situation-des-femmes-construction" TargetMode="External"/><Relationship Id="rId75" Type="http://schemas.openxmlformats.org/officeDocument/2006/relationships/hyperlink" Target="https://www.erudit.org/fr/revues/ref/2011-v17-n1-ref1812734/1005235ar/" TargetMode="External"/><Relationship Id="rId83" Type="http://schemas.openxmlformats.org/officeDocument/2006/relationships/hyperlink" Target="https://www.degruyterbrill.com/document/doi/10.2202/1935-1682.1862/html" TargetMode="External"/><Relationship Id="rId88" Type="http://schemas.openxmlformats.org/officeDocument/2006/relationships/hyperlink" Target="https://www.24heures.ca/2024/05/17/la-moitie-moins-dappels-pour-le-meme-cv" TargetMode="External"/><Relationship Id="rId91" Type="http://schemas.openxmlformats.org/officeDocument/2006/relationships/hyperlink" Target="https://www.canada.ca/fr/secretariat-conseil-tresor/services/innovation/statistiques-ressources-humaines/effectif-fonction-publique-federale-minstere.html" TargetMode="External"/><Relationship Id="rId96" Type="http://schemas.openxmlformats.org/officeDocument/2006/relationships/hyperlink" Target="https://www.cdpdj.qc.ca/storage/app/media/publications/Recruter-sans-discriminer_Guide.pdf" TargetMode="External"/><Relationship Id="rId111" Type="http://schemas.openxmlformats.org/officeDocument/2006/relationships/hyperlink" Target="https://journals.openedition.org/gss/772" TargetMode="External"/><Relationship Id="rId132" Type="http://schemas.openxmlformats.org/officeDocument/2006/relationships/hyperlink" Target="https://www.fondationemergence.org/nouvelles/lutter-contre-le-harcelement-psychologique-et-sexuel-en-milieu-de-travail" TargetMode="External"/><Relationship Id="rId1" Type="http://schemas.openxmlformats.org/officeDocument/2006/relationships/hyperlink" Target="https://savie-lgbtq.uqam.ca/projet/" TargetMode="External"/><Relationship Id="rId6" Type="http://schemas.openxmlformats.org/officeDocument/2006/relationships/hyperlink" Target="https://www.cdpdj.qc.ca/storage/app/media/publications/lettre_identite-genre.pdf" TargetMode="External"/><Relationship Id="rId15" Type="http://schemas.openxmlformats.org/officeDocument/2006/relationships/hyperlink" Target="https://www.gris.ca/app/uploads/2025/01/GRIS_rapport-final_30jan2025.pdf" TargetMode="External"/><Relationship Id="rId23" Type="http://schemas.openxmlformats.org/officeDocument/2006/relationships/hyperlink" Target="https://www.lapresse.ca/international/chroniques/2024-08-29/l-homme-qui-fait-trembler-corporate-america.php" TargetMode="External"/><Relationship Id="rId28" Type="http://schemas.openxmlformats.org/officeDocument/2006/relationships/hyperlink" Target="https://cdn-contenu.quebec.ca/cdn-contenu/adm/min/famille/publications-adm/publications-complementaires/Rapport-Csages-Volume1.pdf" TargetMode="External"/><Relationship Id="rId36" Type="http://schemas.openxmlformats.org/officeDocument/2006/relationships/hyperlink" Target="https://journals.openedition.org/gss/8428" TargetMode="External"/><Relationship Id="rId49" Type="http://schemas.openxmlformats.org/officeDocument/2006/relationships/hyperlink" Target="(https:/transpulsecanada.ca/fr/home-francais" TargetMode="External"/><Relationship Id="rId57" Type="http://schemas.openxmlformats.org/officeDocument/2006/relationships/hyperlink" Target="https://queerchamber.ca/fr/" TargetMode="External"/><Relationship Id="rId106" Type="http://schemas.openxmlformats.org/officeDocument/2006/relationships/hyperlink" Target="https://www.cdpdj.qc.ca/storage/app/media/publications/commentaires_plan_action_agression_sexuelle.pdf" TargetMode="External"/><Relationship Id="rId114" Type="http://schemas.openxmlformats.org/officeDocument/2006/relationships/hyperlink" Target="https://doi.org/10.1017/cls.2020.16" TargetMode="External"/><Relationship Id="rId119" Type="http://schemas.openxmlformats.org/officeDocument/2006/relationships/hyperlink" Target="https://www.cdpdj.qc.ca/fr/publications/etude-handicap-emploi" TargetMode="External"/><Relationship Id="rId127" Type="http://schemas.openxmlformats.org/officeDocument/2006/relationships/hyperlink" Target="https://dictionnaire.lerobert.com/definition/megenrer" TargetMode="External"/><Relationship Id="rId10" Type="http://schemas.openxmlformats.org/officeDocument/2006/relationships/hyperlink" Target="https://www150.statcan.gc.ca/n1/daily-quotidien/220427/dq220427b-fra.htm" TargetMode="External"/><Relationship Id="rId31" Type="http://schemas.openxmlformats.org/officeDocument/2006/relationships/hyperlink" Target="https://wyaj.uwindsor.ca/index.php/wyaj/article/view/5021" TargetMode="External"/><Relationship Id="rId44" Type="http://schemas.openxmlformats.org/officeDocument/2006/relationships/hyperlink" Target="https://cdn-contenu.quebec.ca/cdn-contenu/adm/gouv/homophobie-transphobie/PL_action_PLCHT_2017-2022_MJQ.pdf" TargetMode="External"/><Relationship Id="rId52" Type="http://schemas.openxmlformats.org/officeDocument/2006/relationships/hyperlink" Target="https://egale.ca/awareness/workplace-literature-review/" TargetMode="External"/><Relationship Id="rId60" Type="http://schemas.openxmlformats.org/officeDocument/2006/relationships/hyperlink" Target="https://transpulsecanada.ca/wp-content/uploads/2021/03/Sex-Work-PPCT-Report-EN-vFINAL-FINAL-ua.pdf" TargetMode="External"/><Relationship Id="rId65" Type="http://schemas.openxmlformats.org/officeDocument/2006/relationships/hyperlink" Target="https://egale.ca/awareness/not-under-my-roof/" TargetMode="External"/><Relationship Id="rId73" Type="http://schemas.openxmlformats.org/officeDocument/2006/relationships/hyperlink" Target="https://shs.cairn.info/revue-travail-genre-et-societes-2023-1-page-45" TargetMode="External"/><Relationship Id="rId78" Type="http://schemas.openxmlformats.org/officeDocument/2006/relationships/hyperlink" Target="https://link.springer.com/article/10.1007/s13178-021-00644-0" TargetMode="External"/><Relationship Id="rId81" Type="http://schemas.openxmlformats.org/officeDocument/2006/relationships/hyperlink" Target="https://www.erudit.org/fr/revues/rjs/2024-v7-n2-rjs09880/1116498ar/" TargetMode="External"/><Relationship Id="rId86" Type="http://schemas.openxmlformats.org/officeDocument/2006/relationships/hyperlink" Target="https://www150.statcan.gc.ca/n1/pub/89-28-0001/2022001/article/00003-fra.htm" TargetMode="External"/><Relationship Id="rId94" Type="http://schemas.openxmlformats.org/officeDocument/2006/relationships/hyperlink" Target="https://www.cdpdj.qc.ca/storage/app/media/publications/entente_CNESST-CDPDJ_harcelement.pdf" TargetMode="External"/><Relationship Id="rId99" Type="http://schemas.openxmlformats.org/officeDocument/2006/relationships/hyperlink" Target="https://cdpdj.qc.ca/fr/publications/autoformation-accommodement-raisonnable" TargetMode="External"/><Relationship Id="rId101" Type="http://schemas.openxmlformats.org/officeDocument/2006/relationships/hyperlink" Target="https://www.cdpdj.qc.ca/storage/app/media/publications/ra99.pdf" TargetMode="External"/><Relationship Id="rId122" Type="http://schemas.openxmlformats.org/officeDocument/2006/relationships/hyperlink" Target="https://www.erudit.org/fr/revues/nps/2014-v26-n2-nps01770/1029263ar/" TargetMode="External"/><Relationship Id="rId130" Type="http://schemas.openxmlformats.org/officeDocument/2006/relationships/hyperlink" Target="https://csf.gouv.qc.ca/wp-content/uploads/confAcfas2023_rRose-Lizee.pdf" TargetMode="External"/><Relationship Id="rId135" Type="http://schemas.openxmlformats.org/officeDocument/2006/relationships/hyperlink" Target="https://www.britannica.com/topic/sexism" TargetMode="External"/><Relationship Id="rId4" Type="http://schemas.openxmlformats.org/officeDocument/2006/relationships/hyperlink" Target="https://www.cdpdj.qc.ca/storage/app/media/publications/rapport_homophobie.pdf" TargetMode="External"/><Relationship Id="rId9" Type="http://schemas.openxmlformats.org/officeDocument/2006/relationships/hyperlink" Target="https://shiny.initiativesnumeriques.org/savie-dashboard/" TargetMode="External"/><Relationship Id="rId13" Type="http://schemas.openxmlformats.org/officeDocument/2006/relationships/hyperlink" Target="https://www.lapresse.ca/actualites/justice-et-faits-divers/2024-08-09/deux-personnes-lgbtq-victimes-d-un-guet-apens-en-estrie.php" TargetMode="External"/><Relationship Id="rId18" Type="http://schemas.openxmlformats.org/officeDocument/2006/relationships/hyperlink" Target="https://ici.radio-canada.ca/nouvelle/2093742/transphobie-homophobie-fierte-diversite-ottawa-gatineau" TargetMode="External"/><Relationship Id="rId39" Type="http://schemas.openxmlformats.org/officeDocument/2006/relationships/hyperlink" Target="https://www.fondationemergence.org/reseau-allie" TargetMode="External"/><Relationship Id="rId109" Type="http://schemas.openxmlformats.org/officeDocument/2006/relationships/hyperlink" Target="https://www150.statcan.gc.ca/t1/tbl1/fr/tv.action?pid=1310087601" TargetMode="External"/><Relationship Id="rId34" Type="http://schemas.openxmlformats.org/officeDocument/2006/relationships/hyperlink" Target="https://chairedspg.uqam.ca/bien-etre-inclusion-lgbtq2-milieu-travail/" TargetMode="External"/><Relationship Id="rId50" Type="http://schemas.openxmlformats.org/officeDocument/2006/relationships/hyperlink" Target="https://transpulsecanada.ca/results/leaf-gender-justice-now-2020-social-and-systemic-barriers-for-trans-and-non-binary-people-in-canada/" TargetMode="External"/><Relationship Id="rId55" Type="http://schemas.openxmlformats.org/officeDocument/2006/relationships/hyperlink" Target="https://www150.statcan.gc.ca/n1/daily-quotidien/220427/dq220427b-fra.htm?HPA=1" TargetMode="External"/><Relationship Id="rId76" Type="http://schemas.openxmlformats.org/officeDocument/2006/relationships/hyperlink" Target="https://www.inspq.qc.ca/intimidation/personnes-de-la-diversite-sexuelle-ou-de-genre" TargetMode="External"/><Relationship Id="rId97" Type="http://schemas.openxmlformats.org/officeDocument/2006/relationships/hyperlink" Target="https://www.cdpdj.qc.ca/storage/app/media/publications/accommodements_fondements_juridiques.pdf" TargetMode="External"/><Relationship Id="rId104" Type="http://schemas.openxmlformats.org/officeDocument/2006/relationships/hyperlink" Target="https://www.cdpdj.qc.ca/storage/app/media/publications/RA_2006_2007.pdf" TargetMode="External"/><Relationship Id="rId120" Type="http://schemas.openxmlformats.org/officeDocument/2006/relationships/hyperlink" Target="https://www.quebec.ca/famille-et-soutien-aux-personnes/enfance/developpement-des-enfants/consequences-stereotypes-developpement/definition-stereotypes" TargetMode="External"/><Relationship Id="rId125" Type="http://schemas.openxmlformats.org/officeDocument/2006/relationships/hyperlink" Target="https://savie-lgbtq.uqam.ca/journees-savie-lgbtq/" TargetMode="External"/><Relationship Id="rId7" Type="http://schemas.openxmlformats.org/officeDocument/2006/relationships/hyperlink" Target="https://transpulseproject.ca/wp-content/uploads/2015/06/Trans-PULSE-Statistics-Relevant-for-Human-Rights-Policy-June-2015.pdf" TargetMode="External"/><Relationship Id="rId71" Type="http://schemas.openxmlformats.org/officeDocument/2006/relationships/hyperlink" Target="https://srdc.org/wp-content/uploads/2023/09/2SLGBTQ-in-the-Trades-final-report.pdf" TargetMode="External"/><Relationship Id="rId92" Type="http://schemas.openxmlformats.org/officeDocument/2006/relationships/hyperlink" Target="https://www.canada.ca/fr/emploi-developpement-social/ministere/portefeuille/travail/programmes/normes-travail/rapports/document-discussion-portrait-secteur-prive-reglementation-federale.html" TargetMode="External"/><Relationship Id="rId2" Type="http://schemas.openxmlformats.org/officeDocument/2006/relationships/hyperlink" Target="https://www.cdpdj.qc.ca/storage/app/media/publications/bilan_charte_etude_2.pdf" TargetMode="External"/><Relationship Id="rId29" Type="http://schemas.openxmlformats.org/officeDocument/2006/relationships/hyperlink" Target="https://journals.plos.org/plosone/article?id=10.1371/journal.pone.0223372" TargetMode="External"/><Relationship Id="rId24" Type="http://schemas.openxmlformats.org/officeDocument/2006/relationships/hyperlink" Target="https://www.lapresse.ca/international/chroniques/2024-08-29/l-homme-qui-fait-trembler-corporate-america.php" TargetMode="External"/><Relationship Id="rId40" Type="http://schemas.openxmlformats.org/officeDocument/2006/relationships/hyperlink" Target="https://www.tgfm.org/files/Diversit%C3%A9%20sexuelle%20et%20de%20genre/5960-FE-TROUSSE-TRANS-WEB.pdf" TargetMode="External"/><Relationship Id="rId45" Type="http://schemas.openxmlformats.org/officeDocument/2006/relationships/hyperlink" Target="https://conseil-lgbt.ca/modedemploi/" TargetMode="External"/><Relationship Id="rId66" Type="http://schemas.openxmlformats.org/officeDocument/2006/relationships/hyperlink" Target="https://www.yorku.ca/laps/research/lgbtq2s-poverty/a-propos/quantitative/?lang=fr" TargetMode="External"/><Relationship Id="rId87" Type="http://schemas.openxmlformats.org/officeDocument/2006/relationships/hyperlink" Target="https://transpulsecanada.ca/fr/results/rapport-sante-et-bien-etre-chez-les-jeunes-trans-et-non-binaires/" TargetMode="External"/><Relationship Id="rId110" Type="http://schemas.openxmlformats.org/officeDocument/2006/relationships/hyperlink" Target="https://www.torontomu.ca/content/dam/diversity/reports/gender--diversity-and-discrimination-in-the-workplace/Genre,%20diversit%C3%A9%20et%20discrimination_FR.pdf" TargetMode="External"/><Relationship Id="rId115" Type="http://schemas.openxmlformats.org/officeDocument/2006/relationships/hyperlink" Target="https://www.canada.ca/fr/emploi-developpement-social/ministere/portefeuille/travail/programmes/equite-emploi/rapports/groupe-examen-loi.html" TargetMode="External"/><Relationship Id="rId131" Type="http://schemas.openxmlformats.org/officeDocument/2006/relationships/hyperlink" Target="https://doi.org/10.1007/s13178-021-00644-0" TargetMode="External"/><Relationship Id="rId61" Type="http://schemas.openxmlformats.org/officeDocument/2006/relationships/hyperlink" Target="https://onlinelibrary.wiley.com/doi/10.1111/j.1755-618X.1981.tb01234.x" TargetMode="External"/><Relationship Id="rId82" Type="http://schemas.openxmlformats.org/officeDocument/2006/relationships/hyperlink" Target="https://www150.statcan.gc.ca/n1/fr/pub/85-002-x/2020001/article/00009-fra.pdf?st=kO70nVrK" TargetMode="External"/><Relationship Id="rId19" Type="http://schemas.openxmlformats.org/officeDocument/2006/relationships/hyperlink" Target="https://cdn-contenu.quebec.ca/cdn-contenu/adm/gouv/homophobie-transphobie/PL-plan-action-homophobie-transphobie-2023-2028-BLCHT.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8.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3" Type="http://schemas.openxmlformats.org/officeDocument/2006/relationships/oleObject" Target="https://cdpdj.sharepoint.com/sites/Recherche/tude/2021-2022-128%20Analyse%20plaintes%20discriminations%20CDPDJ%20-%20SAVIE-LGBTQ/Donn&#233;es%20et%20graphiques/Donn&#233;es_Orient_sexe_Trans_Ident_genre_1976-2024_graphiqu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dpdj.sharepoint.com/sites/Recherche/tude/2021-2022-128%20Analyse%20plaintes%20discriminations%20CDPDJ%20-%20SAVIE-LGBTQ/Donn&#233;es%20et%20graphiques/OS_IEG_1-05-1978_au_31-03-2021_SB_20210609_pourAnalyseQuali_VRA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000" b="1">
                <a:solidFill>
                  <a:srgbClr val="001042"/>
                </a:solidFill>
                <a:effectLst/>
                <a:latin typeface="Aptos" panose="020B0004020202020204" pitchFamily="34" charset="0"/>
              </a:rPr>
              <a:t>Graphique 1 </a:t>
            </a:r>
            <a:br>
              <a:rPr lang="fr-CA" sz="1000">
                <a:effectLst/>
                <a:latin typeface="Aptos" panose="020B0004020202020204" pitchFamily="34" charset="0"/>
              </a:rPr>
            </a:br>
            <a:r>
              <a:rPr lang="fr-CA" sz="1000">
                <a:solidFill>
                  <a:srgbClr val="001042"/>
                </a:solidFill>
                <a:effectLst/>
                <a:latin typeface="Aptos" panose="020B0004020202020204" pitchFamily="34" charset="0"/>
              </a:rPr>
              <a:t>Évolution du nombre de plaintes pour discrimination en emploi reçues annuellement selon le motif (1994 –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9569090803986589E-2"/>
          <c:y val="0.20015923411730155"/>
          <c:w val="0.88200130758652584"/>
          <c:h val="0.51213756491504503"/>
        </c:manualLayout>
      </c:layout>
      <c:barChart>
        <c:barDir val="col"/>
        <c:grouping val="clustered"/>
        <c:varyColors val="0"/>
        <c:ser>
          <c:idx val="2"/>
          <c:order val="1"/>
          <c:tx>
            <c:strRef>
              <c:f>'Secteur travail (1994-2024)'!$D$2</c:f>
              <c:strCache>
                <c:ptCount val="1"/>
                <c:pt idx="0">
                  <c:v>Orientation sexuelle</c:v>
                </c:pt>
              </c:strCache>
            </c:strRef>
          </c:tx>
          <c:spPr>
            <a:solidFill>
              <a:srgbClr val="953D89"/>
            </a:solidFill>
            <a:ln>
              <a:noFill/>
            </a:ln>
            <a:effectLst/>
          </c:spPr>
          <c:invertIfNegative val="0"/>
          <c:cat>
            <c:numRef>
              <c:f>'Secteur travail (1994-2024)'!$A$3:$A$33</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'Secteur travail (1994-2024)'!$D$3:$D$33</c:f>
              <c:numCache>
                <c:formatCode>General</c:formatCode>
                <c:ptCount val="31"/>
                <c:pt idx="0">
                  <c:v>27</c:v>
                </c:pt>
                <c:pt idx="1">
                  <c:v>46</c:v>
                </c:pt>
                <c:pt idx="2">
                  <c:v>48</c:v>
                </c:pt>
                <c:pt idx="3">
                  <c:v>46</c:v>
                </c:pt>
                <c:pt idx="4">
                  <c:v>21</c:v>
                </c:pt>
                <c:pt idx="5">
                  <c:v>35</c:v>
                </c:pt>
                <c:pt idx="6">
                  <c:v>27</c:v>
                </c:pt>
                <c:pt idx="7">
                  <c:v>55</c:v>
                </c:pt>
                <c:pt idx="8">
                  <c:v>36</c:v>
                </c:pt>
                <c:pt idx="9">
                  <c:v>37</c:v>
                </c:pt>
                <c:pt idx="10">
                  <c:v>28</c:v>
                </c:pt>
                <c:pt idx="11">
                  <c:v>22</c:v>
                </c:pt>
                <c:pt idx="12">
                  <c:v>7</c:v>
                </c:pt>
                <c:pt idx="13">
                  <c:v>14</c:v>
                </c:pt>
                <c:pt idx="14">
                  <c:v>8</c:v>
                </c:pt>
                <c:pt idx="15">
                  <c:v>4</c:v>
                </c:pt>
                <c:pt idx="16">
                  <c:v>17</c:v>
                </c:pt>
                <c:pt idx="17">
                  <c:v>11</c:v>
                </c:pt>
                <c:pt idx="18">
                  <c:v>20</c:v>
                </c:pt>
                <c:pt idx="19">
                  <c:v>19</c:v>
                </c:pt>
                <c:pt idx="20">
                  <c:v>12</c:v>
                </c:pt>
                <c:pt idx="21">
                  <c:v>9</c:v>
                </c:pt>
                <c:pt idx="22">
                  <c:v>7</c:v>
                </c:pt>
                <c:pt idx="23">
                  <c:v>10</c:v>
                </c:pt>
                <c:pt idx="24">
                  <c:v>6</c:v>
                </c:pt>
                <c:pt idx="25">
                  <c:v>13</c:v>
                </c:pt>
                <c:pt idx="26">
                  <c:v>9</c:v>
                </c:pt>
                <c:pt idx="27">
                  <c:v>10</c:v>
                </c:pt>
                <c:pt idx="28">
                  <c:v>11</c:v>
                </c:pt>
                <c:pt idx="29">
                  <c:v>13</c:v>
                </c:pt>
                <c:pt idx="30">
                  <c:v>12</c:v>
                </c:pt>
              </c:numCache>
            </c:numRef>
          </c:val>
          <c:extLst>
            <c:ext xmlns:c16="http://schemas.microsoft.com/office/drawing/2014/chart" uri="{C3380CC4-5D6E-409C-BE32-E72D297353CC}">
              <c16:uniqueId val="{00000000-D26C-4C54-8322-0756546F0BB5}"/>
            </c:ext>
          </c:extLst>
        </c:ser>
        <c:ser>
          <c:idx val="3"/>
          <c:order val="2"/>
          <c:tx>
            <c:strRef>
              <c:f>'Secteur travail (1994-2024)'!$E$2</c:f>
              <c:strCache>
                <c:ptCount val="1"/>
                <c:pt idx="0">
                  <c:v>Identité ou expression de genre</c:v>
                </c:pt>
              </c:strCache>
            </c:strRef>
          </c:tx>
          <c:spPr>
            <a:solidFill>
              <a:srgbClr val="00B0F0"/>
            </a:solidFill>
            <a:ln>
              <a:noFill/>
            </a:ln>
            <a:effectLst/>
          </c:spPr>
          <c:invertIfNegative val="0"/>
          <c:cat>
            <c:numRef>
              <c:f>'Secteur travail (1994-2024)'!$A$3:$A$33</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'Secteur travail (1994-2024)'!$E$3:$E$33</c:f>
              <c:numCache>
                <c:formatCode>General</c:formatCode>
                <c:ptCount val="31"/>
                <c:pt idx="0">
                  <c:v>3</c:v>
                </c:pt>
                <c:pt idx="1">
                  <c:v>1</c:v>
                </c:pt>
                <c:pt idx="2">
                  <c:v>0</c:v>
                </c:pt>
                <c:pt idx="3">
                  <c:v>1</c:v>
                </c:pt>
                <c:pt idx="4">
                  <c:v>1</c:v>
                </c:pt>
                <c:pt idx="5">
                  <c:v>0</c:v>
                </c:pt>
                <c:pt idx="6">
                  <c:v>2</c:v>
                </c:pt>
                <c:pt idx="7">
                  <c:v>2</c:v>
                </c:pt>
                <c:pt idx="8">
                  <c:v>2</c:v>
                </c:pt>
                <c:pt idx="9">
                  <c:v>3</c:v>
                </c:pt>
                <c:pt idx="10">
                  <c:v>3</c:v>
                </c:pt>
                <c:pt idx="11">
                  <c:v>4</c:v>
                </c:pt>
                <c:pt idx="12">
                  <c:v>2</c:v>
                </c:pt>
                <c:pt idx="13">
                  <c:v>2</c:v>
                </c:pt>
                <c:pt idx="14">
                  <c:v>1</c:v>
                </c:pt>
                <c:pt idx="15">
                  <c:v>2</c:v>
                </c:pt>
                <c:pt idx="16">
                  <c:v>2</c:v>
                </c:pt>
                <c:pt idx="17">
                  <c:v>1</c:v>
                </c:pt>
                <c:pt idx="18">
                  <c:v>5</c:v>
                </c:pt>
                <c:pt idx="19">
                  <c:v>4</c:v>
                </c:pt>
                <c:pt idx="20">
                  <c:v>2</c:v>
                </c:pt>
                <c:pt idx="21">
                  <c:v>3</c:v>
                </c:pt>
                <c:pt idx="22">
                  <c:v>8</c:v>
                </c:pt>
                <c:pt idx="23">
                  <c:v>8</c:v>
                </c:pt>
                <c:pt idx="24">
                  <c:v>13</c:v>
                </c:pt>
                <c:pt idx="25">
                  <c:v>4</c:v>
                </c:pt>
                <c:pt idx="26">
                  <c:v>4</c:v>
                </c:pt>
                <c:pt idx="27">
                  <c:v>11</c:v>
                </c:pt>
                <c:pt idx="28">
                  <c:v>9</c:v>
                </c:pt>
                <c:pt idx="29">
                  <c:v>9</c:v>
                </c:pt>
                <c:pt idx="30">
                  <c:v>17</c:v>
                </c:pt>
              </c:numCache>
            </c:numRef>
          </c:val>
          <c:extLst>
            <c:ext xmlns:c16="http://schemas.microsoft.com/office/drawing/2014/chart" uri="{C3380CC4-5D6E-409C-BE32-E72D297353CC}">
              <c16:uniqueId val="{00000001-D26C-4C54-8322-0756546F0BB5}"/>
            </c:ext>
          </c:extLst>
        </c:ser>
        <c:dLbls>
          <c:showLegendKey val="0"/>
          <c:showVal val="0"/>
          <c:showCatName val="0"/>
          <c:showSerName val="0"/>
          <c:showPercent val="0"/>
          <c:showBubbleSize val="0"/>
        </c:dLbls>
        <c:gapWidth val="219"/>
        <c:axId val="847914832"/>
        <c:axId val="847915192"/>
      </c:barChart>
      <c:lineChart>
        <c:grouping val="standard"/>
        <c:varyColors val="0"/>
        <c:ser>
          <c:idx val="4"/>
          <c:order val="3"/>
          <c:tx>
            <c:strRef>
              <c:f>'Secteur travail (1994-2024)'!$F$2</c:f>
              <c:strCache>
                <c:ptCount val="1"/>
                <c:pt idx="0">
                  <c:v>Total pour les 2 motifs</c:v>
                </c:pt>
              </c:strCache>
            </c:strRef>
          </c:tx>
          <c:spPr>
            <a:ln w="28575" cap="rnd">
              <a:solidFill>
                <a:srgbClr val="CF3575"/>
              </a:solidFill>
              <a:round/>
            </a:ln>
            <a:effectLst/>
          </c:spPr>
          <c:marker>
            <c:symbol val="none"/>
          </c:marker>
          <c:cat>
            <c:numRef>
              <c:f>'Secteur travail (1994-2024)'!$A$3:$A$33</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'Secteur travail (1994-2024)'!$F$3:$F$33</c:f>
              <c:numCache>
                <c:formatCode>General</c:formatCode>
                <c:ptCount val="31"/>
                <c:pt idx="0">
                  <c:v>30</c:v>
                </c:pt>
                <c:pt idx="1">
                  <c:v>47</c:v>
                </c:pt>
                <c:pt idx="2">
                  <c:v>48</c:v>
                </c:pt>
                <c:pt idx="3">
                  <c:v>47</c:v>
                </c:pt>
                <c:pt idx="4">
                  <c:v>22</c:v>
                </c:pt>
                <c:pt idx="5">
                  <c:v>35</c:v>
                </c:pt>
                <c:pt idx="6">
                  <c:v>29</c:v>
                </c:pt>
                <c:pt idx="7">
                  <c:v>57</c:v>
                </c:pt>
                <c:pt idx="8">
                  <c:v>38</c:v>
                </c:pt>
                <c:pt idx="9">
                  <c:v>40</c:v>
                </c:pt>
                <c:pt idx="10">
                  <c:v>31</c:v>
                </c:pt>
                <c:pt idx="11">
                  <c:v>26</c:v>
                </c:pt>
                <c:pt idx="12">
                  <c:v>9</c:v>
                </c:pt>
                <c:pt idx="13">
                  <c:v>16</c:v>
                </c:pt>
                <c:pt idx="14">
                  <c:v>9</c:v>
                </c:pt>
                <c:pt idx="15">
                  <c:v>6</c:v>
                </c:pt>
                <c:pt idx="16">
                  <c:v>19</c:v>
                </c:pt>
                <c:pt idx="17">
                  <c:v>12</c:v>
                </c:pt>
                <c:pt idx="18">
                  <c:v>25</c:v>
                </c:pt>
                <c:pt idx="19">
                  <c:v>23</c:v>
                </c:pt>
                <c:pt idx="20">
                  <c:v>14</c:v>
                </c:pt>
                <c:pt idx="21">
                  <c:v>12</c:v>
                </c:pt>
                <c:pt idx="22">
                  <c:v>15</c:v>
                </c:pt>
                <c:pt idx="23">
                  <c:v>18</c:v>
                </c:pt>
                <c:pt idx="24">
                  <c:v>19</c:v>
                </c:pt>
                <c:pt idx="25">
                  <c:v>17</c:v>
                </c:pt>
                <c:pt idx="26">
                  <c:v>13</c:v>
                </c:pt>
                <c:pt idx="27">
                  <c:v>21</c:v>
                </c:pt>
                <c:pt idx="28">
                  <c:v>20</c:v>
                </c:pt>
                <c:pt idx="29">
                  <c:v>22</c:v>
                </c:pt>
                <c:pt idx="30">
                  <c:v>29</c:v>
                </c:pt>
              </c:numCache>
            </c:numRef>
          </c:val>
          <c:smooth val="0"/>
          <c:extLst>
            <c:ext xmlns:c16="http://schemas.microsoft.com/office/drawing/2014/chart" uri="{C3380CC4-5D6E-409C-BE32-E72D297353CC}">
              <c16:uniqueId val="{00000002-D26C-4C54-8322-0756546F0BB5}"/>
            </c:ext>
          </c:extLst>
        </c:ser>
        <c:dLbls>
          <c:showLegendKey val="0"/>
          <c:showVal val="0"/>
          <c:showCatName val="0"/>
          <c:showSerName val="0"/>
          <c:showPercent val="0"/>
          <c:showBubbleSize val="0"/>
        </c:dLbls>
        <c:marker val="1"/>
        <c:smooth val="0"/>
        <c:axId val="847914832"/>
        <c:axId val="847915192"/>
      </c:lineChart>
      <c:lineChart>
        <c:grouping val="standard"/>
        <c:varyColors val="0"/>
        <c:ser>
          <c:idx val="1"/>
          <c:order val="0"/>
          <c:tx>
            <c:strRef>
              <c:f>'Secteur travail (1994-2024)'!$C$2</c:f>
              <c:strCache>
                <c:ptCount val="1"/>
                <c:pt idx="0">
                  <c:v>Nombre total de plaintes Emploi</c:v>
                </c:pt>
              </c:strCache>
            </c:strRef>
          </c:tx>
          <c:spPr>
            <a:ln w="28575" cap="rnd">
              <a:solidFill>
                <a:schemeClr val="tx2"/>
              </a:solidFill>
              <a:prstDash val="dash"/>
              <a:round/>
            </a:ln>
            <a:effectLst/>
          </c:spPr>
          <c:marker>
            <c:symbol val="none"/>
          </c:marker>
          <c:cat>
            <c:numRef>
              <c:f>'Secteur travail (1994-2024)'!$A$3:$A$33</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'Secteur travail (1994-2024)'!$C$3:$C$33</c:f>
              <c:numCache>
                <c:formatCode>General</c:formatCode>
                <c:ptCount val="31"/>
                <c:pt idx="0">
                  <c:v>1100</c:v>
                </c:pt>
                <c:pt idx="1">
                  <c:v>1045</c:v>
                </c:pt>
                <c:pt idx="2">
                  <c:v>1300</c:v>
                </c:pt>
                <c:pt idx="3">
                  <c:v>1342</c:v>
                </c:pt>
                <c:pt idx="4">
                  <c:v>1047</c:v>
                </c:pt>
                <c:pt idx="5">
                  <c:v>1092</c:v>
                </c:pt>
                <c:pt idx="6">
                  <c:v>1217</c:v>
                </c:pt>
                <c:pt idx="7">
                  <c:v>1298</c:v>
                </c:pt>
                <c:pt idx="8">
                  <c:v>1210</c:v>
                </c:pt>
                <c:pt idx="9">
                  <c:v>1141</c:v>
                </c:pt>
                <c:pt idx="10">
                  <c:v>883</c:v>
                </c:pt>
                <c:pt idx="11">
                  <c:v>822</c:v>
                </c:pt>
                <c:pt idx="12">
                  <c:v>573</c:v>
                </c:pt>
                <c:pt idx="13">
                  <c:v>613</c:v>
                </c:pt>
                <c:pt idx="14">
                  <c:v>500</c:v>
                </c:pt>
                <c:pt idx="15">
                  <c:v>431</c:v>
                </c:pt>
                <c:pt idx="16">
                  <c:v>479</c:v>
                </c:pt>
                <c:pt idx="17">
                  <c:v>721</c:v>
                </c:pt>
                <c:pt idx="18">
                  <c:v>720</c:v>
                </c:pt>
                <c:pt idx="19">
                  <c:v>745</c:v>
                </c:pt>
                <c:pt idx="20">
                  <c:v>711</c:v>
                </c:pt>
                <c:pt idx="21">
                  <c:v>752</c:v>
                </c:pt>
                <c:pt idx="22">
                  <c:v>768</c:v>
                </c:pt>
                <c:pt idx="23">
                  <c:v>713</c:v>
                </c:pt>
                <c:pt idx="24">
                  <c:v>718</c:v>
                </c:pt>
                <c:pt idx="25">
                  <c:v>654</c:v>
                </c:pt>
                <c:pt idx="26">
                  <c:v>607</c:v>
                </c:pt>
                <c:pt idx="27">
                  <c:v>569</c:v>
                </c:pt>
                <c:pt idx="28">
                  <c:v>604</c:v>
                </c:pt>
                <c:pt idx="29">
                  <c:v>777</c:v>
                </c:pt>
                <c:pt idx="30">
                  <c:v>818</c:v>
                </c:pt>
              </c:numCache>
            </c:numRef>
          </c:val>
          <c:smooth val="0"/>
          <c:extLst>
            <c:ext xmlns:c16="http://schemas.microsoft.com/office/drawing/2014/chart" uri="{C3380CC4-5D6E-409C-BE32-E72D297353CC}">
              <c16:uniqueId val="{00000003-D26C-4C54-8322-0756546F0BB5}"/>
            </c:ext>
          </c:extLst>
        </c:ser>
        <c:dLbls>
          <c:showLegendKey val="0"/>
          <c:showVal val="0"/>
          <c:showCatName val="0"/>
          <c:showSerName val="0"/>
          <c:showPercent val="0"/>
          <c:showBubbleSize val="0"/>
        </c:dLbls>
        <c:marker val="1"/>
        <c:smooth val="0"/>
        <c:axId val="1050007040"/>
        <c:axId val="1050006320"/>
      </c:lineChart>
      <c:catAx>
        <c:axId val="8479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202C4B"/>
                </a:solidFill>
                <a:latin typeface="+mn-lt"/>
                <a:ea typeface="+mn-ea"/>
                <a:cs typeface="+mn-cs"/>
              </a:defRPr>
            </a:pPr>
            <a:endParaRPr lang="fr-FR"/>
          </a:p>
        </c:txPr>
        <c:crossAx val="847915192"/>
        <c:crosses val="autoZero"/>
        <c:auto val="1"/>
        <c:lblAlgn val="ctr"/>
        <c:lblOffset val="100"/>
        <c:noMultiLvlLbl val="0"/>
      </c:catAx>
      <c:valAx>
        <c:axId val="847915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02C4B"/>
                </a:solidFill>
                <a:latin typeface="+mn-lt"/>
                <a:ea typeface="+mn-ea"/>
                <a:cs typeface="+mn-cs"/>
              </a:defRPr>
            </a:pPr>
            <a:endParaRPr lang="fr-FR"/>
          </a:p>
        </c:txPr>
        <c:crossAx val="847914832"/>
        <c:crosses val="autoZero"/>
        <c:crossBetween val="between"/>
      </c:valAx>
      <c:valAx>
        <c:axId val="10500063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202C4B"/>
                </a:solidFill>
                <a:latin typeface="+mn-lt"/>
                <a:ea typeface="+mn-ea"/>
                <a:cs typeface="+mn-cs"/>
              </a:defRPr>
            </a:pPr>
            <a:endParaRPr lang="fr-FR"/>
          </a:p>
        </c:txPr>
        <c:crossAx val="1050007040"/>
        <c:crosses val="max"/>
        <c:crossBetween val="between"/>
      </c:valAx>
      <c:catAx>
        <c:axId val="1050007040"/>
        <c:scaling>
          <c:orientation val="minMax"/>
        </c:scaling>
        <c:delete val="1"/>
        <c:axPos val="b"/>
        <c:numFmt formatCode="General" sourceLinked="1"/>
        <c:majorTickMark val="out"/>
        <c:minorTickMark val="none"/>
        <c:tickLblPos val="nextTo"/>
        <c:crossAx val="1050006320"/>
        <c:crosses val="autoZero"/>
        <c:auto val="1"/>
        <c:lblAlgn val="ctr"/>
        <c:lblOffset val="100"/>
        <c:noMultiLvlLbl val="0"/>
      </c:cat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02C4B"/>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3ECF9"/>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000" b="1" i="0" u="none" strike="noStrike" kern="1200" spc="0" baseline="0">
                <a:solidFill>
                  <a:srgbClr val="0F243E"/>
                </a:solidFill>
                <a:latin typeface="Aptos" panose="020B0004020202020204" pitchFamily="34" charset="0"/>
              </a:rPr>
              <a:t>Graphique 10</a:t>
            </a:r>
            <a:br>
              <a:rPr lang="fr-CA" sz="1000" b="0" i="0" u="none" strike="noStrike" kern="1200" spc="0" baseline="0">
                <a:solidFill>
                  <a:srgbClr val="0F243E"/>
                </a:solidFill>
                <a:latin typeface="Aptos" panose="020B0004020202020204" pitchFamily="34" charset="0"/>
              </a:rPr>
            </a:br>
            <a:r>
              <a:rPr lang="fr-CA" sz="1000" b="0" i="0" u="none" strike="noStrike" kern="1200" spc="0" baseline="0">
                <a:solidFill>
                  <a:srgbClr val="0F243E"/>
                </a:solidFill>
                <a:latin typeface="Aptos" panose="020B0004020202020204" pitchFamily="34" charset="0"/>
              </a:rPr>
              <a:t> Les cinq atteintes aux droits les plus représentées parmi les plaintes pour discrimination en emploi fondée sur l'identité ou l'expression de genre (1994 – 2024), n = 129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5724542214324375E-2"/>
          <c:y val="0.19700446144040787"/>
          <c:w val="0.91049681532999038"/>
          <c:h val="0.6943170583600568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F243E"/>
              </a:solidFill>
              <a:ln>
                <a:noFill/>
              </a:ln>
              <a:effectLst/>
            </c:spPr>
            <c:extLst>
              <c:ext xmlns:c16="http://schemas.microsoft.com/office/drawing/2014/chart" uri="{C3380CC4-5D6E-409C-BE32-E72D297353CC}">
                <c16:uniqueId val="{00000000-5CDD-4545-8A9C-0B30B00ED3D6}"/>
              </c:ext>
            </c:extLst>
          </c:dPt>
          <c:dPt>
            <c:idx val="1"/>
            <c:invertIfNegative val="0"/>
            <c:bubble3D val="0"/>
            <c:spPr>
              <a:solidFill>
                <a:srgbClr val="953D89"/>
              </a:solidFill>
              <a:ln>
                <a:noFill/>
              </a:ln>
              <a:effectLst/>
            </c:spPr>
            <c:extLst>
              <c:ext xmlns:c16="http://schemas.microsoft.com/office/drawing/2014/chart" uri="{C3380CC4-5D6E-409C-BE32-E72D297353CC}">
                <c16:uniqueId val="{00000001-5CDD-4545-8A9C-0B30B00ED3D6}"/>
              </c:ext>
            </c:extLst>
          </c:dPt>
          <c:dPt>
            <c:idx val="2"/>
            <c:invertIfNegative val="0"/>
            <c:bubble3D val="0"/>
            <c:spPr>
              <a:solidFill>
                <a:srgbClr val="27BCD5"/>
              </a:solidFill>
              <a:ln>
                <a:noFill/>
              </a:ln>
              <a:effectLst/>
            </c:spPr>
            <c:extLst>
              <c:ext xmlns:c16="http://schemas.microsoft.com/office/drawing/2014/chart" uri="{C3380CC4-5D6E-409C-BE32-E72D297353CC}">
                <c16:uniqueId val="{00000002-5CDD-4545-8A9C-0B30B00ED3D6}"/>
              </c:ext>
            </c:extLst>
          </c:dPt>
          <c:dPt>
            <c:idx val="3"/>
            <c:invertIfNegative val="0"/>
            <c:bubble3D val="0"/>
            <c:spPr>
              <a:solidFill>
                <a:srgbClr val="CF3575"/>
              </a:solidFill>
              <a:ln>
                <a:noFill/>
              </a:ln>
              <a:effectLst/>
            </c:spPr>
            <c:extLst>
              <c:ext xmlns:c16="http://schemas.microsoft.com/office/drawing/2014/chart" uri="{C3380CC4-5D6E-409C-BE32-E72D297353CC}">
                <c16:uniqueId val="{00000003-5CDD-4545-8A9C-0B30B00ED3D6}"/>
              </c:ext>
            </c:extLst>
          </c:dPt>
          <c:dPt>
            <c:idx val="4"/>
            <c:invertIfNegative val="0"/>
            <c:bubble3D val="0"/>
            <c:spPr>
              <a:solidFill>
                <a:srgbClr val="2A73D0"/>
              </a:solidFill>
              <a:ln>
                <a:noFill/>
              </a:ln>
              <a:effectLst/>
            </c:spPr>
            <c:extLst>
              <c:ext xmlns:c16="http://schemas.microsoft.com/office/drawing/2014/chart" uri="{C3380CC4-5D6E-409C-BE32-E72D297353CC}">
                <c16:uniqueId val="{00000004-5CDD-4545-8A9C-0B30B00ED3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F243E"/>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Droitsatteints_IEG!$A$2:$A$6</c:f>
              <c:strCache>
                <c:ptCount val="5"/>
                <c:pt idx="0">
                  <c:v>Congédiement</c:v>
                </c:pt>
                <c:pt idx="1">
                  <c:v>Climat de travail</c:v>
                </c:pt>
                <c:pt idx="2">
                  <c:v>Embauche</c:v>
                </c:pt>
                <c:pt idx="3">
                  <c:v>Conditions de travail juste et raisonnable</c:v>
                </c:pt>
                <c:pt idx="4">
                  <c:v>Démission forcée</c:v>
                </c:pt>
              </c:strCache>
              <c:extLst/>
            </c:strRef>
          </c:cat>
          <c:val>
            <c:numRef>
              <c:f>Droitsatteints_IEG!$B$2:$B$6</c:f>
              <c:numCache>
                <c:formatCode>0.0%</c:formatCode>
                <c:ptCount val="5"/>
                <c:pt idx="0">
                  <c:v>0.27205882352941174</c:v>
                </c:pt>
                <c:pt idx="1">
                  <c:v>0.21323529411764705</c:v>
                </c:pt>
                <c:pt idx="2">
                  <c:v>0.20588235294117646</c:v>
                </c:pt>
                <c:pt idx="3">
                  <c:v>8.0882352941176475E-2</c:v>
                </c:pt>
                <c:pt idx="4">
                  <c:v>6.6176470588235295E-2</c:v>
                </c:pt>
              </c:numCache>
              <c:extLst/>
            </c:numRef>
          </c:val>
          <c:extLst>
            <c:ext xmlns:c16="http://schemas.microsoft.com/office/drawing/2014/chart" uri="{C3380CC4-5D6E-409C-BE32-E72D297353CC}">
              <c16:uniqueId val="{00000000-A44F-472F-B466-1F7E5799254C}"/>
            </c:ext>
          </c:extLst>
        </c:ser>
        <c:dLbls>
          <c:showLegendKey val="0"/>
          <c:showVal val="0"/>
          <c:showCatName val="0"/>
          <c:showSerName val="0"/>
          <c:showPercent val="0"/>
          <c:showBubbleSize val="0"/>
        </c:dLbls>
        <c:gapWidth val="219"/>
        <c:overlap val="-27"/>
        <c:axId val="969912056"/>
        <c:axId val="969913136"/>
      </c:barChart>
      <c:catAx>
        <c:axId val="96991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F243E"/>
                </a:solidFill>
                <a:latin typeface="Aptos Light" panose="020B0004020202020204" pitchFamily="34" charset="0"/>
                <a:ea typeface="+mn-ea"/>
                <a:cs typeface="+mn-cs"/>
              </a:defRPr>
            </a:pPr>
            <a:endParaRPr lang="fr-FR"/>
          </a:p>
        </c:txPr>
        <c:crossAx val="969913136"/>
        <c:crosses val="autoZero"/>
        <c:auto val="1"/>
        <c:lblAlgn val="ctr"/>
        <c:lblOffset val="100"/>
        <c:noMultiLvlLbl val="0"/>
      </c:catAx>
      <c:valAx>
        <c:axId val="969913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F243E"/>
                </a:solidFill>
                <a:latin typeface="+mn-lt"/>
                <a:ea typeface="+mn-ea"/>
                <a:cs typeface="+mn-cs"/>
              </a:defRPr>
            </a:pPr>
            <a:endParaRPr lang="fr-FR"/>
          </a:p>
        </c:txPr>
        <c:crossAx val="969912056"/>
        <c:crosses val="autoZero"/>
        <c:crossBetween val="between"/>
      </c:valAx>
      <c:spPr>
        <a:solidFill>
          <a:sysClr val="window" lastClr="FFFFFF"/>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3ECF9"/>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000" b="1">
                <a:solidFill>
                  <a:srgbClr val="001042"/>
                </a:solidFill>
                <a:effectLst/>
                <a:latin typeface="Aptos" panose="020B0004020202020204" pitchFamily="34" charset="0"/>
              </a:rPr>
              <a:t>Graphique 2</a:t>
            </a:r>
            <a:br>
              <a:rPr lang="fr-CA" sz="1000">
                <a:effectLst/>
                <a:latin typeface="Aptos" panose="020B0004020202020204" pitchFamily="34" charset="0"/>
              </a:rPr>
            </a:br>
            <a:r>
              <a:rPr lang="fr-CA" sz="1000">
                <a:solidFill>
                  <a:srgbClr val="001042"/>
                </a:solidFill>
                <a:effectLst/>
                <a:latin typeface="Aptos" panose="020B0004020202020204" pitchFamily="34" charset="0"/>
              </a:rPr>
              <a:t>Évolution du pourcentage de plaintes pour discrimination en emploi reçues annuellement selon le motif (1994 –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9.4060996494182397E-2"/>
          <c:y val="0.2065353981837782"/>
          <c:w val="0.88314343827941622"/>
          <c:h val="0.57635457840698567"/>
        </c:manualLayout>
      </c:layout>
      <c:barChart>
        <c:barDir val="col"/>
        <c:grouping val="clustered"/>
        <c:varyColors val="0"/>
        <c:ser>
          <c:idx val="0"/>
          <c:order val="0"/>
          <c:tx>
            <c:strRef>
              <c:f>'%plaintes OS IEG Travail 94-24'!$G$3</c:f>
              <c:strCache>
                <c:ptCount val="1"/>
                <c:pt idx="0">
                  <c:v>Orientation sexuelle</c:v>
                </c:pt>
              </c:strCache>
            </c:strRef>
          </c:tx>
          <c:spPr>
            <a:solidFill>
              <a:srgbClr val="CF3575"/>
            </a:solidFill>
            <a:ln>
              <a:noFill/>
            </a:ln>
            <a:effectLst/>
          </c:spPr>
          <c:invertIfNegative val="0"/>
          <c:cat>
            <c:numRef>
              <c:f>'%plaintes OS IEG Travail 94-24'!$A$4:$A$34</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'%plaintes OS IEG Travail 94-24'!$G$4:$G$34</c:f>
              <c:numCache>
                <c:formatCode>General</c:formatCode>
                <c:ptCount val="31"/>
                <c:pt idx="0">
                  <c:v>2.4545454545454546</c:v>
                </c:pt>
                <c:pt idx="1">
                  <c:v>4.401913875598086</c:v>
                </c:pt>
                <c:pt idx="2">
                  <c:v>3.6923076923076925</c:v>
                </c:pt>
                <c:pt idx="3">
                  <c:v>3.427719821162444</c:v>
                </c:pt>
                <c:pt idx="4">
                  <c:v>2.005730659025788</c:v>
                </c:pt>
                <c:pt idx="5">
                  <c:v>3.2051282051282048</c:v>
                </c:pt>
                <c:pt idx="6">
                  <c:v>2.218570254724733</c:v>
                </c:pt>
                <c:pt idx="7">
                  <c:v>4.2372881355932197</c:v>
                </c:pt>
                <c:pt idx="8">
                  <c:v>2.9752066115702478</c:v>
                </c:pt>
                <c:pt idx="9">
                  <c:v>3.2427695004382118</c:v>
                </c:pt>
                <c:pt idx="10">
                  <c:v>3.1710079275198186</c:v>
                </c:pt>
                <c:pt idx="11">
                  <c:v>2.6763990267639901</c:v>
                </c:pt>
                <c:pt idx="12">
                  <c:v>1.2216404886561953</c:v>
                </c:pt>
                <c:pt idx="13">
                  <c:v>2.2838499184339316</c:v>
                </c:pt>
                <c:pt idx="14">
                  <c:v>1.6</c:v>
                </c:pt>
                <c:pt idx="15">
                  <c:v>0.92807424593967514</c:v>
                </c:pt>
                <c:pt idx="16">
                  <c:v>3.5490605427974948</c:v>
                </c:pt>
                <c:pt idx="17">
                  <c:v>1.5256588072122053</c:v>
                </c:pt>
                <c:pt idx="18">
                  <c:v>2.7777777777777777</c:v>
                </c:pt>
                <c:pt idx="19">
                  <c:v>2.5503355704697985</c:v>
                </c:pt>
                <c:pt idx="20">
                  <c:v>1.6877637130801686</c:v>
                </c:pt>
                <c:pt idx="21">
                  <c:v>1.196808510638298</c:v>
                </c:pt>
                <c:pt idx="22">
                  <c:v>0.91145833333333337</c:v>
                </c:pt>
                <c:pt idx="23">
                  <c:v>1.4025245441795231</c:v>
                </c:pt>
                <c:pt idx="24">
                  <c:v>0.83565459610027859</c:v>
                </c:pt>
                <c:pt idx="25">
                  <c:v>1.9877675840978593</c:v>
                </c:pt>
                <c:pt idx="26">
                  <c:v>1.4827018121911038</c:v>
                </c:pt>
                <c:pt idx="27">
                  <c:v>1.7574692442882252</c:v>
                </c:pt>
                <c:pt idx="28">
                  <c:v>1.8211920529801324</c:v>
                </c:pt>
                <c:pt idx="29">
                  <c:v>1.673101673101673</c:v>
                </c:pt>
                <c:pt idx="30">
                  <c:v>1.4669926650366749</c:v>
                </c:pt>
              </c:numCache>
            </c:numRef>
          </c:val>
          <c:extLst>
            <c:ext xmlns:c16="http://schemas.microsoft.com/office/drawing/2014/chart" uri="{C3380CC4-5D6E-409C-BE32-E72D297353CC}">
              <c16:uniqueId val="{00000000-09F4-43CB-A69B-9B42D9D49F42}"/>
            </c:ext>
          </c:extLst>
        </c:ser>
        <c:ser>
          <c:idx val="1"/>
          <c:order val="1"/>
          <c:tx>
            <c:strRef>
              <c:f>'%plaintes OS IEG Travail 94-24'!$H$3</c:f>
              <c:strCache>
                <c:ptCount val="1"/>
                <c:pt idx="0">
                  <c:v>Identité ou expression de genre</c:v>
                </c:pt>
              </c:strCache>
            </c:strRef>
          </c:tx>
          <c:spPr>
            <a:solidFill>
              <a:srgbClr val="00B0F0"/>
            </a:solidFill>
            <a:ln>
              <a:noFill/>
            </a:ln>
            <a:effectLst/>
          </c:spPr>
          <c:invertIfNegative val="0"/>
          <c:cat>
            <c:numRef>
              <c:f>'%plaintes OS IEG Travail 94-24'!$A$4:$A$34</c:f>
              <c:numCache>
                <c:formatCode>General</c:formatCode>
                <c:ptCount val="3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pt idx="30">
                  <c:v>2024</c:v>
                </c:pt>
              </c:numCache>
            </c:numRef>
          </c:cat>
          <c:val>
            <c:numRef>
              <c:f>'%plaintes OS IEG Travail 94-24'!$H$4:$H$34</c:f>
              <c:numCache>
                <c:formatCode>General</c:formatCode>
                <c:ptCount val="31"/>
                <c:pt idx="0">
                  <c:v>0.27272727272727276</c:v>
                </c:pt>
                <c:pt idx="1">
                  <c:v>9.569377990430622E-2</c:v>
                </c:pt>
                <c:pt idx="2">
                  <c:v>0</c:v>
                </c:pt>
                <c:pt idx="3">
                  <c:v>7.4515648286140088E-2</c:v>
                </c:pt>
                <c:pt idx="4">
                  <c:v>9.5510983763132759E-2</c:v>
                </c:pt>
                <c:pt idx="5">
                  <c:v>0</c:v>
                </c:pt>
                <c:pt idx="6">
                  <c:v>0.16433853738701726</c:v>
                </c:pt>
                <c:pt idx="7">
                  <c:v>0.15408320493066258</c:v>
                </c:pt>
                <c:pt idx="8">
                  <c:v>0.16528925619834711</c:v>
                </c:pt>
                <c:pt idx="9">
                  <c:v>0.26292725679228746</c:v>
                </c:pt>
                <c:pt idx="10">
                  <c:v>0.33975084937712347</c:v>
                </c:pt>
                <c:pt idx="11">
                  <c:v>0.48661800486618007</c:v>
                </c:pt>
                <c:pt idx="12">
                  <c:v>0.34904013961605584</c:v>
                </c:pt>
                <c:pt idx="13">
                  <c:v>0.32626427406199021</c:v>
                </c:pt>
                <c:pt idx="14">
                  <c:v>0.2</c:v>
                </c:pt>
                <c:pt idx="15">
                  <c:v>0.46403712296983757</c:v>
                </c:pt>
                <c:pt idx="16">
                  <c:v>0.41753653444676403</c:v>
                </c:pt>
                <c:pt idx="17">
                  <c:v>0.13869625520110956</c:v>
                </c:pt>
                <c:pt idx="18">
                  <c:v>0.69444444444444442</c:v>
                </c:pt>
                <c:pt idx="19">
                  <c:v>0.53691275167785235</c:v>
                </c:pt>
                <c:pt idx="20">
                  <c:v>0.28129395218002812</c:v>
                </c:pt>
                <c:pt idx="21">
                  <c:v>0.39893617021276595</c:v>
                </c:pt>
                <c:pt idx="22">
                  <c:v>1.0416666666666665</c:v>
                </c:pt>
                <c:pt idx="23">
                  <c:v>1.1220196353436185</c:v>
                </c:pt>
                <c:pt idx="24">
                  <c:v>1.8105849582172702</c:v>
                </c:pt>
                <c:pt idx="25">
                  <c:v>0.6116207951070336</c:v>
                </c:pt>
                <c:pt idx="26">
                  <c:v>0.65897858319604619</c:v>
                </c:pt>
                <c:pt idx="27">
                  <c:v>1.9332161687170473</c:v>
                </c:pt>
                <c:pt idx="28">
                  <c:v>1.490066225165563</c:v>
                </c:pt>
                <c:pt idx="29">
                  <c:v>1.1583011583011582</c:v>
                </c:pt>
                <c:pt idx="30">
                  <c:v>2.0782396088019559</c:v>
                </c:pt>
              </c:numCache>
            </c:numRef>
          </c:val>
          <c:extLst>
            <c:ext xmlns:c16="http://schemas.microsoft.com/office/drawing/2014/chart" uri="{C3380CC4-5D6E-409C-BE32-E72D297353CC}">
              <c16:uniqueId val="{00000001-09F4-43CB-A69B-9B42D9D49F42}"/>
            </c:ext>
          </c:extLst>
        </c:ser>
        <c:dLbls>
          <c:showLegendKey val="0"/>
          <c:showVal val="0"/>
          <c:showCatName val="0"/>
          <c:showSerName val="0"/>
          <c:showPercent val="0"/>
          <c:showBubbleSize val="0"/>
        </c:dLbls>
        <c:gapWidth val="219"/>
        <c:overlap val="-27"/>
        <c:axId val="697392168"/>
        <c:axId val="697392528"/>
      </c:barChart>
      <c:catAx>
        <c:axId val="69739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202C4B"/>
                </a:solidFill>
                <a:latin typeface="+mn-lt"/>
                <a:ea typeface="+mn-ea"/>
                <a:cs typeface="+mn-cs"/>
              </a:defRPr>
            </a:pPr>
            <a:endParaRPr lang="fr-FR"/>
          </a:p>
        </c:txPr>
        <c:crossAx val="697392528"/>
        <c:crosses val="autoZero"/>
        <c:auto val="1"/>
        <c:lblAlgn val="ctr"/>
        <c:lblOffset val="100"/>
        <c:noMultiLvlLbl val="0"/>
      </c:catAx>
      <c:valAx>
        <c:axId val="69739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t>
                </a:r>
              </a:p>
            </c:rich>
          </c:tx>
          <c:layout>
            <c:manualLayout>
              <c:xMode val="edge"/>
              <c:yMode val="edge"/>
              <c:x val="1.7970476724291962E-2"/>
              <c:y val="0.44796978125160286"/>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1042"/>
                </a:solidFill>
                <a:latin typeface="+mn-lt"/>
                <a:ea typeface="+mn-ea"/>
                <a:cs typeface="+mn-cs"/>
              </a:defRPr>
            </a:pPr>
            <a:endParaRPr lang="fr-FR"/>
          </a:p>
        </c:txPr>
        <c:crossAx val="697392168"/>
        <c:crosses val="autoZero"/>
        <c:crossBetween val="between"/>
      </c:valAx>
      <c:spPr>
        <a:solidFill>
          <a:sysClr val="window" lastClr="FFFFFF"/>
        </a:solidFill>
        <a:ln>
          <a:noFill/>
        </a:ln>
        <a:effectLst/>
      </c:spPr>
    </c:plotArea>
    <c:legend>
      <c:legendPos val="b"/>
      <c:layout>
        <c:manualLayout>
          <c:xMode val="edge"/>
          <c:yMode val="edge"/>
          <c:x val="0.23917459493814439"/>
          <c:y val="0.9248786799317662"/>
          <c:w val="0.52165064694858432"/>
          <c:h val="7.5121320068233743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1042"/>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3ECF9"/>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000" b="1" i="0" u="none" strike="noStrike" baseline="0">
                <a:solidFill>
                  <a:srgbClr val="0F243E"/>
                </a:solidFill>
                <a:effectLst/>
                <a:latin typeface="Aptos" panose="020B0004020202020204" pitchFamily="34" charset="0"/>
              </a:rPr>
              <a:t>Graphique 3</a:t>
            </a:r>
            <a:br>
              <a:rPr lang="fr-CA" sz="1000" b="0" i="0" u="none" strike="noStrike" baseline="0">
                <a:solidFill>
                  <a:srgbClr val="0F243E"/>
                </a:solidFill>
                <a:effectLst/>
                <a:latin typeface="Aptos" panose="020B0004020202020204" pitchFamily="34" charset="0"/>
              </a:rPr>
            </a:br>
            <a:r>
              <a:rPr lang="fr-CA" sz="1000" b="0" i="0" u="none" strike="noStrike" baseline="0">
                <a:solidFill>
                  <a:srgbClr val="0F243E"/>
                </a:solidFill>
                <a:effectLst/>
                <a:latin typeface="Aptos" panose="020B0004020202020204" pitchFamily="34" charset="0"/>
              </a:rPr>
              <a:t>Pourcentage de plaintes pour discrimination en emploi reçues selon le motif et le genre de la personne plaignante (2007 – 2024)</a:t>
            </a:r>
            <a:endParaRPr lang="fr-CA" sz="1000">
              <a:solidFill>
                <a:srgbClr val="0F243E"/>
              </a:solidFill>
              <a:latin typeface="Aptos" panose="020B0004020202020204" pitchFamily="34" charset="0"/>
            </a:endParaRPr>
          </a:p>
        </c:rich>
      </c:tx>
      <c:layout>
        <c:manualLayout>
          <c:xMode val="edge"/>
          <c:yMode val="edge"/>
          <c:x val="0.10372420755097922"/>
          <c:y val="0.03"/>
        </c:manualLayout>
      </c:layout>
      <c:overlay val="0"/>
      <c:spPr>
        <a:noFill/>
        <a:ln w="3175">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CA"/>
        </a:p>
      </c:txPr>
    </c:title>
    <c:autoTitleDeleted val="0"/>
    <c:plotArea>
      <c:layout/>
      <c:barChart>
        <c:barDir val="col"/>
        <c:grouping val="clustered"/>
        <c:varyColors val="0"/>
        <c:ser>
          <c:idx val="0"/>
          <c:order val="0"/>
          <c:tx>
            <c:strRef>
              <c:f>'Genre plaignants (2007-2024)'!$A$13</c:f>
              <c:strCache>
                <c:ptCount val="1"/>
                <c:pt idx="0">
                  <c:v>Masculin</c:v>
                </c:pt>
              </c:strCache>
            </c:strRef>
          </c:tx>
          <c:spPr>
            <a:solidFill>
              <a:srgbClr val="0F243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 plaignants (2007-2024)'!$B$12:$E$12</c:f>
              <c:strCache>
                <c:ptCount val="4"/>
                <c:pt idx="0">
                  <c:v>Total</c:v>
                </c:pt>
                <c:pt idx="1">
                  <c:v>Pour les 2 motifs étudiés</c:v>
                </c:pt>
                <c:pt idx="2">
                  <c:v>Orientation sexuelle</c:v>
                </c:pt>
                <c:pt idx="3">
                  <c:v>Identité ou expression de genre</c:v>
                </c:pt>
              </c:strCache>
            </c:strRef>
          </c:cat>
          <c:val>
            <c:numRef>
              <c:f>'Genre plaignants (2007-2024)'!$B$13:$E$13</c:f>
              <c:numCache>
                <c:formatCode>0.0</c:formatCode>
                <c:ptCount val="4"/>
                <c:pt idx="0">
                  <c:v>48.97478991596639</c:v>
                </c:pt>
                <c:pt idx="1">
                  <c:v>55.520504731861195</c:v>
                </c:pt>
                <c:pt idx="2">
                  <c:v>76.585365853658544</c:v>
                </c:pt>
                <c:pt idx="3">
                  <c:v>16.964285714285715</c:v>
                </c:pt>
              </c:numCache>
            </c:numRef>
          </c:val>
          <c:extLst>
            <c:ext xmlns:c16="http://schemas.microsoft.com/office/drawing/2014/chart" uri="{C3380CC4-5D6E-409C-BE32-E72D297353CC}">
              <c16:uniqueId val="{00000000-81AA-4E31-89CB-A14E46FFDCE3}"/>
            </c:ext>
          </c:extLst>
        </c:ser>
        <c:ser>
          <c:idx val="1"/>
          <c:order val="1"/>
          <c:tx>
            <c:strRef>
              <c:f>'Genre plaignants (2007-2024)'!$A$14</c:f>
              <c:strCache>
                <c:ptCount val="1"/>
                <c:pt idx="0">
                  <c:v>Féminin</c:v>
                </c:pt>
              </c:strCache>
            </c:strRef>
          </c:tx>
          <c:spPr>
            <a:solidFill>
              <a:srgbClr val="CF3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 plaignants (2007-2024)'!$B$12:$E$12</c:f>
              <c:strCache>
                <c:ptCount val="4"/>
                <c:pt idx="0">
                  <c:v>Total</c:v>
                </c:pt>
                <c:pt idx="1">
                  <c:v>Pour les 2 motifs étudiés</c:v>
                </c:pt>
                <c:pt idx="2">
                  <c:v>Orientation sexuelle</c:v>
                </c:pt>
                <c:pt idx="3">
                  <c:v>Identité ou expression de genre</c:v>
                </c:pt>
              </c:strCache>
            </c:strRef>
          </c:cat>
          <c:val>
            <c:numRef>
              <c:f>'Genre plaignants (2007-2024)'!$B$14:$E$14</c:f>
              <c:numCache>
                <c:formatCode>0.0</c:formatCode>
                <c:ptCount val="4"/>
                <c:pt idx="0">
                  <c:v>44.45378151260504</c:v>
                </c:pt>
                <c:pt idx="1">
                  <c:v>31.230283911671926</c:v>
                </c:pt>
                <c:pt idx="2">
                  <c:v>18.048780487804876</c:v>
                </c:pt>
                <c:pt idx="3">
                  <c:v>55.357142857142861</c:v>
                </c:pt>
              </c:numCache>
            </c:numRef>
          </c:val>
          <c:extLst>
            <c:ext xmlns:c16="http://schemas.microsoft.com/office/drawing/2014/chart" uri="{C3380CC4-5D6E-409C-BE32-E72D297353CC}">
              <c16:uniqueId val="{00000001-81AA-4E31-89CB-A14E46FFDCE3}"/>
            </c:ext>
          </c:extLst>
        </c:ser>
        <c:ser>
          <c:idx val="2"/>
          <c:order val="2"/>
          <c:tx>
            <c:strRef>
              <c:f>'Genre plaignants (2007-2024)'!$A$15</c:f>
              <c:strCache>
                <c:ptCount val="1"/>
                <c:pt idx="0">
                  <c:v>Non binaire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 plaignants (2007-2024)'!$B$12:$E$12</c:f>
              <c:strCache>
                <c:ptCount val="4"/>
                <c:pt idx="0">
                  <c:v>Total</c:v>
                </c:pt>
                <c:pt idx="1">
                  <c:v>Pour les 2 motifs étudiés</c:v>
                </c:pt>
                <c:pt idx="2">
                  <c:v>Orientation sexuelle</c:v>
                </c:pt>
                <c:pt idx="3">
                  <c:v>Identité ou expression de genre</c:v>
                </c:pt>
              </c:strCache>
            </c:strRef>
          </c:cat>
          <c:val>
            <c:numRef>
              <c:f>'Genre plaignants (2007-2024)'!$B$15:$E$15</c:f>
              <c:numCache>
                <c:formatCode>0.0</c:formatCode>
                <c:ptCount val="4"/>
                <c:pt idx="0">
                  <c:v>0.10084033613445378</c:v>
                </c:pt>
                <c:pt idx="1">
                  <c:v>1.2618296529968454</c:v>
                </c:pt>
                <c:pt idx="2">
                  <c:v>0.48780487804878048</c:v>
                </c:pt>
                <c:pt idx="3">
                  <c:v>2.6785714285714284</c:v>
                </c:pt>
              </c:numCache>
            </c:numRef>
          </c:val>
          <c:extLst>
            <c:ext xmlns:c16="http://schemas.microsoft.com/office/drawing/2014/chart" uri="{C3380CC4-5D6E-409C-BE32-E72D297353CC}">
              <c16:uniqueId val="{00000002-81AA-4E31-89CB-A14E46FFDCE3}"/>
            </c:ext>
          </c:extLst>
        </c:ser>
        <c:ser>
          <c:idx val="3"/>
          <c:order val="3"/>
          <c:tx>
            <c:strRef>
              <c:f>'Genre plaignants (2007-2024)'!$A$16</c:f>
              <c:strCache>
                <c:ptCount val="1"/>
                <c:pt idx="0">
                  <c:v>Non spécifié</c:v>
                </c:pt>
              </c:strCache>
            </c:strRef>
          </c:tx>
          <c:spPr>
            <a:solidFill>
              <a:srgbClr val="953D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'Genre plaignants (2007-2024)'!$B$12:$E$12</c:f>
              <c:strCache>
                <c:ptCount val="4"/>
                <c:pt idx="0">
                  <c:v>Total</c:v>
                </c:pt>
                <c:pt idx="1">
                  <c:v>Pour les 2 motifs étudiés</c:v>
                </c:pt>
                <c:pt idx="2">
                  <c:v>Orientation sexuelle</c:v>
                </c:pt>
                <c:pt idx="3">
                  <c:v>Identité ou expression de genre</c:v>
                </c:pt>
              </c:strCache>
            </c:strRef>
          </c:cat>
          <c:val>
            <c:numRef>
              <c:f>'Genre plaignants (2007-2024)'!$B$16:$E$16</c:f>
              <c:numCache>
                <c:formatCode>0.0</c:formatCode>
                <c:ptCount val="4"/>
                <c:pt idx="0">
                  <c:v>6.4705882352941186</c:v>
                </c:pt>
                <c:pt idx="1">
                  <c:v>11.987381703470032</c:v>
                </c:pt>
                <c:pt idx="2">
                  <c:v>4.8780487804878048</c:v>
                </c:pt>
                <c:pt idx="3">
                  <c:v>25</c:v>
                </c:pt>
              </c:numCache>
            </c:numRef>
          </c:val>
          <c:extLst>
            <c:ext xmlns:c16="http://schemas.microsoft.com/office/drawing/2014/chart" uri="{C3380CC4-5D6E-409C-BE32-E72D297353CC}">
              <c16:uniqueId val="{00000003-81AA-4E31-89CB-A14E46FFDCE3}"/>
            </c:ext>
          </c:extLst>
        </c:ser>
        <c:dLbls>
          <c:dLblPos val="outEnd"/>
          <c:showLegendKey val="0"/>
          <c:showVal val="1"/>
          <c:showCatName val="0"/>
          <c:showSerName val="0"/>
          <c:showPercent val="0"/>
          <c:showBubbleSize val="0"/>
        </c:dLbls>
        <c:gapWidth val="219"/>
        <c:overlap val="-27"/>
        <c:axId val="540064983"/>
        <c:axId val="540066423"/>
      </c:barChart>
      <c:catAx>
        <c:axId val="540064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02C4B"/>
                </a:solidFill>
                <a:latin typeface="+mn-lt"/>
                <a:ea typeface="+mn-ea"/>
                <a:cs typeface="+mn-cs"/>
              </a:defRPr>
            </a:pPr>
            <a:endParaRPr lang="fr-FR"/>
          </a:p>
        </c:txPr>
        <c:crossAx val="540066423"/>
        <c:crosses val="autoZero"/>
        <c:auto val="1"/>
        <c:lblAlgn val="ctr"/>
        <c:lblOffset val="100"/>
        <c:noMultiLvlLbl val="0"/>
      </c:catAx>
      <c:valAx>
        <c:axId val="540066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fr-CA">
                    <a:solidFill>
                      <a:sysClr val="windowText" lastClr="000000"/>
                    </a:solidFill>
                  </a:rPr>
                  <a:t>%</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540064983"/>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202C4B"/>
              </a:solidFill>
              <a:latin typeface="+mn-lt"/>
              <a:ea typeface="+mn-ea"/>
              <a:cs typeface="+mn-cs"/>
            </a:defRPr>
          </a:pPr>
          <a:endParaRPr lang="fr-FR"/>
        </a:p>
      </c:txPr>
    </c:legend>
    <c:plotVisOnly val="1"/>
    <c:dispBlanksAs val="gap"/>
    <c:showDLblsOverMax val="0"/>
  </c:chart>
  <c:spPr>
    <a:solidFill>
      <a:srgbClr val="E3ECF9"/>
    </a:solidFill>
    <a:ln w="9525" cap="flat" cmpd="sng" algn="ctr">
      <a:solidFill>
        <a:sysClr val="window" lastClr="FFFFFF">
          <a:alpha val="96000"/>
        </a:sys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202C4B"/>
                </a:solidFill>
                <a:latin typeface="+mn-lt"/>
                <a:ea typeface="+mn-ea"/>
                <a:cs typeface="+mn-cs"/>
              </a:defRPr>
            </a:pPr>
            <a:r>
              <a:rPr lang="fr-CA" sz="1000" b="1">
                <a:solidFill>
                  <a:srgbClr val="202C4B"/>
                </a:solidFill>
                <a:effectLst/>
                <a:latin typeface="Aptos" panose="020B0004020202020204" pitchFamily="34" charset="0"/>
              </a:rPr>
              <a:t>Graphique 4</a:t>
            </a:r>
            <a:br>
              <a:rPr lang="fr-CA" sz="1000">
                <a:solidFill>
                  <a:srgbClr val="202C4B"/>
                </a:solidFill>
                <a:effectLst/>
                <a:latin typeface="Aptos" panose="020B0004020202020204" pitchFamily="34" charset="0"/>
              </a:rPr>
            </a:br>
            <a:r>
              <a:rPr lang="fr-CA" sz="1000">
                <a:solidFill>
                  <a:srgbClr val="202C4B"/>
                </a:solidFill>
                <a:effectLst/>
                <a:latin typeface="Aptos" panose="020B0004020202020204" pitchFamily="34" charset="0"/>
              </a:rPr>
              <a:t>Pourcentages des secteurs visés par les plaintes reçues pour discrimination en emploi fondée sur les deux motifs étudiés (1994 – 2024), n = 769</a:t>
            </a:r>
          </a:p>
        </c:rich>
      </c:tx>
      <c:layout>
        <c:manualLayout>
          <c:xMode val="edge"/>
          <c:yMode val="edge"/>
          <c:x val="0.12672222222222224"/>
          <c:y val="2.7672085783465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202C4B"/>
              </a:solidFill>
              <a:latin typeface="+mn-lt"/>
              <a:ea typeface="+mn-ea"/>
              <a:cs typeface="+mn-cs"/>
            </a:defRPr>
          </a:pPr>
          <a:endParaRPr lang="fr-FR"/>
        </a:p>
      </c:txPr>
    </c:title>
    <c:autoTitleDeleted val="0"/>
    <c:plotArea>
      <c:layout>
        <c:manualLayout>
          <c:layoutTarget val="inner"/>
          <c:xMode val="edge"/>
          <c:yMode val="edge"/>
          <c:x val="8.4456036745406818E-2"/>
          <c:y val="0.20024202551240641"/>
          <c:w val="0.86554396325459315"/>
          <c:h val="0.41078665733891012"/>
        </c:manualLayout>
      </c:layout>
      <c:barChart>
        <c:barDir val="col"/>
        <c:grouping val="clustered"/>
        <c:varyColors val="0"/>
        <c:ser>
          <c:idx val="0"/>
          <c:order val="0"/>
          <c:tx>
            <c:strRef>
              <c:f>Graphique_secteursMEC2motifsFIN!$C$3</c:f>
              <c:strCache>
                <c:ptCount val="1"/>
                <c:pt idx="0">
                  <c:v>Total pour les deux motifs</c:v>
                </c:pt>
              </c:strCache>
            </c:strRef>
          </c:tx>
          <c:spPr>
            <a:solidFill>
              <a:srgbClr val="953D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F243E"/>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Graphique_secteursMEC2motifsFIN!$A$4:$A$14</c:f>
              <c:strCache>
                <c:ptCount val="11"/>
                <c:pt idx="0">
                  <c:v>Service</c:v>
                </c:pt>
                <c:pt idx="1">
                  <c:v>Secteur commercial</c:v>
                </c:pt>
                <c:pt idx="2">
                  <c:v>Industrie</c:v>
                </c:pt>
                <c:pt idx="3">
                  <c:v>Organisme gourvernemental et public</c:v>
                </c:pt>
                <c:pt idx="4">
                  <c:v>Transport, communication et gaz</c:v>
                </c:pt>
                <c:pt idx="5">
                  <c:v>Finance, assurance et immobilier</c:v>
                </c:pt>
                <c:pt idx="6">
                  <c:v>Particulier</c:v>
                </c:pt>
                <c:pt idx="7">
                  <c:v>(vide)</c:v>
                </c:pt>
                <c:pt idx="8">
                  <c:v>Bâtiment et travaux publics</c:v>
                </c:pt>
                <c:pt idx="9">
                  <c:v>Agriculture, forêt et mine</c:v>
                </c:pt>
                <c:pt idx="10">
                  <c:v>Autre</c:v>
                </c:pt>
              </c:strCache>
            </c:strRef>
          </c:cat>
          <c:val>
            <c:numRef>
              <c:f>Graphique_secteursMEC2motifsFIN!$C$4:$C$14</c:f>
              <c:numCache>
                <c:formatCode>0%</c:formatCode>
                <c:ptCount val="11"/>
                <c:pt idx="0">
                  <c:v>0.52145643693107935</c:v>
                </c:pt>
                <c:pt idx="1">
                  <c:v>0.19115734720416125</c:v>
                </c:pt>
                <c:pt idx="2">
                  <c:v>0.10793237971391417</c:v>
                </c:pt>
                <c:pt idx="3">
                  <c:v>7.0221066319895969E-2</c:v>
                </c:pt>
                <c:pt idx="4">
                  <c:v>3.5110533159947985E-2</c:v>
                </c:pt>
                <c:pt idx="5">
                  <c:v>3.3810143042912875E-2</c:v>
                </c:pt>
                <c:pt idx="6">
                  <c:v>2.0806241872561769E-2</c:v>
                </c:pt>
                <c:pt idx="7">
                  <c:v>7.8023407022106634E-3</c:v>
                </c:pt>
                <c:pt idx="8">
                  <c:v>5.2015604681404422E-3</c:v>
                </c:pt>
                <c:pt idx="9">
                  <c:v>3.9011703511053317E-3</c:v>
                </c:pt>
                <c:pt idx="10">
                  <c:v>2.6007802340702211E-3</c:v>
                </c:pt>
              </c:numCache>
            </c:numRef>
          </c:val>
          <c:extLst>
            <c:ext xmlns:c16="http://schemas.microsoft.com/office/drawing/2014/chart" uri="{C3380CC4-5D6E-409C-BE32-E72D297353CC}">
              <c16:uniqueId val="{00000000-F1DC-4943-B19F-7AB6E84AFA87}"/>
            </c:ext>
          </c:extLst>
        </c:ser>
        <c:dLbls>
          <c:showLegendKey val="0"/>
          <c:showVal val="0"/>
          <c:showCatName val="0"/>
          <c:showSerName val="0"/>
          <c:showPercent val="0"/>
          <c:showBubbleSize val="0"/>
        </c:dLbls>
        <c:gapWidth val="219"/>
        <c:overlap val="-27"/>
        <c:axId val="343811696"/>
        <c:axId val="343810256"/>
      </c:barChart>
      <c:catAx>
        <c:axId val="34381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F243E"/>
                </a:solidFill>
                <a:latin typeface="Aptos Light" panose="020B0004020202020204" pitchFamily="34" charset="0"/>
                <a:ea typeface="+mn-ea"/>
                <a:cs typeface="+mn-cs"/>
              </a:defRPr>
            </a:pPr>
            <a:endParaRPr lang="fr-FR"/>
          </a:p>
        </c:txPr>
        <c:crossAx val="343810256"/>
        <c:crosses val="autoZero"/>
        <c:auto val="1"/>
        <c:lblAlgn val="ctr"/>
        <c:lblOffset val="100"/>
        <c:noMultiLvlLbl val="0"/>
      </c:catAx>
      <c:valAx>
        <c:axId val="34381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F243E"/>
                </a:solidFill>
                <a:latin typeface="+mn-lt"/>
                <a:ea typeface="+mn-ea"/>
                <a:cs typeface="+mn-cs"/>
              </a:defRPr>
            </a:pPr>
            <a:endParaRPr lang="fr-FR"/>
          </a:p>
        </c:txPr>
        <c:crossAx val="343811696"/>
        <c:crosses val="autoZero"/>
        <c:crossBetween val="between"/>
      </c:valAx>
      <c:spPr>
        <a:solidFill>
          <a:sysClr val="window" lastClr="FFFFFF"/>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3ECF9"/>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000" b="1" i="0" u="none" strike="noStrike" kern="1200" spc="0" baseline="0">
                <a:solidFill>
                  <a:srgbClr val="0F243E"/>
                </a:solidFill>
                <a:latin typeface="Aptos" panose="020B0004020202020204" pitchFamily="34" charset="0"/>
              </a:rPr>
              <a:t>Graphique 5</a:t>
            </a:r>
            <a:br>
              <a:rPr lang="fr-CA" sz="1000" b="0" i="0" u="none" strike="noStrike" kern="1200" spc="0" baseline="0">
                <a:solidFill>
                  <a:srgbClr val="0F243E"/>
                </a:solidFill>
                <a:latin typeface="Aptos" panose="020B0004020202020204" pitchFamily="34" charset="0"/>
              </a:rPr>
            </a:br>
            <a:r>
              <a:rPr lang="fr-CA" sz="1000" b="0" i="0" u="none" strike="noStrike" kern="1200" spc="0" baseline="0">
                <a:solidFill>
                  <a:srgbClr val="0F243E"/>
                </a:solidFill>
                <a:latin typeface="Aptos" panose="020B0004020202020204" pitchFamily="34" charset="0"/>
              </a:rPr>
              <a:t>Les cinq sous-secteurs d’activité les plus représentés parmi les plaintes pour discrimination fondée sur l'orientation sexuelle (1994 –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F243E"/>
              </a:solidFill>
              <a:ln>
                <a:noFill/>
              </a:ln>
              <a:effectLst/>
            </c:spPr>
            <c:extLst>
              <c:ext xmlns:c16="http://schemas.microsoft.com/office/drawing/2014/chart" uri="{C3380CC4-5D6E-409C-BE32-E72D297353CC}">
                <c16:uniqueId val="{00000001-E9D5-454B-A274-AE97B67D4067}"/>
              </c:ext>
            </c:extLst>
          </c:dPt>
          <c:dPt>
            <c:idx val="1"/>
            <c:invertIfNegative val="0"/>
            <c:bubble3D val="0"/>
            <c:spPr>
              <a:solidFill>
                <a:srgbClr val="CF3575"/>
              </a:solidFill>
              <a:ln>
                <a:noFill/>
              </a:ln>
              <a:effectLst/>
            </c:spPr>
            <c:extLst>
              <c:ext xmlns:c16="http://schemas.microsoft.com/office/drawing/2014/chart" uri="{C3380CC4-5D6E-409C-BE32-E72D297353CC}">
                <c16:uniqueId val="{00000003-E9D5-454B-A274-AE97B67D4067}"/>
              </c:ext>
            </c:extLst>
          </c:dPt>
          <c:dPt>
            <c:idx val="2"/>
            <c:invertIfNegative val="0"/>
            <c:bubble3D val="0"/>
            <c:spPr>
              <a:solidFill>
                <a:srgbClr val="27BCD5"/>
              </a:solidFill>
              <a:ln>
                <a:noFill/>
              </a:ln>
              <a:effectLst/>
            </c:spPr>
            <c:extLst>
              <c:ext xmlns:c16="http://schemas.microsoft.com/office/drawing/2014/chart" uri="{C3380CC4-5D6E-409C-BE32-E72D297353CC}">
                <c16:uniqueId val="{00000005-E9D5-454B-A274-AE97B67D4067}"/>
              </c:ext>
            </c:extLst>
          </c:dPt>
          <c:dPt>
            <c:idx val="3"/>
            <c:invertIfNegative val="0"/>
            <c:bubble3D val="0"/>
            <c:spPr>
              <a:solidFill>
                <a:srgbClr val="953D89"/>
              </a:solidFill>
              <a:ln>
                <a:noFill/>
              </a:ln>
              <a:effectLst/>
            </c:spPr>
            <c:extLst>
              <c:ext xmlns:c16="http://schemas.microsoft.com/office/drawing/2014/chart" uri="{C3380CC4-5D6E-409C-BE32-E72D297353CC}">
                <c16:uniqueId val="{00000007-E9D5-454B-A274-AE97B67D4067}"/>
              </c:ext>
            </c:extLst>
          </c:dPt>
          <c:dPt>
            <c:idx val="4"/>
            <c:invertIfNegative val="0"/>
            <c:bubble3D val="0"/>
            <c:spPr>
              <a:solidFill>
                <a:srgbClr val="2A73D0"/>
              </a:solidFill>
              <a:ln>
                <a:noFill/>
              </a:ln>
              <a:effectLst/>
            </c:spPr>
            <c:extLst>
              <c:ext xmlns:c16="http://schemas.microsoft.com/office/drawing/2014/chart" uri="{C3380CC4-5D6E-409C-BE32-E72D297353CC}">
                <c16:uniqueId val="{00000009-E9D5-454B-A274-AE97B67D4067}"/>
              </c:ext>
            </c:extLst>
          </c:dPt>
          <c:dPt>
            <c:idx val="5"/>
            <c:invertIfNegative val="0"/>
            <c:bubble3D val="0"/>
            <c:spPr>
              <a:solidFill>
                <a:schemeClr val="accent4">
                  <a:lumMod val="75000"/>
                </a:schemeClr>
              </a:solidFill>
              <a:ln>
                <a:noFill/>
              </a:ln>
              <a:effectLst/>
            </c:spPr>
            <c:extLst>
              <c:ext xmlns:c16="http://schemas.microsoft.com/office/drawing/2014/chart" uri="{C3380CC4-5D6E-409C-BE32-E72D297353CC}">
                <c16:uniqueId val="{0000000B-E9D5-454B-A274-AE97B67D406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202C4B"/>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'Sous-secteursMEC_OS'!$A$2:$A$7</c:f>
              <c:strCache>
                <c:ptCount val="6"/>
                <c:pt idx="0">
                  <c:v>Services / Hébergement et restauration / Restaurants</c:v>
                </c:pt>
                <c:pt idx="1">
                  <c:v>Services / Soins de santé et services sociaux / Hôpitaux, centres hospitaliers</c:v>
                </c:pt>
                <c:pt idx="2">
                  <c:v>Organismes gouvernementaux et publics / Fonction publique et parapublique / Administration provinciale / services gouvernementaux</c:v>
                </c:pt>
                <c:pt idx="3">
                  <c:v>Secteurs commerciaux / Commerce de détail / Vêtement</c:v>
                </c:pt>
                <c:pt idx="4">
                  <c:v>Industries manufacturières / Industries / Produits métal., électrique, machinerie, électronique, équip. de transport</c:v>
                </c:pt>
                <c:pt idx="5">
                  <c:v>Secteurs commerciaux / Commerce de détail / Services (dépanneur, pharmacie etc...)</c:v>
                </c:pt>
              </c:strCache>
              <c:extLst/>
            </c:strRef>
          </c:cat>
          <c:val>
            <c:numRef>
              <c:f>'Sous-secteursMEC_OS'!$B$2:$B$7</c:f>
              <c:numCache>
                <c:formatCode>0.0%</c:formatCode>
                <c:ptCount val="6"/>
                <c:pt idx="0">
                  <c:v>0.1</c:v>
                </c:pt>
                <c:pt idx="1">
                  <c:v>5.1562499999999997E-2</c:v>
                </c:pt>
                <c:pt idx="2">
                  <c:v>4.6875E-2</c:v>
                </c:pt>
                <c:pt idx="3">
                  <c:v>3.7499999999999999E-2</c:v>
                </c:pt>
                <c:pt idx="4">
                  <c:v>3.5937499999999997E-2</c:v>
                </c:pt>
                <c:pt idx="5">
                  <c:v>3.5937499999999997E-2</c:v>
                </c:pt>
              </c:numCache>
              <c:extLst/>
            </c:numRef>
          </c:val>
          <c:extLst>
            <c:ext xmlns:c16="http://schemas.microsoft.com/office/drawing/2014/chart" uri="{C3380CC4-5D6E-409C-BE32-E72D297353CC}">
              <c16:uniqueId val="{0000000C-E9D5-454B-A274-AE97B67D4067}"/>
            </c:ext>
          </c:extLst>
        </c:ser>
        <c:dLbls>
          <c:showLegendKey val="0"/>
          <c:showVal val="0"/>
          <c:showCatName val="0"/>
          <c:showSerName val="0"/>
          <c:showPercent val="0"/>
          <c:showBubbleSize val="0"/>
        </c:dLbls>
        <c:gapWidth val="219"/>
        <c:overlap val="-27"/>
        <c:axId val="1080188584"/>
        <c:axId val="1080188944"/>
      </c:barChart>
      <c:catAx>
        <c:axId val="108018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02C4B"/>
                </a:solidFill>
                <a:latin typeface="Aptos Light" panose="020B0004020202020204" pitchFamily="34" charset="0"/>
                <a:ea typeface="+mn-ea"/>
                <a:cs typeface="+mn-cs"/>
              </a:defRPr>
            </a:pPr>
            <a:endParaRPr lang="fr-FR"/>
          </a:p>
        </c:txPr>
        <c:crossAx val="1080188944"/>
        <c:crosses val="autoZero"/>
        <c:auto val="1"/>
        <c:lblAlgn val="ctr"/>
        <c:lblOffset val="100"/>
        <c:noMultiLvlLbl val="0"/>
      </c:catAx>
      <c:valAx>
        <c:axId val="108018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F243E"/>
                </a:solidFill>
                <a:latin typeface="+mn-lt"/>
                <a:ea typeface="+mn-ea"/>
                <a:cs typeface="+mn-cs"/>
              </a:defRPr>
            </a:pPr>
            <a:endParaRPr lang="fr-FR"/>
          </a:p>
        </c:txPr>
        <c:crossAx val="1080188584"/>
        <c:crosses val="autoZero"/>
        <c:crossBetween val="between"/>
      </c:valAx>
      <c:spPr>
        <a:solidFill>
          <a:schemeClr val="bg1"/>
        </a:solidFill>
        <a:ln w="3175">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3ECF9"/>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CA" sz="1000" b="1">
                <a:solidFill>
                  <a:srgbClr val="0F243E"/>
                </a:solidFill>
                <a:latin typeface="Aptos" panose="020B0004020202020204" pitchFamily="34" charset="0"/>
              </a:rPr>
              <a:t>Graphique</a:t>
            </a:r>
            <a:r>
              <a:rPr lang="fr-CA" sz="1000" b="1" baseline="0">
                <a:solidFill>
                  <a:srgbClr val="0F243E"/>
                </a:solidFill>
                <a:latin typeface="Aptos" panose="020B0004020202020204" pitchFamily="34" charset="0"/>
              </a:rPr>
              <a:t> 6</a:t>
            </a:r>
            <a:br>
              <a:rPr lang="fr-CA" sz="1000" baseline="0">
                <a:solidFill>
                  <a:srgbClr val="0F243E"/>
                </a:solidFill>
                <a:latin typeface="Aptos" panose="020B0004020202020204" pitchFamily="34" charset="0"/>
              </a:rPr>
            </a:br>
            <a:r>
              <a:rPr lang="fr-CA" sz="1000">
                <a:solidFill>
                  <a:srgbClr val="0F243E"/>
                </a:solidFill>
                <a:latin typeface="Aptos" panose="020B0004020202020204" pitchFamily="34" charset="0"/>
              </a:rPr>
              <a:t>Les cinq sous-secteurs d’activité les plus</a:t>
            </a:r>
            <a:r>
              <a:rPr lang="fr-CA" sz="1000" baseline="0">
                <a:solidFill>
                  <a:srgbClr val="0F243E"/>
                </a:solidFill>
                <a:latin typeface="Aptos" panose="020B0004020202020204" pitchFamily="34" charset="0"/>
              </a:rPr>
              <a:t> représentés parmi les plaintes pour discrimination fondée sur l'identité ou l'expression de genre </a:t>
            </a:r>
            <a:r>
              <a:rPr lang="fr-CA" sz="1000">
                <a:solidFill>
                  <a:srgbClr val="0F243E"/>
                </a:solidFill>
                <a:latin typeface="Aptos" panose="020B0004020202020204" pitchFamily="34" charset="0"/>
              </a:rPr>
              <a:t>(1994 – 2024)</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rgbClr val="0F243E"/>
            </a:solidFill>
            <a:ln>
              <a:noFill/>
            </a:ln>
            <a:effectLst/>
          </c:spPr>
          <c:invertIfNegative val="0"/>
          <c:dPt>
            <c:idx val="1"/>
            <c:invertIfNegative val="0"/>
            <c:bubble3D val="0"/>
            <c:spPr>
              <a:solidFill>
                <a:srgbClr val="CF3575"/>
              </a:solidFill>
              <a:ln>
                <a:noFill/>
              </a:ln>
              <a:effectLst/>
            </c:spPr>
            <c:extLst>
              <c:ext xmlns:c16="http://schemas.microsoft.com/office/drawing/2014/chart" uri="{C3380CC4-5D6E-409C-BE32-E72D297353CC}">
                <c16:uniqueId val="{00000000-2603-4492-98CD-A39DB2C996C8}"/>
              </c:ext>
            </c:extLst>
          </c:dPt>
          <c:dPt>
            <c:idx val="2"/>
            <c:invertIfNegative val="0"/>
            <c:bubble3D val="0"/>
            <c:spPr>
              <a:solidFill>
                <a:srgbClr val="2A73D0"/>
              </a:solidFill>
              <a:ln>
                <a:noFill/>
              </a:ln>
              <a:effectLst/>
            </c:spPr>
            <c:extLst>
              <c:ext xmlns:c16="http://schemas.microsoft.com/office/drawing/2014/chart" uri="{C3380CC4-5D6E-409C-BE32-E72D297353CC}">
                <c16:uniqueId val="{00000001-2603-4492-98CD-A39DB2C996C8}"/>
              </c:ext>
            </c:extLst>
          </c:dPt>
          <c:dPt>
            <c:idx val="3"/>
            <c:invertIfNegative val="0"/>
            <c:bubble3D val="0"/>
            <c:spPr>
              <a:solidFill>
                <a:srgbClr val="953D89"/>
              </a:solidFill>
              <a:ln>
                <a:noFill/>
              </a:ln>
              <a:effectLst/>
            </c:spPr>
            <c:extLst>
              <c:ext xmlns:c16="http://schemas.microsoft.com/office/drawing/2014/chart" uri="{C3380CC4-5D6E-409C-BE32-E72D297353CC}">
                <c16:uniqueId val="{00000002-2603-4492-98CD-A39DB2C996C8}"/>
              </c:ext>
            </c:extLst>
          </c:dPt>
          <c:dPt>
            <c:idx val="4"/>
            <c:invertIfNegative val="0"/>
            <c:bubble3D val="0"/>
            <c:spPr>
              <a:solidFill>
                <a:srgbClr val="27BCD5"/>
              </a:solidFill>
              <a:ln>
                <a:noFill/>
              </a:ln>
              <a:effectLst/>
            </c:spPr>
            <c:extLst>
              <c:ext xmlns:c16="http://schemas.microsoft.com/office/drawing/2014/chart" uri="{C3380CC4-5D6E-409C-BE32-E72D297353CC}">
                <c16:uniqueId val="{00000003-2603-4492-98CD-A39DB2C996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02C4B"/>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'Sous-secteursMEC_IEG'!$A$2:$A$6</c:f>
              <c:strCache>
                <c:ptCount val="5"/>
                <c:pt idx="0">
                  <c:v>Services / Hébergement et restauration / Restaurants</c:v>
                </c:pt>
                <c:pt idx="1">
                  <c:v>Secteurs commerciaux / Commerce de détail / Quincailleries, bijouteries</c:v>
                </c:pt>
                <c:pt idx="2">
                  <c:v>Services / Organisations / Organismes communautaires</c:v>
                </c:pt>
                <c:pt idx="3">
                  <c:v>Secteurs commerciaux / Commerce de détail / Vêtement</c:v>
                </c:pt>
                <c:pt idx="4">
                  <c:v>Secteurs commerciaux / Commerce de détail / Alimentation</c:v>
                </c:pt>
              </c:strCache>
              <c:extLst/>
            </c:strRef>
          </c:cat>
          <c:val>
            <c:numRef>
              <c:f>'Sous-secteursMEC_IEG'!$B$2:$B$6</c:f>
              <c:numCache>
                <c:formatCode>0.0%</c:formatCode>
                <c:ptCount val="5"/>
                <c:pt idx="0">
                  <c:v>8.8235294117647065E-2</c:v>
                </c:pt>
                <c:pt idx="1">
                  <c:v>7.3529411764705885E-2</c:v>
                </c:pt>
                <c:pt idx="2">
                  <c:v>5.1470588235294115E-2</c:v>
                </c:pt>
                <c:pt idx="3">
                  <c:v>5.1470588235294115E-2</c:v>
                </c:pt>
                <c:pt idx="4">
                  <c:v>4.4117647058823532E-2</c:v>
                </c:pt>
              </c:numCache>
              <c:extLst/>
            </c:numRef>
          </c:val>
          <c:extLst>
            <c:ext xmlns:c16="http://schemas.microsoft.com/office/drawing/2014/chart" uri="{C3380CC4-5D6E-409C-BE32-E72D297353CC}">
              <c16:uniqueId val="{00000000-7EC5-4119-B7BD-5E6B31AB3040}"/>
            </c:ext>
          </c:extLst>
        </c:ser>
        <c:dLbls>
          <c:showLegendKey val="0"/>
          <c:showVal val="0"/>
          <c:showCatName val="0"/>
          <c:showSerName val="0"/>
          <c:showPercent val="0"/>
          <c:showBubbleSize val="0"/>
        </c:dLbls>
        <c:gapWidth val="219"/>
        <c:overlap val="-27"/>
        <c:axId val="787377936"/>
        <c:axId val="787378296"/>
      </c:barChart>
      <c:catAx>
        <c:axId val="787377936"/>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202C4B"/>
                </a:solidFill>
                <a:latin typeface="Aptos Light" panose="020B0004020202020204" pitchFamily="34" charset="0"/>
                <a:ea typeface="+mn-ea"/>
                <a:cs typeface="+mn-cs"/>
              </a:defRPr>
            </a:pPr>
            <a:endParaRPr lang="fr-FR"/>
          </a:p>
        </c:txPr>
        <c:crossAx val="787378296"/>
        <c:crosses val="autoZero"/>
        <c:auto val="1"/>
        <c:lblAlgn val="ctr"/>
        <c:lblOffset val="100"/>
        <c:noMultiLvlLbl val="0"/>
      </c:catAx>
      <c:valAx>
        <c:axId val="787378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F243E"/>
                </a:solidFill>
                <a:latin typeface="+mn-lt"/>
                <a:ea typeface="+mn-ea"/>
                <a:cs typeface="+mn-cs"/>
              </a:defRPr>
            </a:pPr>
            <a:endParaRPr lang="fr-FR"/>
          </a:p>
        </c:txPr>
        <c:crossAx val="787377936"/>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3ECF9"/>
    </a:solidFill>
    <a:ln w="3175" cap="flat" cmpd="sng" algn="ctr">
      <a:no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[OS_IEG_1-05-1978_au_31-03-2021_SB_20210609_pourAnalyseQuali_VRAI.xlsx]NbEmployées_Depuis2005!Tableau croisé dynamique3</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1" i="0" u="none" strike="noStrike" kern="1200" spc="0" baseline="0">
                <a:solidFill>
                  <a:srgbClr val="0F243E"/>
                </a:solidFill>
                <a:latin typeface="+mn-lt"/>
              </a:rPr>
              <a:t>Graphique 7</a:t>
            </a:r>
            <a:br>
              <a:rPr lang="en-US" sz="1000" b="0" i="0" u="none" strike="noStrike" kern="1200" spc="0" baseline="0">
                <a:solidFill>
                  <a:srgbClr val="0F243E"/>
                </a:solidFill>
                <a:latin typeface="+mn-lt"/>
              </a:rPr>
            </a:br>
            <a:r>
              <a:rPr lang="en-US" sz="1000" b="0" i="0" u="none" strike="noStrike" kern="1200" spc="0" baseline="0">
                <a:solidFill>
                  <a:srgbClr val="0F243E"/>
                </a:solidFill>
                <a:latin typeface="+mn-lt"/>
              </a:rPr>
              <a:t>Nombre de personnes employées dans les entreprises et organismes mis en cause dans les plaintes du corpus qualitatif (2005 </a:t>
            </a:r>
            <a:r>
              <a:rPr lang="fr-CA" sz="1000" b="0" i="0" u="none" strike="noStrike" kern="1200" spc="0" baseline="0">
                <a:solidFill>
                  <a:srgbClr val="0F243E"/>
                </a:solidFill>
                <a:latin typeface="Aptos" panose="020B0004020202020204" pitchFamily="34" charset="0"/>
              </a:rPr>
              <a:t>–</a:t>
            </a:r>
            <a:r>
              <a:rPr lang="en-US" sz="1000" b="0" i="0" u="none" strike="noStrike" kern="1200" spc="0" baseline="0">
                <a:solidFill>
                  <a:srgbClr val="0F243E"/>
                </a:solidFill>
                <a:latin typeface="+mn-lt"/>
              </a:rPr>
              <a:t> 2020, n = 116)</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fr-FR"/>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NbEmployées_Depuis2005!$B$3</c:f>
              <c:strCache>
                <c:ptCount val="1"/>
                <c:pt idx="0">
                  <c:v>Total</c:v>
                </c:pt>
              </c:strCache>
            </c:strRef>
          </c:tx>
          <c:spPr>
            <a:solidFill>
              <a:srgbClr val="0F243E"/>
            </a:solidFill>
            <a:ln>
              <a:noFill/>
            </a:ln>
            <a:effectLst/>
          </c:spPr>
          <c:invertIfNegative val="0"/>
          <c:dPt>
            <c:idx val="1"/>
            <c:invertIfNegative val="0"/>
            <c:bubble3D val="0"/>
            <c:spPr>
              <a:solidFill>
                <a:srgbClr val="CF3575"/>
              </a:solidFill>
              <a:ln>
                <a:noFill/>
              </a:ln>
              <a:effectLst/>
            </c:spPr>
            <c:extLst>
              <c:ext xmlns:c16="http://schemas.microsoft.com/office/drawing/2014/chart" uri="{C3380CC4-5D6E-409C-BE32-E72D297353CC}">
                <c16:uniqueId val="{00000000-AD79-4507-BEAA-F8C4096CDE21}"/>
              </c:ext>
            </c:extLst>
          </c:dPt>
          <c:dPt>
            <c:idx val="2"/>
            <c:invertIfNegative val="0"/>
            <c:bubble3D val="0"/>
            <c:spPr>
              <a:solidFill>
                <a:srgbClr val="27BCD5"/>
              </a:solidFill>
              <a:ln>
                <a:noFill/>
              </a:ln>
              <a:effectLst/>
            </c:spPr>
            <c:extLst>
              <c:ext xmlns:c16="http://schemas.microsoft.com/office/drawing/2014/chart" uri="{C3380CC4-5D6E-409C-BE32-E72D297353CC}">
                <c16:uniqueId val="{00000001-AD79-4507-BEAA-F8C4096CDE21}"/>
              </c:ext>
            </c:extLst>
          </c:dPt>
          <c:dPt>
            <c:idx val="3"/>
            <c:invertIfNegative val="0"/>
            <c:bubble3D val="0"/>
            <c:spPr>
              <a:solidFill>
                <a:srgbClr val="953D89"/>
              </a:solidFill>
              <a:ln>
                <a:noFill/>
              </a:ln>
              <a:effectLst/>
            </c:spPr>
            <c:extLst>
              <c:ext xmlns:c16="http://schemas.microsoft.com/office/drawing/2014/chart" uri="{C3380CC4-5D6E-409C-BE32-E72D297353CC}">
                <c16:uniqueId val="{00000002-AD79-4507-BEAA-F8C4096CDE21}"/>
              </c:ext>
            </c:extLst>
          </c:dPt>
          <c:dPt>
            <c:idx val="4"/>
            <c:invertIfNegative val="0"/>
            <c:bubble3D val="0"/>
            <c:spPr>
              <a:solidFill>
                <a:srgbClr val="2A73D0"/>
              </a:solidFill>
              <a:ln>
                <a:noFill/>
              </a:ln>
              <a:effectLst/>
            </c:spPr>
            <c:extLst>
              <c:ext xmlns:c16="http://schemas.microsoft.com/office/drawing/2014/chart" uri="{C3380CC4-5D6E-409C-BE32-E72D297353CC}">
                <c16:uniqueId val="{00000003-AD79-4507-BEAA-F8C4096CDE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F243E"/>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NbEmployées_Depuis2005!$A$4:$A$9</c:f>
              <c:strCache>
                <c:ptCount val="5"/>
                <c:pt idx="0">
                  <c:v>25 et moins</c:v>
                </c:pt>
                <c:pt idx="1">
                  <c:v>26 à 99</c:v>
                </c:pt>
                <c:pt idx="2">
                  <c:v>100 à 499</c:v>
                </c:pt>
                <c:pt idx="3">
                  <c:v>500 et plus</c:v>
                </c:pt>
                <c:pt idx="4">
                  <c:v>Introuvé</c:v>
                </c:pt>
              </c:strCache>
            </c:strRef>
          </c:cat>
          <c:val>
            <c:numRef>
              <c:f>NbEmployées_Depuis2005!$B$4:$B$9</c:f>
              <c:numCache>
                <c:formatCode>0%</c:formatCode>
                <c:ptCount val="5"/>
                <c:pt idx="0">
                  <c:v>0.33620689655172414</c:v>
                </c:pt>
                <c:pt idx="1">
                  <c:v>0.29310344827586204</c:v>
                </c:pt>
                <c:pt idx="2">
                  <c:v>0.11206896551724138</c:v>
                </c:pt>
                <c:pt idx="3">
                  <c:v>0.2413793103448276</c:v>
                </c:pt>
                <c:pt idx="4">
                  <c:v>1.7241379310344827E-2</c:v>
                </c:pt>
              </c:numCache>
            </c:numRef>
          </c:val>
          <c:extLst>
            <c:ext xmlns:c16="http://schemas.microsoft.com/office/drawing/2014/chart" uri="{C3380CC4-5D6E-409C-BE32-E72D297353CC}">
              <c16:uniqueId val="{00000000-C26F-48C5-A540-C69044ABC4E4}"/>
            </c:ext>
          </c:extLst>
        </c:ser>
        <c:dLbls>
          <c:showLegendKey val="0"/>
          <c:showVal val="0"/>
          <c:showCatName val="0"/>
          <c:showSerName val="0"/>
          <c:showPercent val="0"/>
          <c:showBubbleSize val="0"/>
        </c:dLbls>
        <c:gapWidth val="219"/>
        <c:overlap val="-27"/>
        <c:axId val="1239368272"/>
        <c:axId val="1239369712"/>
      </c:barChart>
      <c:catAx>
        <c:axId val="123936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F243E"/>
                </a:solidFill>
                <a:latin typeface="Aptos Light" panose="020B0004020202020204" pitchFamily="34" charset="0"/>
                <a:ea typeface="+mn-ea"/>
                <a:cs typeface="+mn-cs"/>
              </a:defRPr>
            </a:pPr>
            <a:endParaRPr lang="fr-FR"/>
          </a:p>
        </c:txPr>
        <c:crossAx val="1239369712"/>
        <c:crosses val="autoZero"/>
        <c:auto val="1"/>
        <c:lblAlgn val="ctr"/>
        <c:lblOffset val="100"/>
        <c:noMultiLvlLbl val="0"/>
      </c:catAx>
      <c:valAx>
        <c:axId val="123936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F243E"/>
                </a:solidFill>
                <a:latin typeface="+mn-lt"/>
                <a:ea typeface="+mn-ea"/>
                <a:cs typeface="+mn-cs"/>
              </a:defRPr>
            </a:pPr>
            <a:endParaRPr lang="fr-FR"/>
          </a:p>
        </c:txPr>
        <c:crossAx val="1239368272"/>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3ECF9"/>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CA" sz="1000" b="1" i="0" u="none" strike="noStrike" kern="1200" spc="0" baseline="0">
                <a:solidFill>
                  <a:srgbClr val="0F243E"/>
                </a:solidFill>
                <a:latin typeface="Aptos" panose="020B0004020202020204" pitchFamily="34" charset="0"/>
              </a:rPr>
              <a:t>Graphique 8</a:t>
            </a:r>
            <a:br>
              <a:rPr lang="fr-CA" sz="1000" b="0" i="0" u="none" strike="noStrike" kern="1200" spc="0" baseline="0">
                <a:solidFill>
                  <a:srgbClr val="0F243E"/>
                </a:solidFill>
                <a:latin typeface="Aptos" panose="020B0004020202020204" pitchFamily="34" charset="0"/>
              </a:rPr>
            </a:br>
            <a:r>
              <a:rPr lang="fr-CA" sz="1000" b="0" i="0" u="none" strike="noStrike" kern="1200" spc="0" baseline="0">
                <a:solidFill>
                  <a:srgbClr val="0F243E"/>
                </a:solidFill>
                <a:latin typeface="Aptos" panose="020B0004020202020204" pitchFamily="34" charset="0"/>
              </a:rPr>
              <a:t>Les cinq atteintes aux droits alléguées les plus représentées parmi les plaintes pour discrimination en emploi fondée sur l'orientation sexuelle et l'identité ou l'expression de genre (1994 – 2024), n = 769</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2883502023467333E-2"/>
          <c:y val="0.19050847457627115"/>
          <c:w val="0.91436572238191016"/>
          <c:h val="0.7382487897795517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F243E"/>
              </a:solidFill>
              <a:ln>
                <a:noFill/>
              </a:ln>
              <a:effectLst/>
            </c:spPr>
            <c:extLst>
              <c:ext xmlns:c16="http://schemas.microsoft.com/office/drawing/2014/chart" uri="{C3380CC4-5D6E-409C-BE32-E72D297353CC}">
                <c16:uniqueId val="{00000000-EE49-4BF1-BE55-76EF188EAA82}"/>
              </c:ext>
            </c:extLst>
          </c:dPt>
          <c:dPt>
            <c:idx val="1"/>
            <c:invertIfNegative val="0"/>
            <c:bubble3D val="0"/>
            <c:spPr>
              <a:solidFill>
                <a:srgbClr val="953D89"/>
              </a:solidFill>
              <a:ln>
                <a:noFill/>
              </a:ln>
              <a:effectLst/>
            </c:spPr>
            <c:extLst>
              <c:ext xmlns:c16="http://schemas.microsoft.com/office/drawing/2014/chart" uri="{C3380CC4-5D6E-409C-BE32-E72D297353CC}">
                <c16:uniqueId val="{00000001-EE49-4BF1-BE55-76EF188EAA82}"/>
              </c:ext>
            </c:extLst>
          </c:dPt>
          <c:dPt>
            <c:idx val="2"/>
            <c:invertIfNegative val="0"/>
            <c:bubble3D val="0"/>
            <c:spPr>
              <a:solidFill>
                <a:srgbClr val="2A73D0"/>
              </a:solidFill>
              <a:ln>
                <a:noFill/>
              </a:ln>
              <a:effectLst/>
            </c:spPr>
            <c:extLst>
              <c:ext xmlns:c16="http://schemas.microsoft.com/office/drawing/2014/chart" uri="{C3380CC4-5D6E-409C-BE32-E72D297353CC}">
                <c16:uniqueId val="{00000002-EE49-4BF1-BE55-76EF188EAA82}"/>
              </c:ext>
            </c:extLst>
          </c:dPt>
          <c:dPt>
            <c:idx val="3"/>
            <c:invertIfNegative val="0"/>
            <c:bubble3D val="0"/>
            <c:spPr>
              <a:solidFill>
                <a:srgbClr val="CF3575"/>
              </a:solidFill>
              <a:ln>
                <a:noFill/>
              </a:ln>
              <a:effectLst/>
            </c:spPr>
            <c:extLst>
              <c:ext xmlns:c16="http://schemas.microsoft.com/office/drawing/2014/chart" uri="{C3380CC4-5D6E-409C-BE32-E72D297353CC}">
                <c16:uniqueId val="{00000003-EE49-4BF1-BE55-76EF188EAA82}"/>
              </c:ext>
            </c:extLst>
          </c:dPt>
          <c:dPt>
            <c:idx val="4"/>
            <c:invertIfNegative val="0"/>
            <c:bubble3D val="0"/>
            <c:spPr>
              <a:solidFill>
                <a:srgbClr val="27BCD5"/>
              </a:solidFill>
              <a:ln>
                <a:noFill/>
              </a:ln>
              <a:effectLst/>
            </c:spPr>
            <c:extLst>
              <c:ext xmlns:c16="http://schemas.microsoft.com/office/drawing/2014/chart" uri="{C3380CC4-5D6E-409C-BE32-E72D297353CC}">
                <c16:uniqueId val="{00000004-EE49-4BF1-BE55-76EF188EAA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F243E"/>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Droitsatteints_deuxmotifs!$A$2:$A$6</c:f>
              <c:strCache>
                <c:ptCount val="5"/>
                <c:pt idx="0">
                  <c:v>Congédiement</c:v>
                </c:pt>
                <c:pt idx="1">
                  <c:v>Climat de travail</c:v>
                </c:pt>
                <c:pt idx="2">
                  <c:v>Conditions de travail</c:v>
                </c:pt>
                <c:pt idx="3">
                  <c:v>Embauche</c:v>
                </c:pt>
                <c:pt idx="4">
                  <c:v>Démission forcée</c:v>
                </c:pt>
              </c:strCache>
              <c:extLst/>
            </c:strRef>
          </c:cat>
          <c:val>
            <c:numRef>
              <c:f>Droitsatteints_deuxmotifs!$B$2:$B$6</c:f>
              <c:numCache>
                <c:formatCode>0.0%</c:formatCode>
                <c:ptCount val="5"/>
                <c:pt idx="0">
                  <c:v>0.35110533159947982</c:v>
                </c:pt>
                <c:pt idx="1">
                  <c:v>0.22626788036410922</c:v>
                </c:pt>
                <c:pt idx="2">
                  <c:v>8.9726918075422629E-2</c:v>
                </c:pt>
                <c:pt idx="3">
                  <c:v>8.4525357607282178E-2</c:v>
                </c:pt>
                <c:pt idx="4">
                  <c:v>4.8114434330299091E-2</c:v>
                </c:pt>
              </c:numCache>
              <c:extLst/>
            </c:numRef>
          </c:val>
          <c:extLst>
            <c:ext xmlns:c16="http://schemas.microsoft.com/office/drawing/2014/chart" uri="{C3380CC4-5D6E-409C-BE32-E72D297353CC}">
              <c16:uniqueId val="{00000000-8D17-4CC9-AE75-EF3683D53C23}"/>
            </c:ext>
          </c:extLst>
        </c:ser>
        <c:dLbls>
          <c:showLegendKey val="0"/>
          <c:showVal val="0"/>
          <c:showCatName val="0"/>
          <c:showSerName val="0"/>
          <c:showPercent val="0"/>
          <c:showBubbleSize val="0"/>
        </c:dLbls>
        <c:gapWidth val="219"/>
        <c:overlap val="-27"/>
        <c:axId val="983161704"/>
        <c:axId val="983162424"/>
      </c:barChart>
      <c:catAx>
        <c:axId val="98316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F243E"/>
                </a:solidFill>
                <a:latin typeface="Aptos Light" panose="020B0004020202020204" pitchFamily="34" charset="0"/>
                <a:ea typeface="+mn-ea"/>
                <a:cs typeface="+mn-cs"/>
              </a:defRPr>
            </a:pPr>
            <a:endParaRPr lang="fr-FR"/>
          </a:p>
        </c:txPr>
        <c:crossAx val="983162424"/>
        <c:crosses val="autoZero"/>
        <c:auto val="1"/>
        <c:lblAlgn val="ctr"/>
        <c:lblOffset val="100"/>
        <c:noMultiLvlLbl val="0"/>
      </c:catAx>
      <c:valAx>
        <c:axId val="98316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F243E"/>
                </a:solidFill>
                <a:latin typeface="+mn-lt"/>
                <a:ea typeface="+mn-ea"/>
                <a:cs typeface="+mn-cs"/>
              </a:defRPr>
            </a:pPr>
            <a:endParaRPr lang="fr-FR"/>
          </a:p>
        </c:txPr>
        <c:crossAx val="983161704"/>
        <c:crosses val="autoZero"/>
        <c:crossBetween val="between"/>
      </c:valAx>
      <c:spPr>
        <a:solidFill>
          <a:sysClr val="window" lastClr="FFFFFF"/>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3ECF9"/>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000" b="1" i="0" u="none" strike="noStrike" kern="1200" spc="0" baseline="0">
                <a:solidFill>
                  <a:srgbClr val="0F243E"/>
                </a:solidFill>
                <a:latin typeface="Aptos" panose="020B0004020202020204" pitchFamily="34" charset="0"/>
              </a:rPr>
              <a:t>Graphique 9</a:t>
            </a:r>
            <a:br>
              <a:rPr lang="fr-CA" sz="1000" b="0" i="0" u="none" strike="noStrike" kern="1200" spc="0" baseline="0">
                <a:solidFill>
                  <a:srgbClr val="0F243E"/>
                </a:solidFill>
                <a:latin typeface="Aptos" panose="020B0004020202020204" pitchFamily="34" charset="0"/>
              </a:rPr>
            </a:br>
            <a:r>
              <a:rPr lang="fr-CA" sz="1000" b="0" i="0" u="none" strike="noStrike" kern="1200" spc="0" baseline="0">
                <a:solidFill>
                  <a:srgbClr val="0F243E"/>
                </a:solidFill>
                <a:latin typeface="Aptos" panose="020B0004020202020204" pitchFamily="34" charset="0"/>
              </a:rPr>
              <a:t>Les cinq atteintes aux droits alléguées les plus représentées parmi les plaintes pour discrimination en emploi fondée sur l'orientation sexuelle (1994 – 2024), n = 640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7.29906309179707E-2"/>
          <c:y val="0.17667931433943893"/>
          <c:w val="0.90380261802717698"/>
          <c:h val="0.5611131630934194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F243E"/>
              </a:solidFill>
              <a:ln>
                <a:noFill/>
              </a:ln>
              <a:effectLst/>
            </c:spPr>
            <c:extLst>
              <c:ext xmlns:c16="http://schemas.microsoft.com/office/drawing/2014/chart" uri="{C3380CC4-5D6E-409C-BE32-E72D297353CC}">
                <c16:uniqueId val="{00000000-9911-45A2-A282-A422673F145D}"/>
              </c:ext>
            </c:extLst>
          </c:dPt>
          <c:dPt>
            <c:idx val="1"/>
            <c:invertIfNegative val="0"/>
            <c:bubble3D val="0"/>
            <c:spPr>
              <a:solidFill>
                <a:srgbClr val="CF3575"/>
              </a:solidFill>
              <a:ln>
                <a:noFill/>
              </a:ln>
              <a:effectLst/>
            </c:spPr>
            <c:extLst>
              <c:ext xmlns:c16="http://schemas.microsoft.com/office/drawing/2014/chart" uri="{C3380CC4-5D6E-409C-BE32-E72D297353CC}">
                <c16:uniqueId val="{00000001-9911-45A2-A282-A422673F145D}"/>
              </c:ext>
            </c:extLst>
          </c:dPt>
          <c:dPt>
            <c:idx val="2"/>
            <c:invertIfNegative val="0"/>
            <c:bubble3D val="0"/>
            <c:spPr>
              <a:solidFill>
                <a:srgbClr val="27BCD5"/>
              </a:solidFill>
              <a:ln>
                <a:noFill/>
              </a:ln>
              <a:effectLst/>
            </c:spPr>
            <c:extLst>
              <c:ext xmlns:c16="http://schemas.microsoft.com/office/drawing/2014/chart" uri="{C3380CC4-5D6E-409C-BE32-E72D297353CC}">
                <c16:uniqueId val="{00000002-9911-45A2-A282-A422673F145D}"/>
              </c:ext>
            </c:extLst>
          </c:dPt>
          <c:dPt>
            <c:idx val="3"/>
            <c:invertIfNegative val="0"/>
            <c:bubble3D val="0"/>
            <c:spPr>
              <a:solidFill>
                <a:srgbClr val="953D89"/>
              </a:solidFill>
              <a:ln>
                <a:noFill/>
              </a:ln>
              <a:effectLst/>
            </c:spPr>
            <c:extLst>
              <c:ext xmlns:c16="http://schemas.microsoft.com/office/drawing/2014/chart" uri="{C3380CC4-5D6E-409C-BE32-E72D297353CC}">
                <c16:uniqueId val="{00000003-9911-45A2-A282-A422673F145D}"/>
              </c:ext>
            </c:extLst>
          </c:dPt>
          <c:dPt>
            <c:idx val="4"/>
            <c:invertIfNegative val="0"/>
            <c:bubble3D val="0"/>
            <c:spPr>
              <a:solidFill>
                <a:srgbClr val="2A73D0"/>
              </a:solidFill>
              <a:ln>
                <a:noFill/>
              </a:ln>
              <a:effectLst/>
            </c:spPr>
            <c:extLst>
              <c:ext xmlns:c16="http://schemas.microsoft.com/office/drawing/2014/chart" uri="{C3380CC4-5D6E-409C-BE32-E72D297353CC}">
                <c16:uniqueId val="{00000004-9911-45A2-A282-A422673F145D}"/>
              </c:ext>
            </c:extLst>
          </c:dPt>
          <c:dPt>
            <c:idx val="5"/>
            <c:invertIfNegative val="0"/>
            <c:bubble3D val="0"/>
            <c:spPr>
              <a:solidFill>
                <a:srgbClr val="7F8FA9">
                  <a:lumMod val="75000"/>
                </a:srgbClr>
              </a:solidFill>
              <a:ln>
                <a:noFill/>
              </a:ln>
              <a:effectLst/>
            </c:spPr>
            <c:extLst>
              <c:ext xmlns:c16="http://schemas.microsoft.com/office/drawing/2014/chart" uri="{C3380CC4-5D6E-409C-BE32-E72D297353CC}">
                <c16:uniqueId val="{00000005-9911-45A2-A282-A422673F14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F243E"/>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Droitsatteints_OS!$A$2:$A$7</c:f>
              <c:strCache>
                <c:ptCount val="6"/>
                <c:pt idx="0">
                  <c:v>Congédiement</c:v>
                </c:pt>
                <c:pt idx="1">
                  <c:v>Climat de travail</c:v>
                </c:pt>
                <c:pt idx="2">
                  <c:v>Conditions de travail</c:v>
                </c:pt>
                <c:pt idx="3">
                  <c:v>Embauche</c:v>
                </c:pt>
                <c:pt idx="4">
                  <c:v>Droit à la sauvegarde de sa dignité, de son honneur et de sa réputation</c:v>
                </c:pt>
                <c:pt idx="5">
                  <c:v>Démission forcée</c:v>
                </c:pt>
              </c:strCache>
              <c:extLst/>
            </c:strRef>
          </c:cat>
          <c:val>
            <c:numRef>
              <c:f>Droitsatteints_OS!$B$2:$B$7</c:f>
              <c:numCache>
                <c:formatCode>0.0%</c:formatCode>
                <c:ptCount val="6"/>
                <c:pt idx="0">
                  <c:v>0.36875000000000002</c:v>
                </c:pt>
                <c:pt idx="1">
                  <c:v>0.2265625</c:v>
                </c:pt>
                <c:pt idx="2">
                  <c:v>9.8437499999999997E-2</c:v>
                </c:pt>
                <c:pt idx="3">
                  <c:v>5.9374999999999997E-2</c:v>
                </c:pt>
                <c:pt idx="4">
                  <c:v>4.5312499999999999E-2</c:v>
                </c:pt>
                <c:pt idx="5">
                  <c:v>4.5312499999999999E-2</c:v>
                </c:pt>
              </c:numCache>
              <c:extLst/>
            </c:numRef>
          </c:val>
          <c:extLst>
            <c:ext xmlns:c16="http://schemas.microsoft.com/office/drawing/2014/chart" uri="{C3380CC4-5D6E-409C-BE32-E72D297353CC}">
              <c16:uniqueId val="{00000000-34B7-4710-8FD6-68007E29B43B}"/>
            </c:ext>
          </c:extLst>
        </c:ser>
        <c:dLbls>
          <c:showLegendKey val="0"/>
          <c:showVal val="0"/>
          <c:showCatName val="0"/>
          <c:showSerName val="0"/>
          <c:showPercent val="0"/>
          <c:showBubbleSize val="0"/>
        </c:dLbls>
        <c:gapWidth val="219"/>
        <c:overlap val="-27"/>
        <c:axId val="982167960"/>
        <c:axId val="404934744"/>
      </c:barChart>
      <c:catAx>
        <c:axId val="98216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F243E"/>
                </a:solidFill>
                <a:latin typeface="Aptos Light" panose="020B0004020202020204" pitchFamily="34" charset="0"/>
                <a:ea typeface="+mn-ea"/>
                <a:cs typeface="+mn-cs"/>
              </a:defRPr>
            </a:pPr>
            <a:endParaRPr lang="fr-FR"/>
          </a:p>
        </c:txPr>
        <c:crossAx val="404934744"/>
        <c:crosses val="autoZero"/>
        <c:auto val="1"/>
        <c:lblAlgn val="ctr"/>
        <c:lblOffset val="100"/>
        <c:noMultiLvlLbl val="0"/>
      </c:catAx>
      <c:valAx>
        <c:axId val="404934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F243E"/>
                </a:solidFill>
                <a:latin typeface="Aptos Light" panose="020B0004020202020204" pitchFamily="34" charset="0"/>
                <a:ea typeface="+mn-ea"/>
                <a:cs typeface="+mn-cs"/>
              </a:defRPr>
            </a:pPr>
            <a:endParaRPr lang="fr-FR"/>
          </a:p>
        </c:txPr>
        <c:crossAx val="982167960"/>
        <c:crosses val="autoZero"/>
        <c:crossBetween val="between"/>
      </c:valAx>
      <c:spPr>
        <a:solidFill>
          <a:sysClr val="window" lastClr="FFFFFF"/>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3ECF9"/>
    </a:solidFill>
    <a:ln w="9525" cap="flat" cmpd="sng" algn="ctr">
      <a:no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F66834-E4E1-43F7-81AA-10EC6A17616A}" type="doc">
      <dgm:prSet loTypeId="urn:microsoft.com/office/officeart/2005/8/layout/lProcess2" loCatId="list" qsTypeId="urn:microsoft.com/office/officeart/2005/8/quickstyle/simple1" qsCatId="simple" csTypeId="urn:microsoft.com/office/officeart/2005/8/colors/accent3_1" csCatId="accent3" phldr="1"/>
      <dgm:spPr/>
      <dgm:t>
        <a:bodyPr/>
        <a:lstStyle/>
        <a:p>
          <a:endParaRPr lang="en-US"/>
        </a:p>
      </dgm:t>
    </dgm:pt>
    <dgm:pt modelId="{7285B92C-8E83-4911-9E1B-378493BDB867}">
      <dgm:prSet custT="1"/>
      <dgm:spPr>
        <a:xfrm>
          <a:off x="674" y="0"/>
          <a:ext cx="1753906" cy="5836919"/>
        </a:xfrm>
        <a:prstGeom prst="roundRect">
          <a:avLst>
            <a:gd name="adj" fmla="val 10000"/>
          </a:avLst>
        </a:prstGeom>
        <a:solidFill>
          <a:srgbClr val="0F243E"/>
        </a:solidFill>
        <a:ln>
          <a:noFill/>
        </a:ln>
        <a:effectLst/>
      </dgm:spPr>
      <dgm:t>
        <a:bodyPr/>
        <a:lstStyle/>
        <a:p>
          <a:pPr algn="ctr">
            <a:buNone/>
          </a:pPr>
          <a:r>
            <a:rPr lang="fr-CA" sz="1600" noProof="0" dirty="0">
              <a:solidFill>
                <a:schemeClr val="bg1"/>
              </a:solidFill>
              <a:latin typeface="+mn-lt"/>
              <a:ea typeface="+mn-ea"/>
              <a:cs typeface="+mn-cs"/>
            </a:rPr>
            <a:t>Propos</a:t>
          </a:r>
          <a:br>
            <a:rPr lang="fr-CA" sz="1600" noProof="0" dirty="0">
              <a:solidFill>
                <a:schemeClr val="bg1"/>
              </a:solidFill>
              <a:latin typeface="+mn-lt"/>
              <a:ea typeface="+mn-ea"/>
              <a:cs typeface="+mn-cs"/>
            </a:rPr>
          </a:br>
          <a:r>
            <a:rPr lang="fr-CA" sz="1600" noProof="0" dirty="0">
              <a:solidFill>
                <a:schemeClr val="bg1"/>
              </a:solidFill>
              <a:latin typeface="+mn-lt"/>
              <a:ea typeface="+mn-ea"/>
              <a:cs typeface="+mn-cs"/>
            </a:rPr>
            <a:t>(84 %)</a:t>
          </a:r>
        </a:p>
      </dgm:t>
    </dgm:pt>
    <dgm:pt modelId="{B5D7B220-758B-4CD8-A2AC-7E67D75979EB}" type="parTrans" cxnId="{DAC84287-E8A4-4BA3-A978-865FDB6E53AA}">
      <dgm:prSet/>
      <dgm:spPr/>
      <dgm:t>
        <a:bodyPr/>
        <a:lstStyle/>
        <a:p>
          <a:pPr algn="ctr"/>
          <a:endParaRPr lang="en-US"/>
        </a:p>
      </dgm:t>
    </dgm:pt>
    <dgm:pt modelId="{99708404-ACCC-40E3-AFD6-F7D3BDE0B779}" type="sibTrans" cxnId="{DAC84287-E8A4-4BA3-A978-865FDB6E53AA}">
      <dgm:prSet/>
      <dgm:spPr/>
      <dgm:t>
        <a:bodyPr/>
        <a:lstStyle/>
        <a:p>
          <a:pPr algn="ctr"/>
          <a:endParaRPr lang="en-US"/>
        </a:p>
      </dgm:t>
    </dgm:pt>
    <dgm:pt modelId="{261CAED0-8A59-4DBA-B82D-AD0F6D5DF5AD}">
      <dgm:prSet custT="1"/>
      <dgm:spPr>
        <a:xfrm>
          <a:off x="176065" y="1752789"/>
          <a:ext cx="1403125" cy="327954"/>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fr-CA" sz="1000" dirty="0">
              <a:solidFill>
                <a:srgbClr val="0F243E"/>
              </a:solidFill>
              <a:latin typeface="Aptos" panose="020B0004020202020204" pitchFamily="34" charset="0"/>
              <a:ea typeface="+mn-ea"/>
              <a:cs typeface="+mn-cs"/>
            </a:rPr>
            <a:t>Stéréotypes (42 %)</a:t>
          </a:r>
          <a:endParaRPr lang="en-US" sz="1000" dirty="0">
            <a:solidFill>
              <a:srgbClr val="0F243E"/>
            </a:solidFill>
            <a:latin typeface="Aptos" panose="020B0004020202020204" pitchFamily="34" charset="0"/>
            <a:ea typeface="+mn-ea"/>
            <a:cs typeface="+mn-cs"/>
          </a:endParaRPr>
        </a:p>
      </dgm:t>
    </dgm:pt>
    <dgm:pt modelId="{232AA692-8C44-4D6C-B1DD-E046BA5397FF}" type="parTrans" cxnId="{AA7D020A-DB97-453D-97C7-1B2A3B1FB5AB}">
      <dgm:prSet/>
      <dgm:spPr/>
      <dgm:t>
        <a:bodyPr/>
        <a:lstStyle/>
        <a:p>
          <a:pPr algn="ctr"/>
          <a:endParaRPr lang="en-US"/>
        </a:p>
      </dgm:t>
    </dgm:pt>
    <dgm:pt modelId="{A4DAED1C-5640-4635-A85C-08C7FCFB2BEE}" type="sibTrans" cxnId="{AA7D020A-DB97-453D-97C7-1B2A3B1FB5AB}">
      <dgm:prSet/>
      <dgm:spPr/>
      <dgm:t>
        <a:bodyPr/>
        <a:lstStyle/>
        <a:p>
          <a:pPr algn="ctr"/>
          <a:endParaRPr lang="en-US"/>
        </a:p>
      </dgm:t>
    </dgm:pt>
    <dgm:pt modelId="{72B11CB7-75A6-434D-84E3-B1DA2A7EF1AA}">
      <dgm:prSet custT="1"/>
      <dgm:spPr>
        <a:xfrm>
          <a:off x="176065" y="2122710"/>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fr-CA" sz="1000" dirty="0">
              <a:solidFill>
                <a:srgbClr val="0F243E"/>
              </a:solidFill>
              <a:latin typeface="Aptos" panose="020B0004020202020204" pitchFamily="34" charset="0"/>
              <a:ea typeface="+mn-ea"/>
              <a:cs typeface="+mn-cs"/>
            </a:rPr>
            <a:t>Dénigrement (42 %)</a:t>
          </a:r>
          <a:endParaRPr lang="en-US" sz="1000" dirty="0">
            <a:solidFill>
              <a:srgbClr val="0F243E"/>
            </a:solidFill>
            <a:latin typeface="Aptos" panose="020B0004020202020204" pitchFamily="34" charset="0"/>
            <a:ea typeface="+mn-ea"/>
            <a:cs typeface="+mn-cs"/>
          </a:endParaRPr>
        </a:p>
      </dgm:t>
    </dgm:pt>
    <dgm:pt modelId="{36D672E6-AFF6-46CF-9105-2877DE82ED65}" type="parTrans" cxnId="{2509373D-59A1-45D1-A119-3081135910CF}">
      <dgm:prSet/>
      <dgm:spPr/>
      <dgm:t>
        <a:bodyPr/>
        <a:lstStyle/>
        <a:p>
          <a:pPr algn="ctr"/>
          <a:endParaRPr lang="en-US"/>
        </a:p>
      </dgm:t>
    </dgm:pt>
    <dgm:pt modelId="{842DCBB3-0506-45C8-9D42-837664C252D3}" type="sibTrans" cxnId="{2509373D-59A1-45D1-A119-3081135910CF}">
      <dgm:prSet/>
      <dgm:spPr/>
      <dgm:t>
        <a:bodyPr/>
        <a:lstStyle/>
        <a:p>
          <a:pPr algn="ctr"/>
          <a:endParaRPr lang="en-US"/>
        </a:p>
      </dgm:t>
    </dgm:pt>
    <dgm:pt modelId="{71EE1025-3D4F-42F9-9C82-1D532C4B1D34}">
      <dgm:prSet custT="1"/>
      <dgm:spPr>
        <a:xfrm>
          <a:off x="176065" y="2437464"/>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fr-CA" sz="1000" dirty="0">
              <a:solidFill>
                <a:srgbClr val="0F243E"/>
              </a:solidFill>
              <a:latin typeface="Aptos" panose="020B0004020202020204" pitchFamily="34" charset="0"/>
              <a:ea typeface="+mn-ea"/>
              <a:cs typeface="+mn-cs"/>
            </a:rPr>
            <a:t>Insultes (33 %)</a:t>
          </a:r>
          <a:endParaRPr lang="en-US" sz="1000" dirty="0">
            <a:solidFill>
              <a:srgbClr val="0F243E"/>
            </a:solidFill>
            <a:latin typeface="Aptos" panose="020B0004020202020204" pitchFamily="34" charset="0"/>
            <a:ea typeface="+mn-ea"/>
            <a:cs typeface="+mn-cs"/>
          </a:endParaRPr>
        </a:p>
      </dgm:t>
    </dgm:pt>
    <dgm:pt modelId="{6BC27731-1B72-4040-929C-1D0495B07929}" type="parTrans" cxnId="{5189FB42-768C-4E0F-9105-A4196E743535}">
      <dgm:prSet/>
      <dgm:spPr/>
      <dgm:t>
        <a:bodyPr/>
        <a:lstStyle/>
        <a:p>
          <a:pPr algn="ctr"/>
          <a:endParaRPr lang="en-US"/>
        </a:p>
      </dgm:t>
    </dgm:pt>
    <dgm:pt modelId="{84906E4B-AE77-430E-A28D-D041FB76D4E4}" type="sibTrans" cxnId="{5189FB42-768C-4E0F-9105-A4196E743535}">
      <dgm:prSet/>
      <dgm:spPr/>
      <dgm:t>
        <a:bodyPr/>
        <a:lstStyle/>
        <a:p>
          <a:pPr algn="ctr"/>
          <a:endParaRPr lang="en-US"/>
        </a:p>
      </dgm:t>
    </dgm:pt>
    <dgm:pt modelId="{C221A7A0-B6A8-420C-925B-EA2F6AB7CC25}">
      <dgm:prSet custT="1"/>
      <dgm:spPr>
        <a:xfrm>
          <a:off x="176065" y="3696807"/>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fr-CA" sz="1000" dirty="0">
              <a:solidFill>
                <a:srgbClr val="0F243E"/>
              </a:solidFill>
              <a:latin typeface="Interstate" panose="020B0604020202020204" charset="0"/>
              <a:ea typeface="+mn-ea"/>
              <a:cs typeface="+mn-cs"/>
            </a:rPr>
            <a:t>Blagues/moqueries (18 %)</a:t>
          </a:r>
          <a:endParaRPr lang="en-US" sz="1000" dirty="0">
            <a:solidFill>
              <a:srgbClr val="0F243E"/>
            </a:solidFill>
            <a:latin typeface="Interstate" panose="020B0604020202020204" charset="0"/>
            <a:ea typeface="+mn-ea"/>
            <a:cs typeface="+mn-cs"/>
          </a:endParaRPr>
        </a:p>
      </dgm:t>
    </dgm:pt>
    <dgm:pt modelId="{19B6D8F3-09B1-43CF-905A-0CC8697CED3F}" type="parTrans" cxnId="{DCE9D200-FC1F-4B05-9E40-19D0F85E1F3C}">
      <dgm:prSet/>
      <dgm:spPr/>
      <dgm:t>
        <a:bodyPr/>
        <a:lstStyle/>
        <a:p>
          <a:pPr algn="ctr"/>
          <a:endParaRPr lang="en-US"/>
        </a:p>
      </dgm:t>
    </dgm:pt>
    <dgm:pt modelId="{98397D1B-EFB9-49BD-B58B-8EF0B8B1530C}" type="sibTrans" cxnId="{DCE9D200-FC1F-4B05-9E40-19D0F85E1F3C}">
      <dgm:prSet/>
      <dgm:spPr/>
      <dgm:t>
        <a:bodyPr/>
        <a:lstStyle/>
        <a:p>
          <a:pPr algn="ctr"/>
          <a:endParaRPr lang="en-US"/>
        </a:p>
      </dgm:t>
    </dgm:pt>
    <dgm:pt modelId="{EB0E33DC-EC75-49F6-A277-A6C693CCFD3C}">
      <dgm:prSet custT="1"/>
      <dgm:spPr>
        <a:xfrm>
          <a:off x="1886124" y="0"/>
          <a:ext cx="1753906" cy="5836919"/>
        </a:xfrm>
        <a:prstGeom prst="roundRect">
          <a:avLst>
            <a:gd name="adj" fmla="val 10000"/>
          </a:avLst>
        </a:prstGeom>
        <a:solidFill>
          <a:srgbClr val="E3ECF9"/>
        </a:solidFill>
        <a:ln>
          <a:noFill/>
        </a:ln>
        <a:effectLst/>
      </dgm:spPr>
      <dgm:t>
        <a:bodyPr/>
        <a:lstStyle/>
        <a:p>
          <a:pPr algn="ctr">
            <a:buNone/>
          </a:pPr>
          <a:r>
            <a:rPr lang="fr-CA" sz="1600" dirty="0">
              <a:solidFill>
                <a:srgbClr val="0F243E"/>
              </a:solidFill>
              <a:latin typeface="Aptos" panose="020B0004020202020204" pitchFamily="34" charset="0"/>
              <a:ea typeface="+mn-ea"/>
              <a:cs typeface="+mn-cs"/>
            </a:rPr>
            <a:t>Conduites</a:t>
          </a:r>
          <a:br>
            <a:rPr lang="fr-CA" sz="1600" dirty="0">
              <a:solidFill>
                <a:srgbClr val="0F243E"/>
              </a:solidFill>
              <a:latin typeface="Aptos" panose="020B0004020202020204" pitchFamily="34" charset="0"/>
              <a:ea typeface="+mn-ea"/>
              <a:cs typeface="+mn-cs"/>
            </a:rPr>
          </a:br>
          <a:r>
            <a:rPr lang="fr-CA" sz="1600" dirty="0">
              <a:solidFill>
                <a:srgbClr val="0F243E"/>
              </a:solidFill>
              <a:latin typeface="Aptos" panose="020B0004020202020204" pitchFamily="34" charset="0"/>
              <a:ea typeface="+mn-ea"/>
              <a:cs typeface="+mn-cs"/>
            </a:rPr>
            <a:t>(32 %)</a:t>
          </a:r>
          <a:endParaRPr lang="en-US" sz="1600" dirty="0">
            <a:solidFill>
              <a:srgbClr val="0F243E"/>
            </a:solidFill>
            <a:latin typeface="Aptos" panose="020B0004020202020204" pitchFamily="34" charset="0"/>
            <a:ea typeface="+mn-ea"/>
            <a:cs typeface="+mn-cs"/>
          </a:endParaRPr>
        </a:p>
      </dgm:t>
    </dgm:pt>
    <dgm:pt modelId="{2EF3655B-503C-46A1-832B-8C8729968967}" type="parTrans" cxnId="{F55E886A-3E65-4217-8E0E-6CF769856722}">
      <dgm:prSet/>
      <dgm:spPr/>
      <dgm:t>
        <a:bodyPr/>
        <a:lstStyle/>
        <a:p>
          <a:pPr algn="ctr"/>
          <a:endParaRPr lang="en-US"/>
        </a:p>
      </dgm:t>
    </dgm:pt>
    <dgm:pt modelId="{B3381709-9BA7-4FA1-B238-9469C8A2FB8A}" type="sibTrans" cxnId="{F55E886A-3E65-4217-8E0E-6CF769856722}">
      <dgm:prSet/>
      <dgm:spPr/>
      <dgm:t>
        <a:bodyPr/>
        <a:lstStyle/>
        <a:p>
          <a:pPr algn="ctr"/>
          <a:endParaRPr lang="en-US"/>
        </a:p>
      </dgm:t>
    </dgm:pt>
    <dgm:pt modelId="{719C43D4-AF6E-4323-B594-C17BCBAE9408}">
      <dgm:prSet/>
      <dgm:spPr>
        <a:xfrm>
          <a:off x="2061515" y="1752180"/>
          <a:ext cx="1403125" cy="675250"/>
        </a:xfrm>
        <a:prstGeom prst="roundRect">
          <a:avLst>
            <a:gd name="adj" fmla="val 10000"/>
          </a:avLst>
        </a:prstGeom>
        <a:solidFill>
          <a:sysClr val="window" lastClr="FFFFFF">
            <a:hueOff val="0"/>
            <a:satOff val="0"/>
            <a:lumOff val="0"/>
            <a:alphaOff val="0"/>
          </a:sysClr>
        </a:solidFill>
        <a:ln w="3175" cap="flat" cmpd="sng" algn="ctr">
          <a:solidFill>
            <a:srgbClr val="0F243E"/>
          </a:solidFill>
          <a:prstDash val="sysDot"/>
        </a:ln>
        <a:effectLst/>
      </dgm:spPr>
      <dgm:t>
        <a:bodyPr/>
        <a:lstStyle/>
        <a:p>
          <a:pPr algn="ctr">
            <a:buNone/>
          </a:pPr>
          <a:r>
            <a:rPr lang="fr-CA" dirty="0">
              <a:solidFill>
                <a:srgbClr val="0F243E"/>
              </a:solidFill>
              <a:latin typeface="Aptos" panose="020B0004020202020204" pitchFamily="34" charset="0"/>
              <a:ea typeface="+mn-ea"/>
              <a:cs typeface="+mn-cs"/>
            </a:rPr>
            <a:t>Gestes (55 %)</a:t>
          </a:r>
          <a:endParaRPr lang="en-US" dirty="0">
            <a:solidFill>
              <a:srgbClr val="0F243E"/>
            </a:solidFill>
            <a:latin typeface="Aptos" panose="020B0004020202020204" pitchFamily="34" charset="0"/>
            <a:ea typeface="+mn-ea"/>
            <a:cs typeface="+mn-cs"/>
          </a:endParaRPr>
        </a:p>
      </dgm:t>
    </dgm:pt>
    <dgm:pt modelId="{A081A3FB-2D77-4592-B21A-C0580D4991F9}" type="parTrans" cxnId="{EECE80D6-B2AD-496D-93EE-F8183E2F56D7}">
      <dgm:prSet/>
      <dgm:spPr/>
      <dgm:t>
        <a:bodyPr/>
        <a:lstStyle/>
        <a:p>
          <a:pPr algn="ctr"/>
          <a:endParaRPr lang="en-US"/>
        </a:p>
      </dgm:t>
    </dgm:pt>
    <dgm:pt modelId="{5478B530-3CB7-45A8-BC35-EDCE669BB0BC}" type="sibTrans" cxnId="{EECE80D6-B2AD-496D-93EE-F8183E2F56D7}">
      <dgm:prSet/>
      <dgm:spPr/>
      <dgm:t>
        <a:bodyPr/>
        <a:lstStyle/>
        <a:p>
          <a:pPr algn="ctr"/>
          <a:endParaRPr lang="en-US"/>
        </a:p>
      </dgm:t>
    </dgm:pt>
    <dgm:pt modelId="{1052DC6C-DAFA-4C3E-9AB4-312C2E17895E}">
      <dgm:prSet/>
      <dgm:spPr>
        <a:xfrm>
          <a:off x="2061515" y="2531315"/>
          <a:ext cx="1403125" cy="675250"/>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ln>
        <a:effectLst/>
      </dgm:spPr>
      <dgm:t>
        <a:bodyPr/>
        <a:lstStyle/>
        <a:p>
          <a:pPr algn="ctr">
            <a:buNone/>
          </a:pPr>
          <a:r>
            <a:rPr lang="fr-CA" dirty="0">
              <a:solidFill>
                <a:srgbClr val="0F243E"/>
              </a:solidFill>
              <a:latin typeface="Aptos" panose="020B0004020202020204" pitchFamily="34" charset="0"/>
              <a:ea typeface="+mn-ea"/>
              <a:cs typeface="+mn-cs"/>
            </a:rPr>
            <a:t>Violence physique (28 %)</a:t>
          </a:r>
          <a:endParaRPr lang="en-US" dirty="0">
            <a:solidFill>
              <a:srgbClr val="0F243E"/>
            </a:solidFill>
            <a:latin typeface="Aptos" panose="020B0004020202020204" pitchFamily="34" charset="0"/>
            <a:ea typeface="+mn-ea"/>
            <a:cs typeface="+mn-cs"/>
          </a:endParaRPr>
        </a:p>
      </dgm:t>
    </dgm:pt>
    <dgm:pt modelId="{5DA5FE5E-5086-4F4B-B156-968CECAC8C8D}" type="parTrans" cxnId="{A60F21D0-C15C-4FA6-8B5B-A8D8889FDB33}">
      <dgm:prSet/>
      <dgm:spPr/>
      <dgm:t>
        <a:bodyPr/>
        <a:lstStyle/>
        <a:p>
          <a:pPr algn="ctr"/>
          <a:endParaRPr lang="en-US"/>
        </a:p>
      </dgm:t>
    </dgm:pt>
    <dgm:pt modelId="{1D357C4C-B623-455D-A00B-54F02BAF5C0E}" type="sibTrans" cxnId="{A60F21D0-C15C-4FA6-8B5B-A8D8889FDB33}">
      <dgm:prSet/>
      <dgm:spPr/>
      <dgm:t>
        <a:bodyPr/>
        <a:lstStyle/>
        <a:p>
          <a:pPr algn="ctr"/>
          <a:endParaRPr lang="en-US"/>
        </a:p>
      </dgm:t>
    </dgm:pt>
    <dgm:pt modelId="{1D13F68D-4E16-479C-B277-4B0835F06997}">
      <dgm:prSet/>
      <dgm:spPr>
        <a:xfrm>
          <a:off x="2061515" y="3310449"/>
          <a:ext cx="1403125" cy="675250"/>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ln>
        <a:effectLst/>
      </dgm:spPr>
      <dgm:t>
        <a:bodyPr/>
        <a:lstStyle/>
        <a:p>
          <a:pPr algn="ctr">
            <a:buNone/>
          </a:pPr>
          <a:r>
            <a:rPr lang="fr-CA" dirty="0">
              <a:solidFill>
                <a:srgbClr val="0F243E"/>
              </a:solidFill>
              <a:latin typeface="+mn-lt"/>
              <a:ea typeface="+mn-ea"/>
              <a:cs typeface="+mn-cs"/>
            </a:rPr>
            <a:t>Comportement insistant (14 %)</a:t>
          </a:r>
          <a:endParaRPr lang="en-US" dirty="0">
            <a:solidFill>
              <a:srgbClr val="0F243E"/>
            </a:solidFill>
            <a:latin typeface="+mn-lt"/>
            <a:ea typeface="+mn-ea"/>
            <a:cs typeface="+mn-cs"/>
          </a:endParaRPr>
        </a:p>
      </dgm:t>
    </dgm:pt>
    <dgm:pt modelId="{DB755812-196E-4C27-A339-8CAB0A254EAC}" type="parTrans" cxnId="{A74DA914-449F-476D-94A3-3F49F9A7B001}">
      <dgm:prSet/>
      <dgm:spPr/>
      <dgm:t>
        <a:bodyPr/>
        <a:lstStyle/>
        <a:p>
          <a:pPr algn="ctr"/>
          <a:endParaRPr lang="en-US"/>
        </a:p>
      </dgm:t>
    </dgm:pt>
    <dgm:pt modelId="{400B0182-3404-4369-8936-B05069F991B8}" type="sibTrans" cxnId="{A74DA914-449F-476D-94A3-3F49F9A7B001}">
      <dgm:prSet/>
      <dgm:spPr/>
      <dgm:t>
        <a:bodyPr/>
        <a:lstStyle/>
        <a:p>
          <a:pPr algn="ctr"/>
          <a:endParaRPr lang="en-US"/>
        </a:p>
      </dgm:t>
    </dgm:pt>
    <dgm:pt modelId="{00CA0AD7-B17B-4A0A-9AA2-03AB0E811E4F}">
      <dgm:prSet/>
      <dgm:spPr>
        <a:xfrm>
          <a:off x="2061515" y="4089584"/>
          <a:ext cx="1403125" cy="675250"/>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ln>
        <a:effectLst/>
      </dgm:spPr>
      <dgm:t>
        <a:bodyPr/>
        <a:lstStyle/>
        <a:p>
          <a:pPr algn="ctr">
            <a:buNone/>
          </a:pPr>
          <a:r>
            <a:rPr lang="fr-CA" dirty="0">
              <a:solidFill>
                <a:srgbClr val="0F243E"/>
              </a:solidFill>
              <a:latin typeface="Aptos" panose="020B0004020202020204" pitchFamily="34" charset="0"/>
              <a:ea typeface="+mn-ea"/>
              <a:cs typeface="+mn-cs"/>
            </a:rPr>
            <a:t>Invasion de la vie personnelle (13 %)</a:t>
          </a:r>
          <a:endParaRPr lang="en-US" dirty="0">
            <a:solidFill>
              <a:srgbClr val="0F243E"/>
            </a:solidFill>
            <a:latin typeface="Aptos" panose="020B0004020202020204" pitchFamily="34" charset="0"/>
            <a:ea typeface="+mn-ea"/>
            <a:cs typeface="+mn-cs"/>
          </a:endParaRPr>
        </a:p>
      </dgm:t>
    </dgm:pt>
    <dgm:pt modelId="{E89FEB90-240E-4C4D-B87B-AB4B81CBA08B}" type="parTrans" cxnId="{CC39C04B-D12F-4CA6-BF6D-3F45C943CB1E}">
      <dgm:prSet/>
      <dgm:spPr/>
      <dgm:t>
        <a:bodyPr/>
        <a:lstStyle/>
        <a:p>
          <a:pPr algn="ctr"/>
          <a:endParaRPr lang="en-US"/>
        </a:p>
      </dgm:t>
    </dgm:pt>
    <dgm:pt modelId="{ED456B70-E536-492A-BBB7-86C9C1B99150}" type="sibTrans" cxnId="{CC39C04B-D12F-4CA6-BF6D-3F45C943CB1E}">
      <dgm:prSet/>
      <dgm:spPr/>
      <dgm:t>
        <a:bodyPr/>
        <a:lstStyle/>
        <a:p>
          <a:pPr algn="ctr"/>
          <a:endParaRPr lang="en-US"/>
        </a:p>
      </dgm:t>
    </dgm:pt>
    <dgm:pt modelId="{FCD177DB-9F1E-425C-9125-38D94406E8CB}">
      <dgm:prSet custT="1"/>
      <dgm:spPr>
        <a:xfrm>
          <a:off x="3771574" y="0"/>
          <a:ext cx="1753906" cy="5836919"/>
        </a:xfrm>
        <a:prstGeom prst="roundRect">
          <a:avLst>
            <a:gd name="adj" fmla="val 10000"/>
          </a:avLst>
        </a:prstGeom>
        <a:solidFill>
          <a:srgbClr val="CF3575"/>
        </a:solidFill>
        <a:ln>
          <a:noFill/>
        </a:ln>
        <a:effectLst/>
      </dgm:spPr>
      <dgm:t>
        <a:bodyPr/>
        <a:lstStyle/>
        <a:p>
          <a:pPr algn="ctr">
            <a:buNone/>
          </a:pPr>
          <a:r>
            <a:rPr lang="fr-CA" sz="1400" dirty="0">
              <a:solidFill>
                <a:srgbClr val="000000"/>
              </a:solidFill>
              <a:latin typeface="Aptos" panose="020B0004020202020204" pitchFamily="34" charset="0"/>
              <a:ea typeface="+mn-ea"/>
              <a:cs typeface="+mn-cs"/>
            </a:rPr>
            <a:t>Normes</a:t>
          </a:r>
          <a:br>
            <a:rPr lang="fr-CA" sz="1400" dirty="0">
              <a:solidFill>
                <a:srgbClr val="000000"/>
              </a:solidFill>
              <a:latin typeface="Aptos" panose="020B0004020202020204" pitchFamily="34" charset="0"/>
              <a:ea typeface="+mn-ea"/>
              <a:cs typeface="+mn-cs"/>
            </a:rPr>
          </a:br>
          <a:r>
            <a:rPr lang="fr-CA" sz="1400" dirty="0">
              <a:solidFill>
                <a:srgbClr val="000000"/>
              </a:solidFill>
              <a:latin typeface="Aptos" panose="020B0004020202020204" pitchFamily="34" charset="0"/>
              <a:ea typeface="+mn-ea"/>
              <a:cs typeface="+mn-cs"/>
            </a:rPr>
            <a:t>(4 %)</a:t>
          </a:r>
          <a:endParaRPr lang="en-US" sz="1400" dirty="0">
            <a:solidFill>
              <a:srgbClr val="000000"/>
            </a:solidFill>
            <a:latin typeface="Aptos" panose="020B0004020202020204" pitchFamily="34" charset="0"/>
            <a:ea typeface="+mn-ea"/>
            <a:cs typeface="+mn-cs"/>
          </a:endParaRPr>
        </a:p>
      </dgm:t>
    </dgm:pt>
    <dgm:pt modelId="{085BF418-AF84-46BB-9AA0-7811D4CC9E33}" type="parTrans" cxnId="{918D8FC1-D2FC-402D-A0BD-43581DE0EDB8}">
      <dgm:prSet/>
      <dgm:spPr/>
      <dgm:t>
        <a:bodyPr/>
        <a:lstStyle/>
        <a:p>
          <a:pPr algn="ctr"/>
          <a:endParaRPr lang="en-US"/>
        </a:p>
      </dgm:t>
    </dgm:pt>
    <dgm:pt modelId="{D258FF5E-C321-42D3-B718-5E99ED91E5C4}" type="sibTrans" cxnId="{918D8FC1-D2FC-402D-A0BD-43581DE0EDB8}">
      <dgm:prSet/>
      <dgm:spPr/>
      <dgm:t>
        <a:bodyPr/>
        <a:lstStyle/>
        <a:p>
          <a:pPr algn="ctr"/>
          <a:endParaRPr lang="en-US"/>
        </a:p>
      </dgm:t>
    </dgm:pt>
    <dgm:pt modelId="{C2D7215C-B244-46A6-8EF9-EA2D476E3C88}">
      <dgm:prSet/>
      <dgm:spPr>
        <a:xfrm>
          <a:off x="3946965" y="1752786"/>
          <a:ext cx="1403125" cy="1759911"/>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ln>
        <a:effectLst/>
      </dgm:spPr>
      <dgm:t>
        <a:bodyPr/>
        <a:lstStyle/>
        <a:p>
          <a:pPr algn="ctr">
            <a:buNone/>
          </a:pPr>
          <a:r>
            <a:rPr lang="fr-CA" dirty="0">
              <a:solidFill>
                <a:srgbClr val="0F243E"/>
              </a:solidFill>
              <a:latin typeface="+mn-lt"/>
              <a:ea typeface="+mn-ea"/>
              <a:cs typeface="+mn-cs"/>
            </a:rPr>
            <a:t>Convention collective</a:t>
          </a:r>
          <a:br>
            <a:rPr lang="fr-CA" dirty="0">
              <a:solidFill>
                <a:srgbClr val="0F243E"/>
              </a:solidFill>
              <a:latin typeface="+mn-lt"/>
              <a:ea typeface="+mn-ea"/>
              <a:cs typeface="+mn-cs"/>
            </a:rPr>
          </a:br>
          <a:r>
            <a:rPr lang="fr-CA" dirty="0">
              <a:solidFill>
                <a:srgbClr val="0F243E"/>
              </a:solidFill>
              <a:latin typeface="+mn-lt"/>
              <a:ea typeface="+mn-ea"/>
              <a:cs typeface="+mn-cs"/>
            </a:rPr>
            <a:t> (29 %)</a:t>
          </a:r>
          <a:endParaRPr lang="en-US" dirty="0">
            <a:solidFill>
              <a:srgbClr val="0F243E"/>
            </a:solidFill>
            <a:latin typeface="+mn-lt"/>
            <a:ea typeface="+mn-ea"/>
            <a:cs typeface="+mn-cs"/>
          </a:endParaRPr>
        </a:p>
      </dgm:t>
    </dgm:pt>
    <dgm:pt modelId="{74D14DBB-5C3D-4DBD-8D9D-03F050834F64}" type="parTrans" cxnId="{72B12049-7219-4D09-959E-306C3EEA2FBE}">
      <dgm:prSet/>
      <dgm:spPr/>
      <dgm:t>
        <a:bodyPr/>
        <a:lstStyle/>
        <a:p>
          <a:pPr algn="ctr"/>
          <a:endParaRPr lang="en-US"/>
        </a:p>
      </dgm:t>
    </dgm:pt>
    <dgm:pt modelId="{4610E23F-09B2-40B9-BE7E-C3E2B66EB4E9}" type="sibTrans" cxnId="{72B12049-7219-4D09-959E-306C3EEA2FBE}">
      <dgm:prSet/>
      <dgm:spPr/>
      <dgm:t>
        <a:bodyPr/>
        <a:lstStyle/>
        <a:p>
          <a:pPr algn="ctr"/>
          <a:endParaRPr lang="en-US"/>
        </a:p>
      </dgm:t>
    </dgm:pt>
    <dgm:pt modelId="{D96F9825-C404-48F3-8008-1EFE266B3981}">
      <dgm:prSet/>
      <dgm:spPr>
        <a:xfrm>
          <a:off x="3946965" y="3783452"/>
          <a:ext cx="1403125" cy="1759911"/>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ln>
        <a:effectLst/>
      </dgm:spPr>
      <dgm:t>
        <a:bodyPr/>
        <a:lstStyle/>
        <a:p>
          <a:pPr algn="ctr">
            <a:buNone/>
          </a:pPr>
          <a:r>
            <a:rPr lang="fr-CA" u="none" dirty="0">
              <a:solidFill>
                <a:srgbClr val="0F243E"/>
              </a:solidFill>
              <a:latin typeface="+mn-lt"/>
              <a:ea typeface="+mn-ea"/>
              <a:cs typeface="+mn-cs"/>
            </a:rPr>
            <a:t>Politique institutionnelle</a:t>
          </a:r>
          <a:br>
            <a:rPr lang="fr-CA" u="none" dirty="0">
              <a:solidFill>
                <a:srgbClr val="0F243E"/>
              </a:solidFill>
              <a:latin typeface="+mn-lt"/>
              <a:ea typeface="+mn-ea"/>
              <a:cs typeface="+mn-cs"/>
            </a:rPr>
          </a:br>
          <a:r>
            <a:rPr lang="fr-CA" u="none" dirty="0">
              <a:solidFill>
                <a:srgbClr val="0F243E"/>
              </a:solidFill>
              <a:latin typeface="+mn-lt"/>
              <a:ea typeface="+mn-ea"/>
              <a:cs typeface="+mn-cs"/>
            </a:rPr>
            <a:t> (71 %)</a:t>
          </a:r>
          <a:endParaRPr lang="en-US" u="none" dirty="0">
            <a:solidFill>
              <a:srgbClr val="0F243E"/>
            </a:solidFill>
            <a:latin typeface="+mn-lt"/>
            <a:ea typeface="+mn-ea"/>
            <a:cs typeface="+mn-cs"/>
          </a:endParaRPr>
        </a:p>
      </dgm:t>
    </dgm:pt>
    <dgm:pt modelId="{01600117-B076-4E30-8435-222CCE0732BE}" type="parTrans" cxnId="{0F04B3E9-9926-4897-AC3A-F330CDF1F139}">
      <dgm:prSet/>
      <dgm:spPr/>
      <dgm:t>
        <a:bodyPr/>
        <a:lstStyle/>
        <a:p>
          <a:pPr algn="ctr"/>
          <a:endParaRPr lang="en-US"/>
        </a:p>
      </dgm:t>
    </dgm:pt>
    <dgm:pt modelId="{414B44EA-4FC9-4AA9-B69C-ACF4CBB3F490}" type="sibTrans" cxnId="{0F04B3E9-9926-4897-AC3A-F330CDF1F139}">
      <dgm:prSet/>
      <dgm:spPr/>
      <dgm:t>
        <a:bodyPr/>
        <a:lstStyle/>
        <a:p>
          <a:pPr algn="ctr"/>
          <a:endParaRPr lang="en-US"/>
        </a:p>
      </dgm:t>
    </dgm:pt>
    <dgm:pt modelId="{B631E28D-35CC-46FD-B961-A6F8762C65CB}">
      <dgm:prSet custT="1"/>
      <dgm:spPr>
        <a:xfrm>
          <a:off x="176065" y="3066970"/>
          <a:ext cx="1403125" cy="27311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fr-CA" sz="1000" noProof="0" dirty="0">
              <a:solidFill>
                <a:srgbClr val="0F243E"/>
              </a:solidFill>
              <a:latin typeface="Aptos" panose="020B0004020202020204" pitchFamily="34" charset="0"/>
              <a:ea typeface="+mn-ea"/>
              <a:cs typeface="+mn-cs"/>
            </a:rPr>
            <a:t>Dévoilement forcé </a:t>
          </a:r>
          <a:r>
            <a:rPr lang="en-US" sz="1000" dirty="0">
              <a:solidFill>
                <a:srgbClr val="0F243E"/>
              </a:solidFill>
              <a:latin typeface="Aptos" panose="020B0004020202020204" pitchFamily="34" charset="0"/>
              <a:ea typeface="+mn-ea"/>
              <a:cs typeface="+mn-cs"/>
            </a:rPr>
            <a:t>(20 %)</a:t>
          </a:r>
        </a:p>
      </dgm:t>
    </dgm:pt>
    <dgm:pt modelId="{53BD8F6D-1BC8-4377-B3CF-D2F3121E75F7}" type="parTrans" cxnId="{7BE5C897-E5D4-4A6A-8B02-248CABDE74D2}">
      <dgm:prSet/>
      <dgm:spPr/>
      <dgm:t>
        <a:bodyPr/>
        <a:lstStyle/>
        <a:p>
          <a:pPr algn="ctr"/>
          <a:endParaRPr lang="fr-CA"/>
        </a:p>
      </dgm:t>
    </dgm:pt>
    <dgm:pt modelId="{80A605DB-D810-4FD1-85D8-6D724EAC0D6F}" type="sibTrans" cxnId="{7BE5C897-E5D4-4A6A-8B02-248CABDE74D2}">
      <dgm:prSet/>
      <dgm:spPr/>
      <dgm:t>
        <a:bodyPr/>
        <a:lstStyle/>
        <a:p>
          <a:pPr algn="ctr"/>
          <a:endParaRPr lang="fr-CA"/>
        </a:p>
      </dgm:t>
    </dgm:pt>
    <dgm:pt modelId="{8334D430-BFC7-472F-BF5A-70C7BD15DEA3}">
      <dgm:prSet custT="1"/>
      <dgm:spPr>
        <a:xfrm>
          <a:off x="176065" y="4326314"/>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en-US" sz="1000" dirty="0" err="1">
              <a:solidFill>
                <a:srgbClr val="0F243E"/>
              </a:solidFill>
              <a:latin typeface="Aptos" panose="020B0004020202020204" pitchFamily="34" charset="0"/>
              <a:ea typeface="+mn-ea"/>
              <a:cs typeface="+mn-cs"/>
            </a:rPr>
            <a:t>Mégenrage</a:t>
          </a:r>
          <a:r>
            <a:rPr lang="en-US" sz="1000" dirty="0">
              <a:solidFill>
                <a:srgbClr val="0F243E"/>
              </a:solidFill>
              <a:latin typeface="Aptos" panose="020B0004020202020204" pitchFamily="34" charset="0"/>
              <a:ea typeface="+mn-ea"/>
              <a:cs typeface="+mn-cs"/>
            </a:rPr>
            <a:t> (12 %)</a:t>
          </a:r>
        </a:p>
      </dgm:t>
    </dgm:pt>
    <dgm:pt modelId="{8A91F739-4782-4E8C-8A2A-D6B5C7CEA49B}" type="parTrans" cxnId="{61CBB20F-EA82-4F8D-AE20-3EC0DF5CA608}">
      <dgm:prSet/>
      <dgm:spPr/>
      <dgm:t>
        <a:bodyPr/>
        <a:lstStyle/>
        <a:p>
          <a:pPr algn="ctr"/>
          <a:endParaRPr lang="fr-CA"/>
        </a:p>
      </dgm:t>
    </dgm:pt>
    <dgm:pt modelId="{1356715A-0766-4AAB-B290-5D56505D9E6E}" type="sibTrans" cxnId="{61CBB20F-EA82-4F8D-AE20-3EC0DF5CA608}">
      <dgm:prSet/>
      <dgm:spPr/>
      <dgm:t>
        <a:bodyPr/>
        <a:lstStyle/>
        <a:p>
          <a:pPr algn="ctr"/>
          <a:endParaRPr lang="fr-CA"/>
        </a:p>
      </dgm:t>
    </dgm:pt>
    <dgm:pt modelId="{44C0556B-4EC7-4015-ABAD-3FB3E5AAB241}">
      <dgm:prSet custT="1"/>
      <dgm:spPr>
        <a:xfrm>
          <a:off x="176065" y="2752217"/>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en-US" sz="1000" dirty="0">
              <a:solidFill>
                <a:srgbClr val="0F243E"/>
              </a:solidFill>
              <a:latin typeface="Aptos" panose="020B0004020202020204" pitchFamily="34" charset="0"/>
              <a:ea typeface="+mn-ea"/>
              <a:cs typeface="+mn-cs"/>
            </a:rPr>
            <a:t>Ambivalence (20 %)</a:t>
          </a:r>
        </a:p>
      </dgm:t>
    </dgm:pt>
    <dgm:pt modelId="{1BDBB180-4328-4E6B-A89B-9B9980CED0CB}" type="parTrans" cxnId="{43064F95-ED34-4DDE-B421-F8182500E74F}">
      <dgm:prSet/>
      <dgm:spPr/>
      <dgm:t>
        <a:bodyPr/>
        <a:lstStyle/>
        <a:p>
          <a:pPr algn="ctr"/>
          <a:endParaRPr lang="fr-CA"/>
        </a:p>
      </dgm:t>
    </dgm:pt>
    <dgm:pt modelId="{C6AB2564-702E-4C4F-B4BB-9C14194A6402}" type="sibTrans" cxnId="{43064F95-ED34-4DDE-B421-F8182500E74F}">
      <dgm:prSet/>
      <dgm:spPr/>
      <dgm:t>
        <a:bodyPr/>
        <a:lstStyle/>
        <a:p>
          <a:pPr algn="ctr"/>
          <a:endParaRPr lang="fr-CA"/>
        </a:p>
      </dgm:t>
    </dgm:pt>
    <dgm:pt modelId="{B1D7A581-BC7C-4061-8AD3-BDC10540946C}">
      <dgm:prSet custT="1"/>
      <dgm:spPr>
        <a:xfrm>
          <a:off x="176065" y="3382054"/>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en-US" sz="1000" dirty="0">
              <a:solidFill>
                <a:srgbClr val="0F243E"/>
              </a:solidFill>
              <a:latin typeface="Interstate" panose="020B0604020202020204" charset="0"/>
              <a:ea typeface="+mn-ea"/>
              <a:cs typeface="+mn-cs"/>
            </a:rPr>
            <a:t>Menaces (18 %)</a:t>
          </a:r>
        </a:p>
      </dgm:t>
    </dgm:pt>
    <dgm:pt modelId="{CD269F2C-1369-4FA5-B62C-062C1E4FF7C6}" type="parTrans" cxnId="{085D9B79-B6B9-4699-89BE-D5479D312AA8}">
      <dgm:prSet/>
      <dgm:spPr/>
      <dgm:t>
        <a:bodyPr/>
        <a:lstStyle/>
        <a:p>
          <a:pPr algn="ctr"/>
          <a:endParaRPr lang="fr-CA"/>
        </a:p>
      </dgm:t>
    </dgm:pt>
    <dgm:pt modelId="{2E7BCD66-8381-49D3-8CC9-213ABAB1A188}" type="sibTrans" cxnId="{085D9B79-B6B9-4699-89BE-D5479D312AA8}">
      <dgm:prSet/>
      <dgm:spPr/>
      <dgm:t>
        <a:bodyPr/>
        <a:lstStyle/>
        <a:p>
          <a:pPr algn="ctr"/>
          <a:endParaRPr lang="fr-CA"/>
        </a:p>
      </dgm:t>
    </dgm:pt>
    <dgm:pt modelId="{FF2DE249-CB21-48CF-85E8-3EAEDCD1B9CB}">
      <dgm:prSet custT="1"/>
      <dgm:spPr>
        <a:xfrm>
          <a:off x="176065" y="4011561"/>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en-US" sz="1000" dirty="0">
              <a:solidFill>
                <a:srgbClr val="0F243E"/>
              </a:solidFill>
              <a:latin typeface="Aptos" panose="020B0004020202020204" pitchFamily="34" charset="0"/>
              <a:ea typeface="+mn-ea"/>
              <a:cs typeface="+mn-cs"/>
            </a:rPr>
            <a:t>Blâmer la victime (14 %)</a:t>
          </a:r>
        </a:p>
      </dgm:t>
    </dgm:pt>
    <dgm:pt modelId="{130D5CB1-7F0F-4770-A5E6-5F9B497CC720}" type="parTrans" cxnId="{AE9E55E5-B82A-431D-9640-82D014A1D27A}">
      <dgm:prSet/>
      <dgm:spPr/>
      <dgm:t>
        <a:bodyPr/>
        <a:lstStyle/>
        <a:p>
          <a:pPr algn="ctr"/>
          <a:endParaRPr lang="fr-CA"/>
        </a:p>
      </dgm:t>
    </dgm:pt>
    <dgm:pt modelId="{D60E5613-4BE6-4FC2-B930-55F3A422F635}" type="sibTrans" cxnId="{AE9E55E5-B82A-431D-9640-82D014A1D27A}">
      <dgm:prSet/>
      <dgm:spPr/>
      <dgm:t>
        <a:bodyPr/>
        <a:lstStyle/>
        <a:p>
          <a:pPr algn="ctr"/>
          <a:endParaRPr lang="fr-CA"/>
        </a:p>
      </dgm:t>
    </dgm:pt>
    <dgm:pt modelId="{8B638238-00D9-4201-B701-76B602A399D9}">
      <dgm:prSet custT="1"/>
      <dgm:spPr>
        <a:xfrm>
          <a:off x="176065" y="4641067"/>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en-US" sz="1000" dirty="0">
              <a:solidFill>
                <a:srgbClr val="0F243E"/>
              </a:solidFill>
              <a:latin typeface="Aptos" panose="020B0004020202020204" pitchFamily="34" charset="0"/>
              <a:ea typeface="+mn-ea"/>
              <a:cs typeface="+mn-cs"/>
            </a:rPr>
            <a:t>Musèlement (12 %)</a:t>
          </a:r>
        </a:p>
      </dgm:t>
    </dgm:pt>
    <dgm:pt modelId="{F68CCB48-A4B5-4E81-A7E0-590896F91551}" type="parTrans" cxnId="{B6339779-5A3F-4E14-8473-1FAF24E49AD6}">
      <dgm:prSet/>
      <dgm:spPr/>
      <dgm:t>
        <a:bodyPr/>
        <a:lstStyle/>
        <a:p>
          <a:pPr algn="ctr"/>
          <a:endParaRPr lang="fr-CA"/>
        </a:p>
      </dgm:t>
    </dgm:pt>
    <dgm:pt modelId="{E4A5C810-B7B5-4329-9298-2DECCDDCD235}" type="sibTrans" cxnId="{B6339779-5A3F-4E14-8473-1FAF24E49AD6}">
      <dgm:prSet/>
      <dgm:spPr/>
      <dgm:t>
        <a:bodyPr/>
        <a:lstStyle/>
        <a:p>
          <a:pPr algn="ctr"/>
          <a:endParaRPr lang="fr-CA"/>
        </a:p>
      </dgm:t>
    </dgm:pt>
    <dgm:pt modelId="{E7F23790-804B-4A6D-8229-62754910F916}">
      <dgm:prSet custT="1"/>
      <dgm:spPr>
        <a:xfrm>
          <a:off x="176065" y="4955821"/>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en-US" sz="1000" dirty="0">
              <a:solidFill>
                <a:srgbClr val="0F243E"/>
              </a:solidFill>
              <a:latin typeface="Aptos" panose="020B0004020202020204" pitchFamily="34" charset="0"/>
              <a:ea typeface="+mn-ea"/>
              <a:cs typeface="+mn-cs"/>
            </a:rPr>
            <a:t>Propos à caractère sexuel (10 %)</a:t>
          </a:r>
        </a:p>
      </dgm:t>
    </dgm:pt>
    <dgm:pt modelId="{01598A27-D94A-4625-8865-0A732447C822}" type="parTrans" cxnId="{56B69AAE-10E9-4E7B-8C63-FA0DDE1CF739}">
      <dgm:prSet/>
      <dgm:spPr/>
      <dgm:t>
        <a:bodyPr/>
        <a:lstStyle/>
        <a:p>
          <a:pPr algn="ctr"/>
          <a:endParaRPr lang="fr-CA"/>
        </a:p>
      </dgm:t>
    </dgm:pt>
    <dgm:pt modelId="{10177F0E-D53F-4BBE-A530-9AAD32677CE4}" type="sibTrans" cxnId="{56B69AAE-10E9-4E7B-8C63-FA0DDE1CF739}">
      <dgm:prSet/>
      <dgm:spPr/>
      <dgm:t>
        <a:bodyPr/>
        <a:lstStyle/>
        <a:p>
          <a:pPr algn="ctr"/>
          <a:endParaRPr lang="fr-CA"/>
        </a:p>
      </dgm:t>
    </dgm:pt>
    <dgm:pt modelId="{4A60DD68-2040-4858-B699-4684520EC9F1}">
      <dgm:prSet custT="1"/>
      <dgm:spPr>
        <a:xfrm>
          <a:off x="176065" y="5270574"/>
          <a:ext cx="1403125" cy="272786"/>
        </a:xfrm>
        <a:prstGeom prst="roundRect">
          <a:avLst>
            <a:gd name="adj" fmla="val 10000"/>
          </a:avLst>
        </a:prstGeom>
        <a:solidFill>
          <a:sysClr val="window" lastClr="FFFFFF">
            <a:hueOff val="0"/>
            <a:satOff val="0"/>
            <a:lumOff val="0"/>
            <a:alphaOff val="0"/>
          </a:sysClr>
        </a:solidFill>
        <a:ln w="12700" cap="flat" cmpd="sng" algn="ctr">
          <a:noFill/>
          <a:prstDash val="solid"/>
        </a:ln>
        <a:effectLst/>
      </dgm:spPr>
      <dgm:t>
        <a:bodyPr/>
        <a:lstStyle/>
        <a:p>
          <a:pPr algn="ctr">
            <a:buNone/>
          </a:pPr>
          <a:r>
            <a:rPr lang="en-US" sz="1000" dirty="0">
              <a:solidFill>
                <a:srgbClr val="0F243E"/>
              </a:solidFill>
              <a:latin typeface="Aptos" panose="020B0004020202020204" pitchFamily="34" charset="0"/>
              <a:ea typeface="+mn-ea"/>
              <a:cs typeface="+mn-cs"/>
            </a:rPr>
            <a:t>Manque de confidentialité (4 %)</a:t>
          </a:r>
        </a:p>
      </dgm:t>
    </dgm:pt>
    <dgm:pt modelId="{8F9B568A-5866-4FA5-A223-C051399FF457}" type="parTrans" cxnId="{22C103B1-08AB-4C1B-9EA3-C3BD064B57D7}">
      <dgm:prSet/>
      <dgm:spPr/>
      <dgm:t>
        <a:bodyPr/>
        <a:lstStyle/>
        <a:p>
          <a:pPr algn="ctr"/>
          <a:endParaRPr lang="fr-CA"/>
        </a:p>
      </dgm:t>
    </dgm:pt>
    <dgm:pt modelId="{D41F7CA0-47C3-4269-A2B2-67FB815515D4}" type="sibTrans" cxnId="{22C103B1-08AB-4C1B-9EA3-C3BD064B57D7}">
      <dgm:prSet/>
      <dgm:spPr/>
      <dgm:t>
        <a:bodyPr/>
        <a:lstStyle/>
        <a:p>
          <a:pPr algn="ctr"/>
          <a:endParaRPr lang="fr-CA"/>
        </a:p>
      </dgm:t>
    </dgm:pt>
    <dgm:pt modelId="{E3770CAE-9341-4551-B6BD-EA09CFAAB537}">
      <dgm:prSet/>
      <dgm:spPr>
        <a:xfrm>
          <a:off x="2061515" y="4868719"/>
          <a:ext cx="1403125" cy="675250"/>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ln>
        <a:effectLst/>
      </dgm:spPr>
      <dgm:t>
        <a:bodyPr/>
        <a:lstStyle/>
        <a:p>
          <a:pPr algn="ctr">
            <a:buNone/>
          </a:pPr>
          <a:r>
            <a:rPr lang="en-US" dirty="0">
              <a:solidFill>
                <a:srgbClr val="0F243E"/>
              </a:solidFill>
              <a:latin typeface="Aptos" panose="020B0004020202020204" pitchFamily="34" charset="0"/>
              <a:ea typeface="+mn-ea"/>
              <a:cs typeface="+mn-cs"/>
            </a:rPr>
            <a:t>Attouchements sexuels (5 %)</a:t>
          </a:r>
        </a:p>
      </dgm:t>
    </dgm:pt>
    <dgm:pt modelId="{017E8402-0AA4-452C-BC38-337738160AB5}" type="parTrans" cxnId="{798407E1-4073-447D-AA30-EF53F408D76C}">
      <dgm:prSet/>
      <dgm:spPr/>
      <dgm:t>
        <a:bodyPr/>
        <a:lstStyle/>
        <a:p>
          <a:pPr algn="ctr"/>
          <a:endParaRPr lang="fr-CA"/>
        </a:p>
      </dgm:t>
    </dgm:pt>
    <dgm:pt modelId="{28A7A1D7-9F4D-4360-A45E-B51F34D4E9FB}" type="sibTrans" cxnId="{798407E1-4073-447D-AA30-EF53F408D76C}">
      <dgm:prSet/>
      <dgm:spPr/>
      <dgm:t>
        <a:bodyPr/>
        <a:lstStyle/>
        <a:p>
          <a:pPr algn="ctr"/>
          <a:endParaRPr lang="fr-CA"/>
        </a:p>
      </dgm:t>
    </dgm:pt>
    <dgm:pt modelId="{2318FE62-AB49-468E-8ED8-9D264F666369}" type="pres">
      <dgm:prSet presAssocID="{72F66834-E4E1-43F7-81AA-10EC6A17616A}" presName="theList" presStyleCnt="0">
        <dgm:presLayoutVars>
          <dgm:dir/>
          <dgm:animLvl val="lvl"/>
          <dgm:resizeHandles val="exact"/>
        </dgm:presLayoutVars>
      </dgm:prSet>
      <dgm:spPr/>
    </dgm:pt>
    <dgm:pt modelId="{FE65BF3F-37B3-427F-BAB7-C0CE4BA4D91D}" type="pres">
      <dgm:prSet presAssocID="{7285B92C-8E83-4911-9E1B-378493BDB867}" presName="compNode" presStyleCnt="0"/>
      <dgm:spPr/>
    </dgm:pt>
    <dgm:pt modelId="{FBD179CC-30B3-474E-8CA2-1BBE7BED3BEB}" type="pres">
      <dgm:prSet presAssocID="{7285B92C-8E83-4911-9E1B-378493BDB867}" presName="aNode" presStyleLbl="bgShp" presStyleIdx="0" presStyleCnt="3" custScaleY="100000" custLinFactNeighborX="-38" custLinFactNeighborY="-534"/>
      <dgm:spPr/>
    </dgm:pt>
    <dgm:pt modelId="{D8C9F0D0-5DF4-48EA-8673-BD6F2D3F97DB}" type="pres">
      <dgm:prSet presAssocID="{7285B92C-8E83-4911-9E1B-378493BDB867}" presName="textNode" presStyleLbl="bgShp" presStyleIdx="0" presStyleCnt="3"/>
      <dgm:spPr/>
    </dgm:pt>
    <dgm:pt modelId="{EB7AB3C4-6938-44B5-91A1-CBDEEF52DCA5}" type="pres">
      <dgm:prSet presAssocID="{7285B92C-8E83-4911-9E1B-378493BDB867}" presName="compChildNode" presStyleCnt="0"/>
      <dgm:spPr/>
    </dgm:pt>
    <dgm:pt modelId="{1FF987AB-5970-4C50-88C0-45C0A3D4D937}" type="pres">
      <dgm:prSet presAssocID="{7285B92C-8E83-4911-9E1B-378493BDB867}" presName="theInnerList" presStyleCnt="0"/>
      <dgm:spPr/>
    </dgm:pt>
    <dgm:pt modelId="{0F4ACBEC-57D1-4D53-86AC-C1826C2C545B}" type="pres">
      <dgm:prSet presAssocID="{261CAED0-8A59-4DBA-B82D-AD0F6D5DF5AD}" presName="childNode" presStyleLbl="node1" presStyleIdx="0" presStyleCnt="19" custScaleY="120224" custLinFactNeighborX="741" custLinFactNeighborY="24760">
        <dgm:presLayoutVars>
          <dgm:bulletEnabled val="1"/>
        </dgm:presLayoutVars>
      </dgm:prSet>
      <dgm:spPr/>
    </dgm:pt>
    <dgm:pt modelId="{A6FF1304-BBB8-4160-9836-9A0CB1B476D6}" type="pres">
      <dgm:prSet presAssocID="{261CAED0-8A59-4DBA-B82D-AD0F6D5DF5AD}" presName="aSpace2" presStyleCnt="0"/>
      <dgm:spPr/>
    </dgm:pt>
    <dgm:pt modelId="{8EF4DCE0-F9E0-4876-9D21-F472EDFDB3CD}" type="pres">
      <dgm:prSet presAssocID="{72B11CB7-75A6-434D-84E3-B1DA2A7EF1AA}" presName="childNode" presStyleLbl="node1" presStyleIdx="1" presStyleCnt="19">
        <dgm:presLayoutVars>
          <dgm:bulletEnabled val="1"/>
        </dgm:presLayoutVars>
      </dgm:prSet>
      <dgm:spPr/>
    </dgm:pt>
    <dgm:pt modelId="{6888E2D4-42FB-4C16-9F30-BA51C90AF182}" type="pres">
      <dgm:prSet presAssocID="{72B11CB7-75A6-434D-84E3-B1DA2A7EF1AA}" presName="aSpace2" presStyleCnt="0"/>
      <dgm:spPr/>
    </dgm:pt>
    <dgm:pt modelId="{D689C72B-B9CF-492A-9C60-71A7F51F4BB2}" type="pres">
      <dgm:prSet presAssocID="{71EE1025-3D4F-42F9-9C82-1D532C4B1D34}" presName="childNode" presStyleLbl="node1" presStyleIdx="2" presStyleCnt="19">
        <dgm:presLayoutVars>
          <dgm:bulletEnabled val="1"/>
        </dgm:presLayoutVars>
      </dgm:prSet>
      <dgm:spPr/>
    </dgm:pt>
    <dgm:pt modelId="{CA159218-4E49-4941-993B-DAF586064B74}" type="pres">
      <dgm:prSet presAssocID="{71EE1025-3D4F-42F9-9C82-1D532C4B1D34}" presName="aSpace2" presStyleCnt="0"/>
      <dgm:spPr/>
    </dgm:pt>
    <dgm:pt modelId="{508D2EE5-AEE1-4594-8B4E-7E974B2D0374}" type="pres">
      <dgm:prSet presAssocID="{44C0556B-4EC7-4015-ABAD-3FB3E5AAB241}" presName="childNode" presStyleLbl="node1" presStyleIdx="3" presStyleCnt="19">
        <dgm:presLayoutVars>
          <dgm:bulletEnabled val="1"/>
        </dgm:presLayoutVars>
      </dgm:prSet>
      <dgm:spPr/>
    </dgm:pt>
    <dgm:pt modelId="{50021A38-C396-4A90-83F3-EC597D576B90}" type="pres">
      <dgm:prSet presAssocID="{44C0556B-4EC7-4015-ABAD-3FB3E5AAB241}" presName="aSpace2" presStyleCnt="0"/>
      <dgm:spPr/>
    </dgm:pt>
    <dgm:pt modelId="{07BE68D3-361C-403A-ACA1-154092756D9B}" type="pres">
      <dgm:prSet presAssocID="{B631E28D-35CC-46FD-B961-A6F8762C65CB}" presName="childNode" presStyleLbl="node1" presStyleIdx="4" presStyleCnt="19" custScaleY="100121">
        <dgm:presLayoutVars>
          <dgm:bulletEnabled val="1"/>
        </dgm:presLayoutVars>
      </dgm:prSet>
      <dgm:spPr/>
    </dgm:pt>
    <dgm:pt modelId="{9FA6EAFD-66BD-49DB-A731-7406D050A847}" type="pres">
      <dgm:prSet presAssocID="{B631E28D-35CC-46FD-B961-A6F8762C65CB}" presName="aSpace2" presStyleCnt="0"/>
      <dgm:spPr/>
    </dgm:pt>
    <dgm:pt modelId="{68A104FF-843F-4C08-B6E7-86A8CB4203B5}" type="pres">
      <dgm:prSet presAssocID="{B1D7A581-BC7C-4061-8AD3-BDC10540946C}" presName="childNode" presStyleLbl="node1" presStyleIdx="5" presStyleCnt="19">
        <dgm:presLayoutVars>
          <dgm:bulletEnabled val="1"/>
        </dgm:presLayoutVars>
      </dgm:prSet>
      <dgm:spPr/>
    </dgm:pt>
    <dgm:pt modelId="{18D9ED55-DA9C-47E6-B909-E91FDD125C90}" type="pres">
      <dgm:prSet presAssocID="{B1D7A581-BC7C-4061-8AD3-BDC10540946C}" presName="aSpace2" presStyleCnt="0"/>
      <dgm:spPr/>
    </dgm:pt>
    <dgm:pt modelId="{6DAA202C-66B5-4407-9C92-18BBCF4E3759}" type="pres">
      <dgm:prSet presAssocID="{C221A7A0-B6A8-420C-925B-EA2F6AB7CC25}" presName="childNode" presStyleLbl="node1" presStyleIdx="6" presStyleCnt="19">
        <dgm:presLayoutVars>
          <dgm:bulletEnabled val="1"/>
        </dgm:presLayoutVars>
      </dgm:prSet>
      <dgm:spPr/>
    </dgm:pt>
    <dgm:pt modelId="{5B609384-882E-436F-A699-7D0398C7B4B2}" type="pres">
      <dgm:prSet presAssocID="{C221A7A0-B6A8-420C-925B-EA2F6AB7CC25}" presName="aSpace2" presStyleCnt="0"/>
      <dgm:spPr/>
    </dgm:pt>
    <dgm:pt modelId="{7D83868B-0AD4-43FE-AC1C-A6842C05FE07}" type="pres">
      <dgm:prSet presAssocID="{FF2DE249-CB21-48CF-85E8-3EAEDCD1B9CB}" presName="childNode" presStyleLbl="node1" presStyleIdx="7" presStyleCnt="19">
        <dgm:presLayoutVars>
          <dgm:bulletEnabled val="1"/>
        </dgm:presLayoutVars>
      </dgm:prSet>
      <dgm:spPr/>
    </dgm:pt>
    <dgm:pt modelId="{6DF0E6C4-9C15-4903-BAF3-2873C827DD94}" type="pres">
      <dgm:prSet presAssocID="{FF2DE249-CB21-48CF-85E8-3EAEDCD1B9CB}" presName="aSpace2" presStyleCnt="0"/>
      <dgm:spPr/>
    </dgm:pt>
    <dgm:pt modelId="{32648D85-3332-4289-9122-B1A883585724}" type="pres">
      <dgm:prSet presAssocID="{8334D430-BFC7-472F-BF5A-70C7BD15DEA3}" presName="childNode" presStyleLbl="node1" presStyleIdx="8" presStyleCnt="19">
        <dgm:presLayoutVars>
          <dgm:bulletEnabled val="1"/>
        </dgm:presLayoutVars>
      </dgm:prSet>
      <dgm:spPr/>
    </dgm:pt>
    <dgm:pt modelId="{DEEFAC54-4515-498F-B51E-AAFAAC488D67}" type="pres">
      <dgm:prSet presAssocID="{8334D430-BFC7-472F-BF5A-70C7BD15DEA3}" presName="aSpace2" presStyleCnt="0"/>
      <dgm:spPr/>
    </dgm:pt>
    <dgm:pt modelId="{B6FB0CD2-3B20-46A3-AD5C-1494F05F781C}" type="pres">
      <dgm:prSet presAssocID="{8B638238-00D9-4201-B701-76B602A399D9}" presName="childNode" presStyleLbl="node1" presStyleIdx="9" presStyleCnt="19">
        <dgm:presLayoutVars>
          <dgm:bulletEnabled val="1"/>
        </dgm:presLayoutVars>
      </dgm:prSet>
      <dgm:spPr/>
    </dgm:pt>
    <dgm:pt modelId="{8FF201F4-63B7-4891-A6CB-1046A86CC495}" type="pres">
      <dgm:prSet presAssocID="{8B638238-00D9-4201-B701-76B602A399D9}" presName="aSpace2" presStyleCnt="0"/>
      <dgm:spPr/>
    </dgm:pt>
    <dgm:pt modelId="{2F96723D-16B7-49CD-9F54-04DC940E6BE2}" type="pres">
      <dgm:prSet presAssocID="{E7F23790-804B-4A6D-8229-62754910F916}" presName="childNode" presStyleLbl="node1" presStyleIdx="10" presStyleCnt="19">
        <dgm:presLayoutVars>
          <dgm:bulletEnabled val="1"/>
        </dgm:presLayoutVars>
      </dgm:prSet>
      <dgm:spPr/>
    </dgm:pt>
    <dgm:pt modelId="{8C1E6ED0-0E00-406F-A116-6A9D12A3B2D1}" type="pres">
      <dgm:prSet presAssocID="{E7F23790-804B-4A6D-8229-62754910F916}" presName="aSpace2" presStyleCnt="0"/>
      <dgm:spPr/>
    </dgm:pt>
    <dgm:pt modelId="{359292FF-3684-45A9-B037-58EEB4A5DD74}" type="pres">
      <dgm:prSet presAssocID="{4A60DD68-2040-4858-B699-4684520EC9F1}" presName="childNode" presStyleLbl="node1" presStyleIdx="11" presStyleCnt="19">
        <dgm:presLayoutVars>
          <dgm:bulletEnabled val="1"/>
        </dgm:presLayoutVars>
      </dgm:prSet>
      <dgm:spPr/>
    </dgm:pt>
    <dgm:pt modelId="{3FFAB8AC-A307-4392-AB07-1553BFACF9C0}" type="pres">
      <dgm:prSet presAssocID="{7285B92C-8E83-4911-9E1B-378493BDB867}" presName="aSpace" presStyleCnt="0"/>
      <dgm:spPr/>
    </dgm:pt>
    <dgm:pt modelId="{DC189912-68FF-45AD-9985-CB1D1497D3B6}" type="pres">
      <dgm:prSet presAssocID="{EB0E33DC-EC75-49F6-A277-A6C693CCFD3C}" presName="compNode" presStyleCnt="0"/>
      <dgm:spPr/>
    </dgm:pt>
    <dgm:pt modelId="{C8F5949C-4098-4D2C-A5BF-7132CC2144E6}" type="pres">
      <dgm:prSet presAssocID="{EB0E33DC-EC75-49F6-A277-A6C693CCFD3C}" presName="aNode" presStyleLbl="bgShp" presStyleIdx="1" presStyleCnt="3"/>
      <dgm:spPr/>
    </dgm:pt>
    <dgm:pt modelId="{6596A182-B528-4F2A-8DC0-D42CFC5EC8D5}" type="pres">
      <dgm:prSet presAssocID="{EB0E33DC-EC75-49F6-A277-A6C693CCFD3C}" presName="textNode" presStyleLbl="bgShp" presStyleIdx="1" presStyleCnt="3"/>
      <dgm:spPr/>
    </dgm:pt>
    <dgm:pt modelId="{6D84B20D-5A62-4BD0-BB8B-8FB34F21C12F}" type="pres">
      <dgm:prSet presAssocID="{EB0E33DC-EC75-49F6-A277-A6C693CCFD3C}" presName="compChildNode" presStyleCnt="0"/>
      <dgm:spPr/>
    </dgm:pt>
    <dgm:pt modelId="{13B9C60E-43C4-43A8-A1EA-202552FF01B5}" type="pres">
      <dgm:prSet presAssocID="{EB0E33DC-EC75-49F6-A277-A6C693CCFD3C}" presName="theInnerList" presStyleCnt="0"/>
      <dgm:spPr/>
    </dgm:pt>
    <dgm:pt modelId="{86475600-D1C2-4749-990E-065537FCD252}" type="pres">
      <dgm:prSet presAssocID="{719C43D4-AF6E-4323-B594-C17BCBAE9408}" presName="childNode" presStyleLbl="node1" presStyleIdx="12" presStyleCnt="19">
        <dgm:presLayoutVars>
          <dgm:bulletEnabled val="1"/>
        </dgm:presLayoutVars>
      </dgm:prSet>
      <dgm:spPr/>
    </dgm:pt>
    <dgm:pt modelId="{78A9B422-818D-44AC-B8A7-F477AF8CF922}" type="pres">
      <dgm:prSet presAssocID="{719C43D4-AF6E-4323-B594-C17BCBAE9408}" presName="aSpace2" presStyleCnt="0"/>
      <dgm:spPr/>
    </dgm:pt>
    <dgm:pt modelId="{021BD49A-69C5-4D54-B9CC-95B0E5BAA976}" type="pres">
      <dgm:prSet presAssocID="{1052DC6C-DAFA-4C3E-9AB4-312C2E17895E}" presName="childNode" presStyleLbl="node1" presStyleIdx="13" presStyleCnt="19">
        <dgm:presLayoutVars>
          <dgm:bulletEnabled val="1"/>
        </dgm:presLayoutVars>
      </dgm:prSet>
      <dgm:spPr/>
    </dgm:pt>
    <dgm:pt modelId="{233E2B6D-9C72-4C5C-AA46-3492DF4284A1}" type="pres">
      <dgm:prSet presAssocID="{1052DC6C-DAFA-4C3E-9AB4-312C2E17895E}" presName="aSpace2" presStyleCnt="0"/>
      <dgm:spPr/>
    </dgm:pt>
    <dgm:pt modelId="{95DDAE87-2594-4E96-BCA9-B0E5FC2BC34A}" type="pres">
      <dgm:prSet presAssocID="{1D13F68D-4E16-479C-B277-4B0835F06997}" presName="childNode" presStyleLbl="node1" presStyleIdx="14" presStyleCnt="19" custLinFactNeighborX="748" custLinFactNeighborY="-30974">
        <dgm:presLayoutVars>
          <dgm:bulletEnabled val="1"/>
        </dgm:presLayoutVars>
      </dgm:prSet>
      <dgm:spPr/>
    </dgm:pt>
    <dgm:pt modelId="{CE6A490C-C961-4E96-BCD6-DD9C815848C3}" type="pres">
      <dgm:prSet presAssocID="{1D13F68D-4E16-479C-B277-4B0835F06997}" presName="aSpace2" presStyleCnt="0"/>
      <dgm:spPr/>
    </dgm:pt>
    <dgm:pt modelId="{8813A561-BC46-4825-AC99-D3BD2689362E}" type="pres">
      <dgm:prSet presAssocID="{00CA0AD7-B17B-4A0A-9AA2-03AB0E811E4F}" presName="childNode" presStyleLbl="node1" presStyleIdx="15" presStyleCnt="19">
        <dgm:presLayoutVars>
          <dgm:bulletEnabled val="1"/>
        </dgm:presLayoutVars>
      </dgm:prSet>
      <dgm:spPr/>
    </dgm:pt>
    <dgm:pt modelId="{54CD92AA-B58E-44D2-A191-F716716C30D4}" type="pres">
      <dgm:prSet presAssocID="{00CA0AD7-B17B-4A0A-9AA2-03AB0E811E4F}" presName="aSpace2" presStyleCnt="0"/>
      <dgm:spPr/>
    </dgm:pt>
    <dgm:pt modelId="{77F2BC8C-BC28-4252-9A85-542C50530D2A}" type="pres">
      <dgm:prSet presAssocID="{E3770CAE-9341-4551-B6BD-EA09CFAAB537}" presName="childNode" presStyleLbl="node1" presStyleIdx="16" presStyleCnt="19">
        <dgm:presLayoutVars>
          <dgm:bulletEnabled val="1"/>
        </dgm:presLayoutVars>
      </dgm:prSet>
      <dgm:spPr/>
    </dgm:pt>
    <dgm:pt modelId="{C8C38745-5390-48EF-BE8C-C70F02A683A5}" type="pres">
      <dgm:prSet presAssocID="{EB0E33DC-EC75-49F6-A277-A6C693CCFD3C}" presName="aSpace" presStyleCnt="0"/>
      <dgm:spPr/>
    </dgm:pt>
    <dgm:pt modelId="{9D2E38A9-A2F5-4212-9E71-089937C4DEA3}" type="pres">
      <dgm:prSet presAssocID="{FCD177DB-9F1E-425C-9125-38D94406E8CB}" presName="compNode" presStyleCnt="0"/>
      <dgm:spPr/>
    </dgm:pt>
    <dgm:pt modelId="{B9DD7F3E-0BBF-48B0-BB68-482C06002909}" type="pres">
      <dgm:prSet presAssocID="{FCD177DB-9F1E-425C-9125-38D94406E8CB}" presName="aNode" presStyleLbl="bgShp" presStyleIdx="2" presStyleCnt="3"/>
      <dgm:spPr/>
    </dgm:pt>
    <dgm:pt modelId="{EC21C690-B5E0-445A-A717-DC0678ABF1F9}" type="pres">
      <dgm:prSet presAssocID="{FCD177DB-9F1E-425C-9125-38D94406E8CB}" presName="textNode" presStyleLbl="bgShp" presStyleIdx="2" presStyleCnt="3"/>
      <dgm:spPr/>
    </dgm:pt>
    <dgm:pt modelId="{E64A5A58-77AA-4A82-B6AA-A2614C667F7F}" type="pres">
      <dgm:prSet presAssocID="{FCD177DB-9F1E-425C-9125-38D94406E8CB}" presName="compChildNode" presStyleCnt="0"/>
      <dgm:spPr/>
    </dgm:pt>
    <dgm:pt modelId="{697FD119-C67A-45F4-B9CD-CBFFBDC9E42A}" type="pres">
      <dgm:prSet presAssocID="{FCD177DB-9F1E-425C-9125-38D94406E8CB}" presName="theInnerList" presStyleCnt="0"/>
      <dgm:spPr/>
    </dgm:pt>
    <dgm:pt modelId="{33F14C8E-38F4-4A62-B877-4D1246CB5716}" type="pres">
      <dgm:prSet presAssocID="{C2D7215C-B244-46A6-8EF9-EA2D476E3C88}" presName="childNode" presStyleLbl="node1" presStyleIdx="17" presStyleCnt="19">
        <dgm:presLayoutVars>
          <dgm:bulletEnabled val="1"/>
        </dgm:presLayoutVars>
      </dgm:prSet>
      <dgm:spPr/>
    </dgm:pt>
    <dgm:pt modelId="{AA976E4D-F3C3-40A5-A883-8B49620E30AF}" type="pres">
      <dgm:prSet presAssocID="{C2D7215C-B244-46A6-8EF9-EA2D476E3C88}" presName="aSpace2" presStyleCnt="0"/>
      <dgm:spPr/>
    </dgm:pt>
    <dgm:pt modelId="{F31F0F63-FAA3-422B-A6E5-15ADB52398D7}" type="pres">
      <dgm:prSet presAssocID="{D96F9825-C404-48F3-8008-1EFE266B3981}" presName="childNode" presStyleLbl="node1" presStyleIdx="18" presStyleCnt="19">
        <dgm:presLayoutVars>
          <dgm:bulletEnabled val="1"/>
        </dgm:presLayoutVars>
      </dgm:prSet>
      <dgm:spPr/>
    </dgm:pt>
  </dgm:ptLst>
  <dgm:cxnLst>
    <dgm:cxn modelId="{DCE9D200-FC1F-4B05-9E40-19D0F85E1F3C}" srcId="{7285B92C-8E83-4911-9E1B-378493BDB867}" destId="{C221A7A0-B6A8-420C-925B-EA2F6AB7CC25}" srcOrd="6" destOrd="0" parTransId="{19B6D8F3-09B1-43CF-905A-0CC8697CED3F}" sibTransId="{98397D1B-EFB9-49BD-B58B-8EF0B8B1530C}"/>
    <dgm:cxn modelId="{AA7D020A-DB97-453D-97C7-1B2A3B1FB5AB}" srcId="{7285B92C-8E83-4911-9E1B-378493BDB867}" destId="{261CAED0-8A59-4DBA-B82D-AD0F6D5DF5AD}" srcOrd="0" destOrd="0" parTransId="{232AA692-8C44-4D6C-B1DD-E046BA5397FF}" sibTransId="{A4DAED1C-5640-4635-A85C-08C7FCFB2BEE}"/>
    <dgm:cxn modelId="{2651290B-3850-4074-8194-3448836BF332}" type="presOf" srcId="{72F66834-E4E1-43F7-81AA-10EC6A17616A}" destId="{2318FE62-AB49-468E-8ED8-9D264F666369}" srcOrd="0" destOrd="0" presId="urn:microsoft.com/office/officeart/2005/8/layout/lProcess2"/>
    <dgm:cxn modelId="{61CBB20F-EA82-4F8D-AE20-3EC0DF5CA608}" srcId="{7285B92C-8E83-4911-9E1B-378493BDB867}" destId="{8334D430-BFC7-472F-BF5A-70C7BD15DEA3}" srcOrd="8" destOrd="0" parTransId="{8A91F739-4782-4E8C-8A2A-D6B5C7CEA49B}" sibTransId="{1356715A-0766-4AAB-B290-5D56505D9E6E}"/>
    <dgm:cxn modelId="{12404311-694E-4D96-9807-914DB28C6AE5}" type="presOf" srcId="{C2D7215C-B244-46A6-8EF9-EA2D476E3C88}" destId="{33F14C8E-38F4-4A62-B877-4D1246CB5716}" srcOrd="0" destOrd="0" presId="urn:microsoft.com/office/officeart/2005/8/layout/lProcess2"/>
    <dgm:cxn modelId="{A74DA914-449F-476D-94A3-3F49F9A7B001}" srcId="{EB0E33DC-EC75-49F6-A277-A6C693CCFD3C}" destId="{1D13F68D-4E16-479C-B277-4B0835F06997}" srcOrd="2" destOrd="0" parTransId="{DB755812-196E-4C27-A339-8CAB0A254EAC}" sibTransId="{400B0182-3404-4369-8936-B05069F991B8}"/>
    <dgm:cxn modelId="{FDBD7222-B690-40E4-84ED-D05DF96C46C9}" type="presOf" srcId="{4A60DD68-2040-4858-B699-4684520EC9F1}" destId="{359292FF-3684-45A9-B037-58EEB4A5DD74}" srcOrd="0" destOrd="0" presId="urn:microsoft.com/office/officeart/2005/8/layout/lProcess2"/>
    <dgm:cxn modelId="{30C54E27-A360-4D27-B91E-D2718B22F910}" type="presOf" srcId="{D96F9825-C404-48F3-8008-1EFE266B3981}" destId="{F31F0F63-FAA3-422B-A6E5-15ADB52398D7}" srcOrd="0" destOrd="0" presId="urn:microsoft.com/office/officeart/2005/8/layout/lProcess2"/>
    <dgm:cxn modelId="{F6D6C733-95E8-4E70-8011-E1423EADA142}" type="presOf" srcId="{B1D7A581-BC7C-4061-8AD3-BDC10540946C}" destId="{68A104FF-843F-4C08-B6E7-86A8CB4203B5}" srcOrd="0" destOrd="0" presId="urn:microsoft.com/office/officeart/2005/8/layout/lProcess2"/>
    <dgm:cxn modelId="{42E28C38-7292-43D4-AB41-BCA8505D8732}" type="presOf" srcId="{E7F23790-804B-4A6D-8229-62754910F916}" destId="{2F96723D-16B7-49CD-9F54-04DC940E6BE2}" srcOrd="0" destOrd="0" presId="urn:microsoft.com/office/officeart/2005/8/layout/lProcess2"/>
    <dgm:cxn modelId="{2509373D-59A1-45D1-A119-3081135910CF}" srcId="{7285B92C-8E83-4911-9E1B-378493BDB867}" destId="{72B11CB7-75A6-434D-84E3-B1DA2A7EF1AA}" srcOrd="1" destOrd="0" parTransId="{36D672E6-AFF6-46CF-9105-2877DE82ED65}" sibTransId="{842DCBB3-0506-45C8-9D42-837664C252D3}"/>
    <dgm:cxn modelId="{6665B340-DD78-46BC-88DE-2AFF7B2D6E6D}" type="presOf" srcId="{719C43D4-AF6E-4323-B594-C17BCBAE9408}" destId="{86475600-D1C2-4749-990E-065537FCD252}" srcOrd="0" destOrd="0" presId="urn:microsoft.com/office/officeart/2005/8/layout/lProcess2"/>
    <dgm:cxn modelId="{F4BC3842-CB1F-4389-9F41-7A69E73B1596}" type="presOf" srcId="{1D13F68D-4E16-479C-B277-4B0835F06997}" destId="{95DDAE87-2594-4E96-BCA9-B0E5FC2BC34A}" srcOrd="0" destOrd="0" presId="urn:microsoft.com/office/officeart/2005/8/layout/lProcess2"/>
    <dgm:cxn modelId="{5189FB42-768C-4E0F-9105-A4196E743535}" srcId="{7285B92C-8E83-4911-9E1B-378493BDB867}" destId="{71EE1025-3D4F-42F9-9C82-1D532C4B1D34}" srcOrd="2" destOrd="0" parTransId="{6BC27731-1B72-4040-929C-1D0495B07929}" sibTransId="{84906E4B-AE77-430E-A28D-D041FB76D4E4}"/>
    <dgm:cxn modelId="{E1E39F64-DDC9-4950-B718-8F99945FF984}" type="presOf" srcId="{FCD177DB-9F1E-425C-9125-38D94406E8CB}" destId="{EC21C690-B5E0-445A-A717-DC0678ABF1F9}" srcOrd="1" destOrd="0" presId="urn:microsoft.com/office/officeart/2005/8/layout/lProcess2"/>
    <dgm:cxn modelId="{A386B248-D076-41CB-B296-510A4EA944F8}" type="presOf" srcId="{00CA0AD7-B17B-4A0A-9AA2-03AB0E811E4F}" destId="{8813A561-BC46-4825-AC99-D3BD2689362E}" srcOrd="0" destOrd="0" presId="urn:microsoft.com/office/officeart/2005/8/layout/lProcess2"/>
    <dgm:cxn modelId="{72B12049-7219-4D09-959E-306C3EEA2FBE}" srcId="{FCD177DB-9F1E-425C-9125-38D94406E8CB}" destId="{C2D7215C-B244-46A6-8EF9-EA2D476E3C88}" srcOrd="0" destOrd="0" parTransId="{74D14DBB-5C3D-4DBD-8D9D-03F050834F64}" sibTransId="{4610E23F-09B2-40B9-BE7E-C3E2B66EB4E9}"/>
    <dgm:cxn modelId="{4647E169-1544-4EAB-A5D9-7CD93DDC3BF4}" type="presOf" srcId="{72B11CB7-75A6-434D-84E3-B1DA2A7EF1AA}" destId="{8EF4DCE0-F9E0-4876-9D21-F472EDFDB3CD}" srcOrd="0" destOrd="0" presId="urn:microsoft.com/office/officeart/2005/8/layout/lProcess2"/>
    <dgm:cxn modelId="{F55E886A-3E65-4217-8E0E-6CF769856722}" srcId="{72F66834-E4E1-43F7-81AA-10EC6A17616A}" destId="{EB0E33DC-EC75-49F6-A277-A6C693CCFD3C}" srcOrd="1" destOrd="0" parTransId="{2EF3655B-503C-46A1-832B-8C8729968967}" sibTransId="{B3381709-9BA7-4FA1-B238-9469C8A2FB8A}"/>
    <dgm:cxn modelId="{CC39C04B-D12F-4CA6-BF6D-3F45C943CB1E}" srcId="{EB0E33DC-EC75-49F6-A277-A6C693CCFD3C}" destId="{00CA0AD7-B17B-4A0A-9AA2-03AB0E811E4F}" srcOrd="3" destOrd="0" parTransId="{E89FEB90-240E-4C4D-B87B-AB4B81CBA08B}" sibTransId="{ED456B70-E536-492A-BBB7-86C9C1B99150}"/>
    <dgm:cxn modelId="{EE3A246C-42C7-4783-B426-C2C4E0AC8BC1}" type="presOf" srcId="{EB0E33DC-EC75-49F6-A277-A6C693CCFD3C}" destId="{6596A182-B528-4F2A-8DC0-D42CFC5EC8D5}" srcOrd="1" destOrd="0" presId="urn:microsoft.com/office/officeart/2005/8/layout/lProcess2"/>
    <dgm:cxn modelId="{B6339779-5A3F-4E14-8473-1FAF24E49AD6}" srcId="{7285B92C-8E83-4911-9E1B-378493BDB867}" destId="{8B638238-00D9-4201-B701-76B602A399D9}" srcOrd="9" destOrd="0" parTransId="{F68CCB48-A4B5-4E81-A7E0-590896F91551}" sibTransId="{E4A5C810-B7B5-4329-9298-2DECCDDCD235}"/>
    <dgm:cxn modelId="{085D9B79-B6B9-4699-89BE-D5479D312AA8}" srcId="{7285B92C-8E83-4911-9E1B-378493BDB867}" destId="{B1D7A581-BC7C-4061-8AD3-BDC10540946C}" srcOrd="5" destOrd="0" parTransId="{CD269F2C-1369-4FA5-B62C-062C1E4FF7C6}" sibTransId="{2E7BCD66-8381-49D3-8CC9-213ABAB1A188}"/>
    <dgm:cxn modelId="{DAC84287-E8A4-4BA3-A978-865FDB6E53AA}" srcId="{72F66834-E4E1-43F7-81AA-10EC6A17616A}" destId="{7285B92C-8E83-4911-9E1B-378493BDB867}" srcOrd="0" destOrd="0" parTransId="{B5D7B220-758B-4CD8-A2AC-7E67D75979EB}" sibTransId="{99708404-ACCC-40E3-AFD6-F7D3BDE0B779}"/>
    <dgm:cxn modelId="{1DE7C292-5B3E-4365-B426-77FBBF1DB81D}" type="presOf" srcId="{7285B92C-8E83-4911-9E1B-378493BDB867}" destId="{FBD179CC-30B3-474E-8CA2-1BBE7BED3BEB}" srcOrd="0" destOrd="0" presId="urn:microsoft.com/office/officeart/2005/8/layout/lProcess2"/>
    <dgm:cxn modelId="{43064F95-ED34-4DDE-B421-F8182500E74F}" srcId="{7285B92C-8E83-4911-9E1B-378493BDB867}" destId="{44C0556B-4EC7-4015-ABAD-3FB3E5AAB241}" srcOrd="3" destOrd="0" parTransId="{1BDBB180-4328-4E6B-A89B-9B9980CED0CB}" sibTransId="{C6AB2564-702E-4C4F-B4BB-9C14194A6402}"/>
    <dgm:cxn modelId="{7BE5C897-E5D4-4A6A-8B02-248CABDE74D2}" srcId="{7285B92C-8E83-4911-9E1B-378493BDB867}" destId="{B631E28D-35CC-46FD-B961-A6F8762C65CB}" srcOrd="4" destOrd="0" parTransId="{53BD8F6D-1BC8-4377-B3CF-D2F3121E75F7}" sibTransId="{80A605DB-D810-4FD1-85D8-6D724EAC0D6F}"/>
    <dgm:cxn modelId="{5C7B399E-5FD2-4842-BB08-58C06CADAF37}" type="presOf" srcId="{8334D430-BFC7-472F-BF5A-70C7BD15DEA3}" destId="{32648D85-3332-4289-9122-B1A883585724}" srcOrd="0" destOrd="0" presId="urn:microsoft.com/office/officeart/2005/8/layout/lProcess2"/>
    <dgm:cxn modelId="{4F5FD0A2-51B8-4E3B-BA99-3373A0AD3428}" type="presOf" srcId="{FCD177DB-9F1E-425C-9125-38D94406E8CB}" destId="{B9DD7F3E-0BBF-48B0-BB68-482C06002909}" srcOrd="0" destOrd="0" presId="urn:microsoft.com/office/officeart/2005/8/layout/lProcess2"/>
    <dgm:cxn modelId="{33EC59A5-0F49-46C9-917F-40E7B3AF1AF6}" type="presOf" srcId="{261CAED0-8A59-4DBA-B82D-AD0F6D5DF5AD}" destId="{0F4ACBEC-57D1-4D53-86AC-C1826C2C545B}" srcOrd="0" destOrd="0" presId="urn:microsoft.com/office/officeart/2005/8/layout/lProcess2"/>
    <dgm:cxn modelId="{953C83A7-2965-4D9C-B9C6-4FF69E71B9F6}" type="presOf" srcId="{E3770CAE-9341-4551-B6BD-EA09CFAAB537}" destId="{77F2BC8C-BC28-4252-9A85-542C50530D2A}" srcOrd="0" destOrd="0" presId="urn:microsoft.com/office/officeart/2005/8/layout/lProcess2"/>
    <dgm:cxn modelId="{B9A0B2AC-645E-4211-8721-92E359F9DC1C}" type="presOf" srcId="{EB0E33DC-EC75-49F6-A277-A6C693CCFD3C}" destId="{C8F5949C-4098-4D2C-A5BF-7132CC2144E6}" srcOrd="0" destOrd="0" presId="urn:microsoft.com/office/officeart/2005/8/layout/lProcess2"/>
    <dgm:cxn modelId="{56B69AAE-10E9-4E7B-8C63-FA0DDE1CF739}" srcId="{7285B92C-8E83-4911-9E1B-378493BDB867}" destId="{E7F23790-804B-4A6D-8229-62754910F916}" srcOrd="10" destOrd="0" parTransId="{01598A27-D94A-4625-8865-0A732447C822}" sibTransId="{10177F0E-D53F-4BBE-A530-9AAD32677CE4}"/>
    <dgm:cxn modelId="{22C103B1-08AB-4C1B-9EA3-C3BD064B57D7}" srcId="{7285B92C-8E83-4911-9E1B-378493BDB867}" destId="{4A60DD68-2040-4858-B699-4684520EC9F1}" srcOrd="11" destOrd="0" parTransId="{8F9B568A-5866-4FA5-A223-C051399FF457}" sibTransId="{D41F7CA0-47C3-4269-A2B2-67FB815515D4}"/>
    <dgm:cxn modelId="{645F1DBC-DA11-4687-86CA-9B8324CB3D5C}" type="presOf" srcId="{71EE1025-3D4F-42F9-9C82-1D532C4B1D34}" destId="{D689C72B-B9CF-492A-9C60-71A7F51F4BB2}" srcOrd="0" destOrd="0" presId="urn:microsoft.com/office/officeart/2005/8/layout/lProcess2"/>
    <dgm:cxn modelId="{918D8FC1-D2FC-402D-A0BD-43581DE0EDB8}" srcId="{72F66834-E4E1-43F7-81AA-10EC6A17616A}" destId="{FCD177DB-9F1E-425C-9125-38D94406E8CB}" srcOrd="2" destOrd="0" parTransId="{085BF418-AF84-46BB-9AA0-7811D4CC9E33}" sibTransId="{D258FF5E-C321-42D3-B718-5E99ED91E5C4}"/>
    <dgm:cxn modelId="{92A185C4-31BA-4819-A770-EF6A10EA6EB4}" type="presOf" srcId="{FF2DE249-CB21-48CF-85E8-3EAEDCD1B9CB}" destId="{7D83868B-0AD4-43FE-AC1C-A6842C05FE07}" srcOrd="0" destOrd="0" presId="urn:microsoft.com/office/officeart/2005/8/layout/lProcess2"/>
    <dgm:cxn modelId="{26574FCB-79A1-4BDA-B1A8-7E27DB291735}" type="presOf" srcId="{C221A7A0-B6A8-420C-925B-EA2F6AB7CC25}" destId="{6DAA202C-66B5-4407-9C92-18BBCF4E3759}" srcOrd="0" destOrd="0" presId="urn:microsoft.com/office/officeart/2005/8/layout/lProcess2"/>
    <dgm:cxn modelId="{A60F21D0-C15C-4FA6-8B5B-A8D8889FDB33}" srcId="{EB0E33DC-EC75-49F6-A277-A6C693CCFD3C}" destId="{1052DC6C-DAFA-4C3E-9AB4-312C2E17895E}" srcOrd="1" destOrd="0" parTransId="{5DA5FE5E-5086-4F4B-B156-968CECAC8C8D}" sibTransId="{1D357C4C-B623-455D-A00B-54F02BAF5C0E}"/>
    <dgm:cxn modelId="{22BA97D5-976E-41CE-B5CC-9E09C227E959}" type="presOf" srcId="{7285B92C-8E83-4911-9E1B-378493BDB867}" destId="{D8C9F0D0-5DF4-48EA-8673-BD6F2D3F97DB}" srcOrd="1" destOrd="0" presId="urn:microsoft.com/office/officeart/2005/8/layout/lProcess2"/>
    <dgm:cxn modelId="{EECE80D6-B2AD-496D-93EE-F8183E2F56D7}" srcId="{EB0E33DC-EC75-49F6-A277-A6C693CCFD3C}" destId="{719C43D4-AF6E-4323-B594-C17BCBAE9408}" srcOrd="0" destOrd="0" parTransId="{A081A3FB-2D77-4592-B21A-C0580D4991F9}" sibTransId="{5478B530-3CB7-45A8-BC35-EDCE669BB0BC}"/>
    <dgm:cxn modelId="{4C87E4D6-6A8B-4BD6-BE82-67D12BE3DF17}" type="presOf" srcId="{B631E28D-35CC-46FD-B961-A6F8762C65CB}" destId="{07BE68D3-361C-403A-ACA1-154092756D9B}" srcOrd="0" destOrd="0" presId="urn:microsoft.com/office/officeart/2005/8/layout/lProcess2"/>
    <dgm:cxn modelId="{E2CB78DD-D774-441E-AAF4-07903FB80F73}" type="presOf" srcId="{44C0556B-4EC7-4015-ABAD-3FB3E5AAB241}" destId="{508D2EE5-AEE1-4594-8B4E-7E974B2D0374}" srcOrd="0" destOrd="0" presId="urn:microsoft.com/office/officeart/2005/8/layout/lProcess2"/>
    <dgm:cxn modelId="{798407E1-4073-447D-AA30-EF53F408D76C}" srcId="{EB0E33DC-EC75-49F6-A277-A6C693CCFD3C}" destId="{E3770CAE-9341-4551-B6BD-EA09CFAAB537}" srcOrd="4" destOrd="0" parTransId="{017E8402-0AA4-452C-BC38-337738160AB5}" sibTransId="{28A7A1D7-9F4D-4360-A45E-B51F34D4E9FB}"/>
    <dgm:cxn modelId="{AE9E55E5-B82A-431D-9640-82D014A1D27A}" srcId="{7285B92C-8E83-4911-9E1B-378493BDB867}" destId="{FF2DE249-CB21-48CF-85E8-3EAEDCD1B9CB}" srcOrd="7" destOrd="0" parTransId="{130D5CB1-7F0F-4770-A5E6-5F9B497CC720}" sibTransId="{D60E5613-4BE6-4FC2-B930-55F3A422F635}"/>
    <dgm:cxn modelId="{0F04B3E9-9926-4897-AC3A-F330CDF1F139}" srcId="{FCD177DB-9F1E-425C-9125-38D94406E8CB}" destId="{D96F9825-C404-48F3-8008-1EFE266B3981}" srcOrd="1" destOrd="0" parTransId="{01600117-B076-4E30-8435-222CCE0732BE}" sibTransId="{414B44EA-4FC9-4AA9-B69C-ACF4CBB3F490}"/>
    <dgm:cxn modelId="{C12FA4EA-A9BF-4603-AD67-DE4108ED4D57}" type="presOf" srcId="{8B638238-00D9-4201-B701-76B602A399D9}" destId="{B6FB0CD2-3B20-46A3-AD5C-1494F05F781C}" srcOrd="0" destOrd="0" presId="urn:microsoft.com/office/officeart/2005/8/layout/lProcess2"/>
    <dgm:cxn modelId="{41254AEF-7A73-4179-B1E9-D412AD5A1459}" type="presOf" srcId="{1052DC6C-DAFA-4C3E-9AB4-312C2E17895E}" destId="{021BD49A-69C5-4D54-B9CC-95B0E5BAA976}" srcOrd="0" destOrd="0" presId="urn:microsoft.com/office/officeart/2005/8/layout/lProcess2"/>
    <dgm:cxn modelId="{44098DD4-E06F-42D2-8863-2EC6A1E23D65}" type="presParOf" srcId="{2318FE62-AB49-468E-8ED8-9D264F666369}" destId="{FE65BF3F-37B3-427F-BAB7-C0CE4BA4D91D}" srcOrd="0" destOrd="0" presId="urn:microsoft.com/office/officeart/2005/8/layout/lProcess2"/>
    <dgm:cxn modelId="{6259FDBA-5FEC-49AF-8BAF-7FA7CBD2AB10}" type="presParOf" srcId="{FE65BF3F-37B3-427F-BAB7-C0CE4BA4D91D}" destId="{FBD179CC-30B3-474E-8CA2-1BBE7BED3BEB}" srcOrd="0" destOrd="0" presId="urn:microsoft.com/office/officeart/2005/8/layout/lProcess2"/>
    <dgm:cxn modelId="{B611D79E-D681-4172-B7B0-91EC7ABF83AE}" type="presParOf" srcId="{FE65BF3F-37B3-427F-BAB7-C0CE4BA4D91D}" destId="{D8C9F0D0-5DF4-48EA-8673-BD6F2D3F97DB}" srcOrd="1" destOrd="0" presId="urn:microsoft.com/office/officeart/2005/8/layout/lProcess2"/>
    <dgm:cxn modelId="{5FD1DEDF-A9BD-446A-88E4-9B187DD63C6F}" type="presParOf" srcId="{FE65BF3F-37B3-427F-BAB7-C0CE4BA4D91D}" destId="{EB7AB3C4-6938-44B5-91A1-CBDEEF52DCA5}" srcOrd="2" destOrd="0" presId="urn:microsoft.com/office/officeart/2005/8/layout/lProcess2"/>
    <dgm:cxn modelId="{98FCABBD-5A36-468B-9F9B-74E51D43DEAA}" type="presParOf" srcId="{EB7AB3C4-6938-44B5-91A1-CBDEEF52DCA5}" destId="{1FF987AB-5970-4C50-88C0-45C0A3D4D937}" srcOrd="0" destOrd="0" presId="urn:microsoft.com/office/officeart/2005/8/layout/lProcess2"/>
    <dgm:cxn modelId="{6C162E8A-6835-4167-AA10-EBE6AC28CB17}" type="presParOf" srcId="{1FF987AB-5970-4C50-88C0-45C0A3D4D937}" destId="{0F4ACBEC-57D1-4D53-86AC-C1826C2C545B}" srcOrd="0" destOrd="0" presId="urn:microsoft.com/office/officeart/2005/8/layout/lProcess2"/>
    <dgm:cxn modelId="{E6084D34-AF36-483B-8FBE-513E097BA9FC}" type="presParOf" srcId="{1FF987AB-5970-4C50-88C0-45C0A3D4D937}" destId="{A6FF1304-BBB8-4160-9836-9A0CB1B476D6}" srcOrd="1" destOrd="0" presId="urn:microsoft.com/office/officeart/2005/8/layout/lProcess2"/>
    <dgm:cxn modelId="{A9D1DF06-67E0-4AA7-8D21-097FE327F3AB}" type="presParOf" srcId="{1FF987AB-5970-4C50-88C0-45C0A3D4D937}" destId="{8EF4DCE0-F9E0-4876-9D21-F472EDFDB3CD}" srcOrd="2" destOrd="0" presId="urn:microsoft.com/office/officeart/2005/8/layout/lProcess2"/>
    <dgm:cxn modelId="{0456E7AD-D96E-4A09-9C42-9A9AA1D1C0D8}" type="presParOf" srcId="{1FF987AB-5970-4C50-88C0-45C0A3D4D937}" destId="{6888E2D4-42FB-4C16-9F30-BA51C90AF182}" srcOrd="3" destOrd="0" presId="urn:microsoft.com/office/officeart/2005/8/layout/lProcess2"/>
    <dgm:cxn modelId="{25D09E7C-A9C0-4643-8318-3E5BC587A40D}" type="presParOf" srcId="{1FF987AB-5970-4C50-88C0-45C0A3D4D937}" destId="{D689C72B-B9CF-492A-9C60-71A7F51F4BB2}" srcOrd="4" destOrd="0" presId="urn:microsoft.com/office/officeart/2005/8/layout/lProcess2"/>
    <dgm:cxn modelId="{3AD12465-0EBF-4336-B36D-FE304DD977EA}" type="presParOf" srcId="{1FF987AB-5970-4C50-88C0-45C0A3D4D937}" destId="{CA159218-4E49-4941-993B-DAF586064B74}" srcOrd="5" destOrd="0" presId="urn:microsoft.com/office/officeart/2005/8/layout/lProcess2"/>
    <dgm:cxn modelId="{0934187D-7EE4-489C-B8A9-6EFC53F898CA}" type="presParOf" srcId="{1FF987AB-5970-4C50-88C0-45C0A3D4D937}" destId="{508D2EE5-AEE1-4594-8B4E-7E974B2D0374}" srcOrd="6" destOrd="0" presId="urn:microsoft.com/office/officeart/2005/8/layout/lProcess2"/>
    <dgm:cxn modelId="{78A09CC4-D93D-495C-ABDD-090442A42517}" type="presParOf" srcId="{1FF987AB-5970-4C50-88C0-45C0A3D4D937}" destId="{50021A38-C396-4A90-83F3-EC597D576B90}" srcOrd="7" destOrd="0" presId="urn:microsoft.com/office/officeart/2005/8/layout/lProcess2"/>
    <dgm:cxn modelId="{03AB8BD8-C939-42A5-89A0-DAD0F6708E44}" type="presParOf" srcId="{1FF987AB-5970-4C50-88C0-45C0A3D4D937}" destId="{07BE68D3-361C-403A-ACA1-154092756D9B}" srcOrd="8" destOrd="0" presId="urn:microsoft.com/office/officeart/2005/8/layout/lProcess2"/>
    <dgm:cxn modelId="{CEB33A5A-D76B-4213-8CA1-373CC022AC8C}" type="presParOf" srcId="{1FF987AB-5970-4C50-88C0-45C0A3D4D937}" destId="{9FA6EAFD-66BD-49DB-A731-7406D050A847}" srcOrd="9" destOrd="0" presId="urn:microsoft.com/office/officeart/2005/8/layout/lProcess2"/>
    <dgm:cxn modelId="{9DA7FC82-7E77-467F-A181-9340B3A891F3}" type="presParOf" srcId="{1FF987AB-5970-4C50-88C0-45C0A3D4D937}" destId="{68A104FF-843F-4C08-B6E7-86A8CB4203B5}" srcOrd="10" destOrd="0" presId="urn:microsoft.com/office/officeart/2005/8/layout/lProcess2"/>
    <dgm:cxn modelId="{721DDE8F-50AE-49FE-964C-C6C4FC260CF3}" type="presParOf" srcId="{1FF987AB-5970-4C50-88C0-45C0A3D4D937}" destId="{18D9ED55-DA9C-47E6-B909-E91FDD125C90}" srcOrd="11" destOrd="0" presId="urn:microsoft.com/office/officeart/2005/8/layout/lProcess2"/>
    <dgm:cxn modelId="{CC9604EA-8CAE-45E8-B195-8E8DBBD95433}" type="presParOf" srcId="{1FF987AB-5970-4C50-88C0-45C0A3D4D937}" destId="{6DAA202C-66B5-4407-9C92-18BBCF4E3759}" srcOrd="12" destOrd="0" presId="urn:microsoft.com/office/officeart/2005/8/layout/lProcess2"/>
    <dgm:cxn modelId="{0D711686-9B79-434F-9A56-D91D78F648BA}" type="presParOf" srcId="{1FF987AB-5970-4C50-88C0-45C0A3D4D937}" destId="{5B609384-882E-436F-A699-7D0398C7B4B2}" srcOrd="13" destOrd="0" presId="urn:microsoft.com/office/officeart/2005/8/layout/lProcess2"/>
    <dgm:cxn modelId="{A5DA5FF5-750F-4AD6-B44A-0E9D9A12937D}" type="presParOf" srcId="{1FF987AB-5970-4C50-88C0-45C0A3D4D937}" destId="{7D83868B-0AD4-43FE-AC1C-A6842C05FE07}" srcOrd="14" destOrd="0" presId="urn:microsoft.com/office/officeart/2005/8/layout/lProcess2"/>
    <dgm:cxn modelId="{D4E8B43E-13A8-48EB-B22A-5AA50AF1B622}" type="presParOf" srcId="{1FF987AB-5970-4C50-88C0-45C0A3D4D937}" destId="{6DF0E6C4-9C15-4903-BAF3-2873C827DD94}" srcOrd="15" destOrd="0" presId="urn:microsoft.com/office/officeart/2005/8/layout/lProcess2"/>
    <dgm:cxn modelId="{F45DC12C-C140-487C-BAC9-CBB093A7ACE8}" type="presParOf" srcId="{1FF987AB-5970-4C50-88C0-45C0A3D4D937}" destId="{32648D85-3332-4289-9122-B1A883585724}" srcOrd="16" destOrd="0" presId="urn:microsoft.com/office/officeart/2005/8/layout/lProcess2"/>
    <dgm:cxn modelId="{83D5BE65-85EA-459B-BF38-1A45C03B6F61}" type="presParOf" srcId="{1FF987AB-5970-4C50-88C0-45C0A3D4D937}" destId="{DEEFAC54-4515-498F-B51E-AAFAAC488D67}" srcOrd="17" destOrd="0" presId="urn:microsoft.com/office/officeart/2005/8/layout/lProcess2"/>
    <dgm:cxn modelId="{92B625FE-AA7A-464C-A839-E90BEA333514}" type="presParOf" srcId="{1FF987AB-5970-4C50-88C0-45C0A3D4D937}" destId="{B6FB0CD2-3B20-46A3-AD5C-1494F05F781C}" srcOrd="18" destOrd="0" presId="urn:microsoft.com/office/officeart/2005/8/layout/lProcess2"/>
    <dgm:cxn modelId="{F41053E2-B85E-413F-9988-AB0B275D2A2F}" type="presParOf" srcId="{1FF987AB-5970-4C50-88C0-45C0A3D4D937}" destId="{8FF201F4-63B7-4891-A6CB-1046A86CC495}" srcOrd="19" destOrd="0" presId="urn:microsoft.com/office/officeart/2005/8/layout/lProcess2"/>
    <dgm:cxn modelId="{ED03CAC3-2261-4959-8E0C-2F86F25D4213}" type="presParOf" srcId="{1FF987AB-5970-4C50-88C0-45C0A3D4D937}" destId="{2F96723D-16B7-49CD-9F54-04DC940E6BE2}" srcOrd="20" destOrd="0" presId="urn:microsoft.com/office/officeart/2005/8/layout/lProcess2"/>
    <dgm:cxn modelId="{2BF50124-467B-4A6B-9C14-CB1CEFAD006E}" type="presParOf" srcId="{1FF987AB-5970-4C50-88C0-45C0A3D4D937}" destId="{8C1E6ED0-0E00-406F-A116-6A9D12A3B2D1}" srcOrd="21" destOrd="0" presId="urn:microsoft.com/office/officeart/2005/8/layout/lProcess2"/>
    <dgm:cxn modelId="{F538C12C-A2AE-4690-9B22-AB5BDBAE708C}" type="presParOf" srcId="{1FF987AB-5970-4C50-88C0-45C0A3D4D937}" destId="{359292FF-3684-45A9-B037-58EEB4A5DD74}" srcOrd="22" destOrd="0" presId="urn:microsoft.com/office/officeart/2005/8/layout/lProcess2"/>
    <dgm:cxn modelId="{14AAFBCF-80B5-442A-B41B-332DA27AC3A2}" type="presParOf" srcId="{2318FE62-AB49-468E-8ED8-9D264F666369}" destId="{3FFAB8AC-A307-4392-AB07-1553BFACF9C0}" srcOrd="1" destOrd="0" presId="urn:microsoft.com/office/officeart/2005/8/layout/lProcess2"/>
    <dgm:cxn modelId="{DCB262FA-5587-4979-AB3B-B3C44441223F}" type="presParOf" srcId="{2318FE62-AB49-468E-8ED8-9D264F666369}" destId="{DC189912-68FF-45AD-9985-CB1D1497D3B6}" srcOrd="2" destOrd="0" presId="urn:microsoft.com/office/officeart/2005/8/layout/lProcess2"/>
    <dgm:cxn modelId="{961331FF-F6B0-40FD-9A2B-EC4E9D7A9456}" type="presParOf" srcId="{DC189912-68FF-45AD-9985-CB1D1497D3B6}" destId="{C8F5949C-4098-4D2C-A5BF-7132CC2144E6}" srcOrd="0" destOrd="0" presId="urn:microsoft.com/office/officeart/2005/8/layout/lProcess2"/>
    <dgm:cxn modelId="{1A3F58DD-7283-436B-B023-E66B1131ABBD}" type="presParOf" srcId="{DC189912-68FF-45AD-9985-CB1D1497D3B6}" destId="{6596A182-B528-4F2A-8DC0-D42CFC5EC8D5}" srcOrd="1" destOrd="0" presId="urn:microsoft.com/office/officeart/2005/8/layout/lProcess2"/>
    <dgm:cxn modelId="{0A83AED6-C165-4049-8CD9-49EA045149CF}" type="presParOf" srcId="{DC189912-68FF-45AD-9985-CB1D1497D3B6}" destId="{6D84B20D-5A62-4BD0-BB8B-8FB34F21C12F}" srcOrd="2" destOrd="0" presId="urn:microsoft.com/office/officeart/2005/8/layout/lProcess2"/>
    <dgm:cxn modelId="{E16C5342-01B3-481F-B8DC-DAE55805E9FD}" type="presParOf" srcId="{6D84B20D-5A62-4BD0-BB8B-8FB34F21C12F}" destId="{13B9C60E-43C4-43A8-A1EA-202552FF01B5}" srcOrd="0" destOrd="0" presId="urn:microsoft.com/office/officeart/2005/8/layout/lProcess2"/>
    <dgm:cxn modelId="{1DE1198B-42E1-40B3-AF9D-F5BDBC05CF76}" type="presParOf" srcId="{13B9C60E-43C4-43A8-A1EA-202552FF01B5}" destId="{86475600-D1C2-4749-990E-065537FCD252}" srcOrd="0" destOrd="0" presId="urn:microsoft.com/office/officeart/2005/8/layout/lProcess2"/>
    <dgm:cxn modelId="{F5EA111E-97F0-4D43-BE82-C88967E01C0D}" type="presParOf" srcId="{13B9C60E-43C4-43A8-A1EA-202552FF01B5}" destId="{78A9B422-818D-44AC-B8A7-F477AF8CF922}" srcOrd="1" destOrd="0" presId="urn:microsoft.com/office/officeart/2005/8/layout/lProcess2"/>
    <dgm:cxn modelId="{98D4A739-860B-4457-871E-D417A7C406F5}" type="presParOf" srcId="{13B9C60E-43C4-43A8-A1EA-202552FF01B5}" destId="{021BD49A-69C5-4D54-B9CC-95B0E5BAA976}" srcOrd="2" destOrd="0" presId="urn:microsoft.com/office/officeart/2005/8/layout/lProcess2"/>
    <dgm:cxn modelId="{BA1FB4AC-B242-4F90-9C47-2D85E8D1A229}" type="presParOf" srcId="{13B9C60E-43C4-43A8-A1EA-202552FF01B5}" destId="{233E2B6D-9C72-4C5C-AA46-3492DF4284A1}" srcOrd="3" destOrd="0" presId="urn:microsoft.com/office/officeart/2005/8/layout/lProcess2"/>
    <dgm:cxn modelId="{036A7B8F-04A7-46AC-B3A2-4B1F389D2DEE}" type="presParOf" srcId="{13B9C60E-43C4-43A8-A1EA-202552FF01B5}" destId="{95DDAE87-2594-4E96-BCA9-B0E5FC2BC34A}" srcOrd="4" destOrd="0" presId="urn:microsoft.com/office/officeart/2005/8/layout/lProcess2"/>
    <dgm:cxn modelId="{7D09A131-F646-4225-9F87-84E830EA7FB0}" type="presParOf" srcId="{13B9C60E-43C4-43A8-A1EA-202552FF01B5}" destId="{CE6A490C-C961-4E96-BCD6-DD9C815848C3}" srcOrd="5" destOrd="0" presId="urn:microsoft.com/office/officeart/2005/8/layout/lProcess2"/>
    <dgm:cxn modelId="{21F1ED3A-EBB7-4E6F-B4EA-4E74A238C690}" type="presParOf" srcId="{13B9C60E-43C4-43A8-A1EA-202552FF01B5}" destId="{8813A561-BC46-4825-AC99-D3BD2689362E}" srcOrd="6" destOrd="0" presId="urn:microsoft.com/office/officeart/2005/8/layout/lProcess2"/>
    <dgm:cxn modelId="{A9A87A21-00DC-490A-90F6-4D813F8E5229}" type="presParOf" srcId="{13B9C60E-43C4-43A8-A1EA-202552FF01B5}" destId="{54CD92AA-B58E-44D2-A191-F716716C30D4}" srcOrd="7" destOrd="0" presId="urn:microsoft.com/office/officeart/2005/8/layout/lProcess2"/>
    <dgm:cxn modelId="{773BA59A-D604-4CDA-9CFB-54ED0BAC005F}" type="presParOf" srcId="{13B9C60E-43C4-43A8-A1EA-202552FF01B5}" destId="{77F2BC8C-BC28-4252-9A85-542C50530D2A}" srcOrd="8" destOrd="0" presId="urn:microsoft.com/office/officeart/2005/8/layout/lProcess2"/>
    <dgm:cxn modelId="{BB4E4EB0-A022-4CB7-8042-F9B0973BB482}" type="presParOf" srcId="{2318FE62-AB49-468E-8ED8-9D264F666369}" destId="{C8C38745-5390-48EF-BE8C-C70F02A683A5}" srcOrd="3" destOrd="0" presId="urn:microsoft.com/office/officeart/2005/8/layout/lProcess2"/>
    <dgm:cxn modelId="{44868BD7-80B2-46BB-A2D5-F1999F493142}" type="presParOf" srcId="{2318FE62-AB49-468E-8ED8-9D264F666369}" destId="{9D2E38A9-A2F5-4212-9E71-089937C4DEA3}" srcOrd="4" destOrd="0" presId="urn:microsoft.com/office/officeart/2005/8/layout/lProcess2"/>
    <dgm:cxn modelId="{28031B02-36DE-4A3F-9AF4-C16C844D566B}" type="presParOf" srcId="{9D2E38A9-A2F5-4212-9E71-089937C4DEA3}" destId="{B9DD7F3E-0BBF-48B0-BB68-482C06002909}" srcOrd="0" destOrd="0" presId="urn:microsoft.com/office/officeart/2005/8/layout/lProcess2"/>
    <dgm:cxn modelId="{70E5E75E-736C-40A0-838E-2A6FC6A69003}" type="presParOf" srcId="{9D2E38A9-A2F5-4212-9E71-089937C4DEA3}" destId="{EC21C690-B5E0-445A-A717-DC0678ABF1F9}" srcOrd="1" destOrd="0" presId="urn:microsoft.com/office/officeart/2005/8/layout/lProcess2"/>
    <dgm:cxn modelId="{80269362-8AA9-4EB6-9BC6-A3349489D5B4}" type="presParOf" srcId="{9D2E38A9-A2F5-4212-9E71-089937C4DEA3}" destId="{E64A5A58-77AA-4A82-B6AA-A2614C667F7F}" srcOrd="2" destOrd="0" presId="urn:microsoft.com/office/officeart/2005/8/layout/lProcess2"/>
    <dgm:cxn modelId="{47891DA6-E382-4702-847F-08B4271AEAC1}" type="presParOf" srcId="{E64A5A58-77AA-4A82-B6AA-A2614C667F7F}" destId="{697FD119-C67A-45F4-B9CD-CBFFBDC9E42A}" srcOrd="0" destOrd="0" presId="urn:microsoft.com/office/officeart/2005/8/layout/lProcess2"/>
    <dgm:cxn modelId="{8E0B2A06-F394-412F-BDC0-353C70744668}" type="presParOf" srcId="{697FD119-C67A-45F4-B9CD-CBFFBDC9E42A}" destId="{33F14C8E-38F4-4A62-B877-4D1246CB5716}" srcOrd="0" destOrd="0" presId="urn:microsoft.com/office/officeart/2005/8/layout/lProcess2"/>
    <dgm:cxn modelId="{60662092-9218-42F8-8394-AD8CA75C397F}" type="presParOf" srcId="{697FD119-C67A-45F4-B9CD-CBFFBDC9E42A}" destId="{AA976E4D-F3C3-40A5-A883-8B49620E30AF}" srcOrd="1" destOrd="0" presId="urn:microsoft.com/office/officeart/2005/8/layout/lProcess2"/>
    <dgm:cxn modelId="{8716451E-C274-4797-9351-9D19A2CD1F16}" type="presParOf" srcId="{697FD119-C67A-45F4-B9CD-CBFFBDC9E42A}" destId="{F31F0F63-FAA3-422B-A6E5-15ADB52398D7}" srcOrd="2" destOrd="0" presId="urn:microsoft.com/office/officeart/2005/8/layout/lProcess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F51C2D-E084-4451-8747-3B06F240D302}"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CA"/>
        </a:p>
      </dgm:t>
    </dgm:pt>
    <dgm:pt modelId="{D26871C7-940F-4FB8-A39B-AF7298AAB3C3}">
      <dgm:prSet phldrT="[Texte]" custT="1"/>
      <dgm:spPr>
        <a:xfrm>
          <a:off x="0" y="0"/>
          <a:ext cx="5278120" cy="3786996"/>
        </a:xfrm>
        <a:prstGeom prst="roundRect">
          <a:avLst>
            <a:gd name="adj" fmla="val 10000"/>
          </a:avLst>
        </a:prstGeom>
        <a:solidFill>
          <a:srgbClr val="E3ECF9"/>
        </a:solidFill>
        <a:ln>
          <a:noFill/>
        </a:ln>
        <a:effectLst/>
      </dgm:spPr>
      <dgm:t>
        <a:bodyPr/>
        <a:lstStyle/>
        <a:p>
          <a:pPr algn="ctr">
            <a:buNone/>
          </a:pPr>
          <a:r>
            <a:rPr lang="fr-CA" sz="1100" b="1">
              <a:solidFill>
                <a:srgbClr val="2A73D0"/>
              </a:solidFill>
              <a:latin typeface="Aptos" panose="020B0004020202020204" pitchFamily="34" charset="0"/>
              <a:ea typeface="+mn-ea"/>
              <a:cs typeface="+mn-cs"/>
            </a:rPr>
            <a:t>Schéma 2 </a:t>
          </a:r>
        </a:p>
        <a:p>
          <a:pPr algn="ctr">
            <a:buNone/>
          </a:pPr>
          <a:r>
            <a:rPr lang="fr-CA" sz="1100" b="0">
              <a:solidFill>
                <a:srgbClr val="2A73D0"/>
              </a:solidFill>
              <a:latin typeface="Aptos" panose="020B0004020202020204" pitchFamily="34" charset="0"/>
              <a:ea typeface="+mn-ea"/>
              <a:cs typeface="+mn-cs"/>
            </a:rPr>
            <a:t>Proportions de plaintes pour discrimination en emploi</a:t>
          </a:r>
          <a:br>
            <a:rPr lang="fr-CA" sz="1100" b="0">
              <a:solidFill>
                <a:srgbClr val="2A73D0"/>
              </a:solidFill>
              <a:latin typeface="Aptos" panose="020B0004020202020204" pitchFamily="34" charset="0"/>
              <a:ea typeface="+mn-ea"/>
              <a:cs typeface="+mn-cs"/>
            </a:rPr>
          </a:br>
          <a:r>
            <a:rPr lang="fr-CA" sz="1100" b="0">
              <a:solidFill>
                <a:srgbClr val="2A73D0"/>
              </a:solidFill>
              <a:latin typeface="Aptos" panose="020B0004020202020204" pitchFamily="34" charset="0"/>
              <a:ea typeface="+mn-ea"/>
              <a:cs typeface="+mn-cs"/>
            </a:rPr>
            <a:t> fondée sur l’orientation sexuelle et l’identité ou l’expression du genre</a:t>
          </a:r>
          <a:br>
            <a:rPr lang="fr-CA" sz="1100" b="0">
              <a:solidFill>
                <a:srgbClr val="2A73D0"/>
              </a:solidFill>
              <a:latin typeface="Aptos" panose="020B0004020202020204" pitchFamily="34" charset="0"/>
              <a:ea typeface="+mn-ea"/>
              <a:cs typeface="+mn-cs"/>
            </a:rPr>
          </a:br>
          <a:r>
            <a:rPr lang="fr-CA" sz="1100" b="0">
              <a:solidFill>
                <a:srgbClr val="2A73D0"/>
              </a:solidFill>
              <a:latin typeface="Aptos" panose="020B0004020202020204" pitchFamily="34" charset="0"/>
              <a:ea typeface="+mn-ea"/>
              <a:cs typeface="+mn-cs"/>
            </a:rPr>
            <a:t> alléguant un climat de travail discriminatoire dans le corpus qualitatif (1994 – 2020), n = 201 </a:t>
          </a:r>
        </a:p>
        <a:p>
          <a:pPr algn="ctr">
            <a:buNone/>
          </a:pPr>
          <a:r>
            <a:rPr lang="fr-CA" sz="1300" b="1">
              <a:solidFill>
                <a:schemeClr val="tx2"/>
              </a:solidFill>
              <a:latin typeface="Aptos" panose="020B0004020202020204" pitchFamily="34" charset="0"/>
              <a:ea typeface="+mn-ea"/>
              <a:cs typeface="+mn-cs"/>
            </a:rPr>
            <a:t>Climat de travail (63 %)</a:t>
          </a:r>
        </a:p>
      </dgm:t>
    </dgm:pt>
    <dgm:pt modelId="{19E30AFB-BFF4-4BAC-A1C1-687698A65F0B}" type="parTrans" cxnId="{91F03930-D144-4BE5-8367-0051103306C8}">
      <dgm:prSet/>
      <dgm:spPr/>
      <dgm:t>
        <a:bodyPr/>
        <a:lstStyle/>
        <a:p>
          <a:pPr algn="ctr"/>
          <a:endParaRPr lang="fr-CA"/>
        </a:p>
      </dgm:t>
    </dgm:pt>
    <dgm:pt modelId="{74EAD806-ED5F-406A-98F6-56BFC71DF5FE}" type="sibTrans" cxnId="{91F03930-D144-4BE5-8367-0051103306C8}">
      <dgm:prSet/>
      <dgm:spPr/>
      <dgm:t>
        <a:bodyPr/>
        <a:lstStyle/>
        <a:p>
          <a:pPr algn="ctr"/>
          <a:endParaRPr lang="fr-CA"/>
        </a:p>
      </dgm:t>
    </dgm:pt>
    <dgm:pt modelId="{290D459F-40D0-48EE-96BC-F3F7DE5E7247}">
      <dgm:prSet phldrT="[Texte]"/>
      <dgm:spPr>
        <a:xfrm>
          <a:off x="527811" y="1137069"/>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Tolérance de l'homophobie et de la transphobie (45 %)</a:t>
          </a:r>
        </a:p>
      </dgm:t>
    </dgm:pt>
    <dgm:pt modelId="{CFB87FBB-547A-46B7-B347-044089FF87C7}" type="parTrans" cxnId="{54857C82-4825-41EF-BB0E-9BAC5248A69F}">
      <dgm:prSet/>
      <dgm:spPr/>
      <dgm:t>
        <a:bodyPr/>
        <a:lstStyle/>
        <a:p>
          <a:pPr algn="ctr"/>
          <a:endParaRPr lang="fr-CA"/>
        </a:p>
      </dgm:t>
    </dgm:pt>
    <dgm:pt modelId="{E062D78C-790B-4719-B3BF-E682C509FD64}" type="sibTrans" cxnId="{54857C82-4825-41EF-BB0E-9BAC5248A69F}">
      <dgm:prSet/>
      <dgm:spPr/>
      <dgm:t>
        <a:bodyPr/>
        <a:lstStyle/>
        <a:p>
          <a:pPr algn="ctr"/>
          <a:endParaRPr lang="fr-CA"/>
        </a:p>
      </dgm:t>
    </dgm:pt>
    <dgm:pt modelId="{394FC0F5-04E7-4A67-A640-0CF7BA91E4AE}">
      <dgm:prSet phldrT="[Texte]"/>
      <dgm:spPr>
        <a:xfrm>
          <a:off x="527811" y="1386353"/>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Climat de travail hostile (31 %)</a:t>
          </a:r>
        </a:p>
      </dgm:t>
    </dgm:pt>
    <dgm:pt modelId="{A0A7E5D1-1515-4490-A104-7826A57F5A6E}" type="parTrans" cxnId="{3F092C02-BF44-4694-8E75-384E4071684E}">
      <dgm:prSet/>
      <dgm:spPr/>
      <dgm:t>
        <a:bodyPr/>
        <a:lstStyle/>
        <a:p>
          <a:pPr algn="ctr"/>
          <a:endParaRPr lang="fr-CA"/>
        </a:p>
      </dgm:t>
    </dgm:pt>
    <dgm:pt modelId="{593E9301-D1C4-49DE-88E9-D26B6F8FF969}" type="sibTrans" cxnId="{3F092C02-BF44-4694-8E75-384E4071684E}">
      <dgm:prSet/>
      <dgm:spPr/>
      <dgm:t>
        <a:bodyPr/>
        <a:lstStyle/>
        <a:p>
          <a:pPr algn="ctr"/>
          <a:endParaRPr lang="fr-CA"/>
        </a:p>
      </dgm:t>
    </dgm:pt>
    <dgm:pt modelId="{BF608E05-F2F3-4C8A-878B-CBD5D110FEED}">
      <dgm:prSet phldrT="[Texte]"/>
      <dgm:spPr>
        <a:xfrm>
          <a:off x="527811" y="1635638"/>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Climat de travail désagréable (30 %)</a:t>
          </a:r>
        </a:p>
      </dgm:t>
    </dgm:pt>
    <dgm:pt modelId="{85E969D5-1654-40D7-A5F4-2688D9B08E16}" type="parTrans" cxnId="{C9FC13B8-5A2D-4E9A-BEEE-2D57198D8D0D}">
      <dgm:prSet/>
      <dgm:spPr/>
      <dgm:t>
        <a:bodyPr/>
        <a:lstStyle/>
        <a:p>
          <a:pPr algn="ctr"/>
          <a:endParaRPr lang="fr-CA"/>
        </a:p>
      </dgm:t>
    </dgm:pt>
    <dgm:pt modelId="{18FAC0DC-BBC0-461E-8106-057DF6AA88C7}" type="sibTrans" cxnId="{C9FC13B8-5A2D-4E9A-BEEE-2D57198D8D0D}">
      <dgm:prSet/>
      <dgm:spPr/>
      <dgm:t>
        <a:bodyPr/>
        <a:lstStyle/>
        <a:p>
          <a:pPr algn="ctr"/>
          <a:endParaRPr lang="fr-CA"/>
        </a:p>
      </dgm:t>
    </dgm:pt>
    <dgm:pt modelId="{B451ECED-95C1-47A5-AD77-4967527431E0}">
      <dgm:prSet phldrT="[Texte]"/>
      <dgm:spPr>
        <a:xfrm>
          <a:off x="527811" y="2632775"/>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Questions gênantes (10 %)</a:t>
          </a:r>
        </a:p>
      </dgm:t>
    </dgm:pt>
    <dgm:pt modelId="{94C85361-AD78-4DAF-BE39-C1364D11B9A8}" type="parTrans" cxnId="{DD27C411-348E-45C9-9887-49028E1F290A}">
      <dgm:prSet/>
      <dgm:spPr/>
      <dgm:t>
        <a:bodyPr/>
        <a:lstStyle/>
        <a:p>
          <a:pPr algn="ctr"/>
          <a:endParaRPr lang="fr-CA"/>
        </a:p>
      </dgm:t>
    </dgm:pt>
    <dgm:pt modelId="{393CD78E-34B3-4EE7-A7BE-2AE8DD3C551F}" type="sibTrans" cxnId="{DD27C411-348E-45C9-9887-49028E1F290A}">
      <dgm:prSet/>
      <dgm:spPr/>
      <dgm:t>
        <a:bodyPr/>
        <a:lstStyle/>
        <a:p>
          <a:pPr algn="ctr"/>
          <a:endParaRPr lang="fr-CA"/>
        </a:p>
      </dgm:t>
    </dgm:pt>
    <dgm:pt modelId="{7ABF43BE-B04B-4D03-AA7E-C319D4FA0A6D}">
      <dgm:prSet phldrT="[Texte]"/>
      <dgm:spPr>
        <a:xfrm>
          <a:off x="527811" y="2882060"/>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Règles non écrites (7 %)</a:t>
          </a:r>
        </a:p>
      </dgm:t>
    </dgm:pt>
    <dgm:pt modelId="{C095CFC3-D54A-4193-858E-D4267FFAFF1E}" type="parTrans" cxnId="{42271FCA-35BD-425E-8EBD-C166DFA90B86}">
      <dgm:prSet/>
      <dgm:spPr/>
      <dgm:t>
        <a:bodyPr/>
        <a:lstStyle/>
        <a:p>
          <a:pPr algn="ctr"/>
          <a:endParaRPr lang="fr-CA"/>
        </a:p>
      </dgm:t>
    </dgm:pt>
    <dgm:pt modelId="{51701A80-5909-4DA5-92E5-A4164DC8605B}" type="sibTrans" cxnId="{42271FCA-35BD-425E-8EBD-C166DFA90B86}">
      <dgm:prSet/>
      <dgm:spPr/>
      <dgm:t>
        <a:bodyPr/>
        <a:lstStyle/>
        <a:p>
          <a:pPr algn="ctr"/>
          <a:endParaRPr lang="fr-CA"/>
        </a:p>
      </dgm:t>
    </dgm:pt>
    <dgm:pt modelId="{A74FF327-965A-4814-BD16-1B91A8C896EC}">
      <dgm:prSet phldrT="[Texte]"/>
      <dgm:spPr>
        <a:xfrm>
          <a:off x="527811" y="3131344"/>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Manifestations graphiques (4 %)</a:t>
          </a:r>
        </a:p>
      </dgm:t>
    </dgm:pt>
    <dgm:pt modelId="{858DDCEC-9F7B-4516-8617-F60F9E6B74EA}" type="parTrans" cxnId="{0ACA59C4-5613-42E0-8BBE-F14193AD5325}">
      <dgm:prSet/>
      <dgm:spPr/>
      <dgm:t>
        <a:bodyPr/>
        <a:lstStyle/>
        <a:p>
          <a:pPr algn="ctr"/>
          <a:endParaRPr lang="fr-CA"/>
        </a:p>
      </dgm:t>
    </dgm:pt>
    <dgm:pt modelId="{F75EB666-2FB5-404D-AB8C-CF91884562C8}" type="sibTrans" cxnId="{0ACA59C4-5613-42E0-8BBE-F14193AD5325}">
      <dgm:prSet/>
      <dgm:spPr/>
      <dgm:t>
        <a:bodyPr/>
        <a:lstStyle/>
        <a:p>
          <a:pPr algn="ctr"/>
          <a:endParaRPr lang="fr-CA"/>
        </a:p>
      </dgm:t>
    </dgm:pt>
    <dgm:pt modelId="{DBCF10FD-BEBD-4D57-95D2-95E64C830272}">
      <dgm:prSet phldrT="[Texte]"/>
      <dgm:spPr>
        <a:xfrm>
          <a:off x="527811" y="3380628"/>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Regards déplacés (4 %)</a:t>
          </a:r>
        </a:p>
      </dgm:t>
    </dgm:pt>
    <dgm:pt modelId="{8332E9D4-D9DC-49C3-B5AF-3D1C50D88DE5}" type="parTrans" cxnId="{5A099605-BA2B-4ED8-A2DA-0B81EF92DC36}">
      <dgm:prSet/>
      <dgm:spPr/>
      <dgm:t>
        <a:bodyPr/>
        <a:lstStyle/>
        <a:p>
          <a:pPr algn="ctr"/>
          <a:endParaRPr lang="fr-CA"/>
        </a:p>
      </dgm:t>
    </dgm:pt>
    <dgm:pt modelId="{BCB23829-85EF-44D3-A5A4-C454A95B2E6F}" type="sibTrans" cxnId="{5A099605-BA2B-4ED8-A2DA-0B81EF92DC36}">
      <dgm:prSet/>
      <dgm:spPr/>
      <dgm:t>
        <a:bodyPr/>
        <a:lstStyle/>
        <a:p>
          <a:pPr algn="ctr"/>
          <a:endParaRPr lang="fr-CA"/>
        </a:p>
      </dgm:t>
    </dgm:pt>
    <dgm:pt modelId="{2300A060-21FE-49B9-BFD9-52212A3FA0FE}">
      <dgm:prSet phldrT="[Texte]"/>
      <dgm:spPr>
        <a:xfrm>
          <a:off x="527811" y="1884922"/>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Isolement (23 %)</a:t>
          </a:r>
        </a:p>
      </dgm:t>
    </dgm:pt>
    <dgm:pt modelId="{21755F70-D3C2-4C6B-BD51-D8BCFA65C1FD}" type="sibTrans" cxnId="{F9A07DF3-D432-45BD-A5B4-9C330EE4057A}">
      <dgm:prSet/>
      <dgm:spPr/>
      <dgm:t>
        <a:bodyPr/>
        <a:lstStyle/>
        <a:p>
          <a:pPr algn="ctr"/>
          <a:endParaRPr lang="fr-CA"/>
        </a:p>
      </dgm:t>
    </dgm:pt>
    <dgm:pt modelId="{142ACB38-717C-4F9D-A7D2-5EB0CC12A435}" type="parTrans" cxnId="{F9A07DF3-D432-45BD-A5B4-9C330EE4057A}">
      <dgm:prSet/>
      <dgm:spPr/>
      <dgm:t>
        <a:bodyPr/>
        <a:lstStyle/>
        <a:p>
          <a:pPr algn="ctr"/>
          <a:endParaRPr lang="fr-CA"/>
        </a:p>
      </dgm:t>
    </dgm:pt>
    <dgm:pt modelId="{CE04D5C2-8CEB-413D-B991-8F553FDAB177}">
      <dgm:prSet phldrT="[Texte]"/>
      <dgm:spPr>
        <a:xfrm>
          <a:off x="527811" y="2134207"/>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Circulation de rumeurs (17 %)</a:t>
          </a:r>
        </a:p>
      </dgm:t>
    </dgm:pt>
    <dgm:pt modelId="{C9ABA3F1-E0E1-4DAD-8A7F-7939026EFA5D}" type="parTrans" cxnId="{E328403A-3166-42FE-A34C-60E7CDEE89C8}">
      <dgm:prSet/>
      <dgm:spPr/>
      <dgm:t>
        <a:bodyPr/>
        <a:lstStyle/>
        <a:p>
          <a:pPr algn="ctr"/>
          <a:endParaRPr lang="fr-CA"/>
        </a:p>
      </dgm:t>
    </dgm:pt>
    <dgm:pt modelId="{9A50D863-3936-4FB0-A6BA-6D5357FC75DD}" type="sibTrans" cxnId="{E328403A-3166-42FE-A34C-60E7CDEE89C8}">
      <dgm:prSet/>
      <dgm:spPr/>
      <dgm:t>
        <a:bodyPr/>
        <a:lstStyle/>
        <a:p>
          <a:pPr algn="ctr"/>
          <a:endParaRPr lang="fr-CA"/>
        </a:p>
      </dgm:t>
    </dgm:pt>
    <dgm:pt modelId="{B292D06A-F9B7-4649-B0EB-0BDA07CEF91B}">
      <dgm:prSet phldrT="[Texte]"/>
      <dgm:spPr>
        <a:xfrm>
          <a:off x="527811" y="2383491"/>
          <a:ext cx="4222496" cy="216046"/>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ln>
        <a:effectLst/>
      </dgm:spPr>
      <dgm:t>
        <a:bodyPr/>
        <a:lstStyle/>
        <a:p>
          <a:pPr algn="ctr">
            <a:buNone/>
          </a:pPr>
          <a:r>
            <a:rPr lang="fr-CA">
              <a:solidFill>
                <a:sysClr val="window" lastClr="FFFFFF"/>
              </a:solidFill>
              <a:latin typeface="Aptos" panose="020B0004020202020204" pitchFamily="34" charset="0"/>
              <a:ea typeface="+mn-ea"/>
              <a:cs typeface="+mn-cs"/>
            </a:rPr>
            <a:t>Traitement humiliant (12 %)</a:t>
          </a:r>
        </a:p>
      </dgm:t>
    </dgm:pt>
    <dgm:pt modelId="{D122CB91-AE00-41D3-89CA-D766090DCE22}" type="parTrans" cxnId="{58C01958-CE2A-47C7-B4BE-8F9665906F6B}">
      <dgm:prSet/>
      <dgm:spPr/>
      <dgm:t>
        <a:bodyPr/>
        <a:lstStyle/>
        <a:p>
          <a:pPr algn="ctr"/>
          <a:endParaRPr lang="fr-CA"/>
        </a:p>
      </dgm:t>
    </dgm:pt>
    <dgm:pt modelId="{EA088F5F-989A-46C3-B079-E9E697D54A74}" type="sibTrans" cxnId="{58C01958-CE2A-47C7-B4BE-8F9665906F6B}">
      <dgm:prSet/>
      <dgm:spPr/>
      <dgm:t>
        <a:bodyPr/>
        <a:lstStyle/>
        <a:p>
          <a:pPr algn="ctr"/>
          <a:endParaRPr lang="fr-CA"/>
        </a:p>
      </dgm:t>
    </dgm:pt>
    <dgm:pt modelId="{1FF433AB-8B2D-4603-8335-6E0CEA96A02E}" type="pres">
      <dgm:prSet presAssocID="{A2F51C2D-E084-4451-8747-3B06F240D302}" presName="theList" presStyleCnt="0">
        <dgm:presLayoutVars>
          <dgm:dir/>
          <dgm:animLvl val="lvl"/>
          <dgm:resizeHandles val="exact"/>
        </dgm:presLayoutVars>
      </dgm:prSet>
      <dgm:spPr/>
    </dgm:pt>
    <dgm:pt modelId="{3D1D789E-0250-42D9-84E1-CA05C26125C1}" type="pres">
      <dgm:prSet presAssocID="{D26871C7-940F-4FB8-A39B-AF7298AAB3C3}" presName="compNode" presStyleCnt="0"/>
      <dgm:spPr/>
    </dgm:pt>
    <dgm:pt modelId="{333F5451-0298-4F55-AA8C-2B2D02CF3BCB}" type="pres">
      <dgm:prSet presAssocID="{D26871C7-940F-4FB8-A39B-AF7298AAB3C3}" presName="aNode" presStyleLbl="bgShp" presStyleIdx="0" presStyleCnt="1" custLinFactNeighborY="933"/>
      <dgm:spPr/>
    </dgm:pt>
    <dgm:pt modelId="{4D597B78-439B-4468-9218-17D486A95252}" type="pres">
      <dgm:prSet presAssocID="{D26871C7-940F-4FB8-A39B-AF7298AAB3C3}" presName="textNode" presStyleLbl="bgShp" presStyleIdx="0" presStyleCnt="1"/>
      <dgm:spPr/>
    </dgm:pt>
    <dgm:pt modelId="{B64AA23E-8F58-49DC-BCAC-3D99A59F5C79}" type="pres">
      <dgm:prSet presAssocID="{D26871C7-940F-4FB8-A39B-AF7298AAB3C3}" presName="compChildNode" presStyleCnt="0"/>
      <dgm:spPr/>
    </dgm:pt>
    <dgm:pt modelId="{21ED3529-7940-498C-A1B0-9F5B339604BB}" type="pres">
      <dgm:prSet presAssocID="{D26871C7-940F-4FB8-A39B-AF7298AAB3C3}" presName="theInnerList" presStyleCnt="0"/>
      <dgm:spPr/>
    </dgm:pt>
    <dgm:pt modelId="{0FEE8776-A90A-4843-855B-88E2BA148A37}" type="pres">
      <dgm:prSet presAssocID="{290D459F-40D0-48EE-96BC-F3F7DE5E7247}" presName="childNode" presStyleLbl="node1" presStyleIdx="0" presStyleCnt="10" custLinFactY="-6410" custLinFactNeighborX="-128" custLinFactNeighborY="-100000">
        <dgm:presLayoutVars>
          <dgm:bulletEnabled val="1"/>
        </dgm:presLayoutVars>
      </dgm:prSet>
      <dgm:spPr/>
    </dgm:pt>
    <dgm:pt modelId="{E6E5F098-8B22-42B4-9099-528CE2FEF483}" type="pres">
      <dgm:prSet presAssocID="{290D459F-40D0-48EE-96BC-F3F7DE5E7247}" presName="aSpace2" presStyleCnt="0"/>
      <dgm:spPr/>
    </dgm:pt>
    <dgm:pt modelId="{1CD112FE-C9DE-4CD0-BD84-909E9A0278A8}" type="pres">
      <dgm:prSet presAssocID="{394FC0F5-04E7-4A67-A640-0CF7BA91E4AE}" presName="childNode" presStyleLbl="node1" presStyleIdx="1" presStyleCnt="10">
        <dgm:presLayoutVars>
          <dgm:bulletEnabled val="1"/>
        </dgm:presLayoutVars>
      </dgm:prSet>
      <dgm:spPr/>
    </dgm:pt>
    <dgm:pt modelId="{A6C31C4E-1B12-4854-8E7C-C18652769AAB}" type="pres">
      <dgm:prSet presAssocID="{394FC0F5-04E7-4A67-A640-0CF7BA91E4AE}" presName="aSpace2" presStyleCnt="0"/>
      <dgm:spPr/>
    </dgm:pt>
    <dgm:pt modelId="{3DFE1769-AFBD-4BA6-ADA6-94FCCA8049F7}" type="pres">
      <dgm:prSet presAssocID="{BF608E05-F2F3-4C8A-878B-CBD5D110FEED}" presName="childNode" presStyleLbl="node1" presStyleIdx="2" presStyleCnt="10">
        <dgm:presLayoutVars>
          <dgm:bulletEnabled val="1"/>
        </dgm:presLayoutVars>
      </dgm:prSet>
      <dgm:spPr/>
    </dgm:pt>
    <dgm:pt modelId="{3F6AE316-B7FA-451F-83A0-8EE97A3759CA}" type="pres">
      <dgm:prSet presAssocID="{BF608E05-F2F3-4C8A-878B-CBD5D110FEED}" presName="aSpace2" presStyleCnt="0"/>
      <dgm:spPr/>
    </dgm:pt>
    <dgm:pt modelId="{9FD2EF48-6FBB-472D-A5B1-DE3072FCC99E}" type="pres">
      <dgm:prSet presAssocID="{2300A060-21FE-49B9-BFD9-52212A3FA0FE}" presName="childNode" presStyleLbl="node1" presStyleIdx="3" presStyleCnt="10">
        <dgm:presLayoutVars>
          <dgm:bulletEnabled val="1"/>
        </dgm:presLayoutVars>
      </dgm:prSet>
      <dgm:spPr/>
    </dgm:pt>
    <dgm:pt modelId="{5F63E824-770D-4A35-B061-C0638366E872}" type="pres">
      <dgm:prSet presAssocID="{2300A060-21FE-49B9-BFD9-52212A3FA0FE}" presName="aSpace2" presStyleCnt="0"/>
      <dgm:spPr/>
    </dgm:pt>
    <dgm:pt modelId="{9F42CC8C-79A1-4C8D-B692-B0BAEE088FC3}" type="pres">
      <dgm:prSet presAssocID="{CE04D5C2-8CEB-413D-B991-8F553FDAB177}" presName="childNode" presStyleLbl="node1" presStyleIdx="4" presStyleCnt="10">
        <dgm:presLayoutVars>
          <dgm:bulletEnabled val="1"/>
        </dgm:presLayoutVars>
      </dgm:prSet>
      <dgm:spPr/>
    </dgm:pt>
    <dgm:pt modelId="{85C3B448-C61B-4F58-B271-E74B95303026}" type="pres">
      <dgm:prSet presAssocID="{CE04D5C2-8CEB-413D-B991-8F553FDAB177}" presName="aSpace2" presStyleCnt="0"/>
      <dgm:spPr/>
    </dgm:pt>
    <dgm:pt modelId="{7AEFFE22-A519-4B25-BCE5-C6D9E7DEA992}" type="pres">
      <dgm:prSet presAssocID="{B292D06A-F9B7-4649-B0EB-0BDA07CEF91B}" presName="childNode" presStyleLbl="node1" presStyleIdx="5" presStyleCnt="10">
        <dgm:presLayoutVars>
          <dgm:bulletEnabled val="1"/>
        </dgm:presLayoutVars>
      </dgm:prSet>
      <dgm:spPr/>
    </dgm:pt>
    <dgm:pt modelId="{E099A572-5E3E-465B-9124-5683DC0BDC0E}" type="pres">
      <dgm:prSet presAssocID="{B292D06A-F9B7-4649-B0EB-0BDA07CEF91B}" presName="aSpace2" presStyleCnt="0"/>
      <dgm:spPr/>
    </dgm:pt>
    <dgm:pt modelId="{5C340B3D-E31A-4A9E-9326-8CC85A73024F}" type="pres">
      <dgm:prSet presAssocID="{B451ECED-95C1-47A5-AD77-4967527431E0}" presName="childNode" presStyleLbl="node1" presStyleIdx="6" presStyleCnt="10">
        <dgm:presLayoutVars>
          <dgm:bulletEnabled val="1"/>
        </dgm:presLayoutVars>
      </dgm:prSet>
      <dgm:spPr/>
    </dgm:pt>
    <dgm:pt modelId="{E5806B83-9DC8-46DB-AC9F-2F516855BB44}" type="pres">
      <dgm:prSet presAssocID="{B451ECED-95C1-47A5-AD77-4967527431E0}" presName="aSpace2" presStyleCnt="0"/>
      <dgm:spPr/>
    </dgm:pt>
    <dgm:pt modelId="{F3430513-F24C-40C0-BB25-74FA71324D5E}" type="pres">
      <dgm:prSet presAssocID="{7ABF43BE-B04B-4D03-AA7E-C319D4FA0A6D}" presName="childNode" presStyleLbl="node1" presStyleIdx="7" presStyleCnt="10">
        <dgm:presLayoutVars>
          <dgm:bulletEnabled val="1"/>
        </dgm:presLayoutVars>
      </dgm:prSet>
      <dgm:spPr/>
    </dgm:pt>
    <dgm:pt modelId="{5B26A41C-B989-4692-B312-924E20E7C4EC}" type="pres">
      <dgm:prSet presAssocID="{7ABF43BE-B04B-4D03-AA7E-C319D4FA0A6D}" presName="aSpace2" presStyleCnt="0"/>
      <dgm:spPr/>
    </dgm:pt>
    <dgm:pt modelId="{32DB5339-A635-4969-84CE-A344D2688489}" type="pres">
      <dgm:prSet presAssocID="{A74FF327-965A-4814-BD16-1B91A8C896EC}" presName="childNode" presStyleLbl="node1" presStyleIdx="8" presStyleCnt="10">
        <dgm:presLayoutVars>
          <dgm:bulletEnabled val="1"/>
        </dgm:presLayoutVars>
      </dgm:prSet>
      <dgm:spPr/>
    </dgm:pt>
    <dgm:pt modelId="{86479BA3-DF71-499D-A2A4-6B076455EECC}" type="pres">
      <dgm:prSet presAssocID="{A74FF327-965A-4814-BD16-1B91A8C896EC}" presName="aSpace2" presStyleCnt="0"/>
      <dgm:spPr/>
    </dgm:pt>
    <dgm:pt modelId="{768A0FE4-9A6F-415C-AFD7-7D33C60AEB93}" type="pres">
      <dgm:prSet presAssocID="{DBCF10FD-BEBD-4D57-95D2-95E64C830272}" presName="childNode" presStyleLbl="node1" presStyleIdx="9" presStyleCnt="10">
        <dgm:presLayoutVars>
          <dgm:bulletEnabled val="1"/>
        </dgm:presLayoutVars>
      </dgm:prSet>
      <dgm:spPr/>
    </dgm:pt>
  </dgm:ptLst>
  <dgm:cxnLst>
    <dgm:cxn modelId="{3F092C02-BF44-4694-8E75-384E4071684E}" srcId="{D26871C7-940F-4FB8-A39B-AF7298AAB3C3}" destId="{394FC0F5-04E7-4A67-A640-0CF7BA91E4AE}" srcOrd="1" destOrd="0" parTransId="{A0A7E5D1-1515-4490-A104-7826A57F5A6E}" sibTransId="{593E9301-D1C4-49DE-88E9-D26B6F8FF969}"/>
    <dgm:cxn modelId="{5A099605-BA2B-4ED8-A2DA-0B81EF92DC36}" srcId="{D26871C7-940F-4FB8-A39B-AF7298AAB3C3}" destId="{DBCF10FD-BEBD-4D57-95D2-95E64C830272}" srcOrd="9" destOrd="0" parTransId="{8332E9D4-D9DC-49C3-B5AF-3D1C50D88DE5}" sibTransId="{BCB23829-85EF-44D3-A5A4-C454A95B2E6F}"/>
    <dgm:cxn modelId="{DD27C411-348E-45C9-9887-49028E1F290A}" srcId="{D26871C7-940F-4FB8-A39B-AF7298AAB3C3}" destId="{B451ECED-95C1-47A5-AD77-4967527431E0}" srcOrd="6" destOrd="0" parTransId="{94C85361-AD78-4DAF-BE39-C1364D11B9A8}" sibTransId="{393CD78E-34B3-4EE7-A7BE-2AE8DD3C551F}"/>
    <dgm:cxn modelId="{91F03930-D144-4BE5-8367-0051103306C8}" srcId="{A2F51C2D-E084-4451-8747-3B06F240D302}" destId="{D26871C7-940F-4FB8-A39B-AF7298AAB3C3}" srcOrd="0" destOrd="0" parTransId="{19E30AFB-BFF4-4BAC-A1C1-687698A65F0B}" sibTransId="{74EAD806-ED5F-406A-98F6-56BFC71DF5FE}"/>
    <dgm:cxn modelId="{E328403A-3166-42FE-A34C-60E7CDEE89C8}" srcId="{D26871C7-940F-4FB8-A39B-AF7298AAB3C3}" destId="{CE04D5C2-8CEB-413D-B991-8F553FDAB177}" srcOrd="4" destOrd="0" parTransId="{C9ABA3F1-E0E1-4DAD-8A7F-7939026EFA5D}" sibTransId="{9A50D863-3936-4FB0-A6BA-6D5357FC75DD}"/>
    <dgm:cxn modelId="{0EA41D5E-75F9-4137-B5A4-36B0A147CD8A}" type="presOf" srcId="{B292D06A-F9B7-4649-B0EB-0BDA07CEF91B}" destId="{7AEFFE22-A519-4B25-BCE5-C6D9E7DEA992}" srcOrd="0" destOrd="0" presId="urn:microsoft.com/office/officeart/2005/8/layout/lProcess2"/>
    <dgm:cxn modelId="{2F0C7A53-7832-4E35-A24D-8406E6E377CA}" type="presOf" srcId="{394FC0F5-04E7-4A67-A640-0CF7BA91E4AE}" destId="{1CD112FE-C9DE-4CD0-BD84-909E9A0278A8}" srcOrd="0" destOrd="0" presId="urn:microsoft.com/office/officeart/2005/8/layout/lProcess2"/>
    <dgm:cxn modelId="{511B0278-894F-4D11-BFF4-ED21F56A8722}" type="presOf" srcId="{290D459F-40D0-48EE-96BC-F3F7DE5E7247}" destId="{0FEE8776-A90A-4843-855B-88E2BA148A37}" srcOrd="0" destOrd="0" presId="urn:microsoft.com/office/officeart/2005/8/layout/lProcess2"/>
    <dgm:cxn modelId="{58C01958-CE2A-47C7-B4BE-8F9665906F6B}" srcId="{D26871C7-940F-4FB8-A39B-AF7298AAB3C3}" destId="{B292D06A-F9B7-4649-B0EB-0BDA07CEF91B}" srcOrd="5" destOrd="0" parTransId="{D122CB91-AE00-41D3-89CA-D766090DCE22}" sibTransId="{EA088F5F-989A-46C3-B079-E9E697D54A74}"/>
    <dgm:cxn modelId="{0423227D-46D1-4F6C-BB6B-05646180B7C1}" type="presOf" srcId="{7ABF43BE-B04B-4D03-AA7E-C319D4FA0A6D}" destId="{F3430513-F24C-40C0-BB25-74FA71324D5E}" srcOrd="0" destOrd="0" presId="urn:microsoft.com/office/officeart/2005/8/layout/lProcess2"/>
    <dgm:cxn modelId="{54857C82-4825-41EF-BB0E-9BAC5248A69F}" srcId="{D26871C7-940F-4FB8-A39B-AF7298AAB3C3}" destId="{290D459F-40D0-48EE-96BC-F3F7DE5E7247}" srcOrd="0" destOrd="0" parTransId="{CFB87FBB-547A-46B7-B347-044089FF87C7}" sibTransId="{E062D78C-790B-4719-B3BF-E682C509FD64}"/>
    <dgm:cxn modelId="{2A1D668B-D5D3-4AEB-A615-8811A1FE11B5}" type="presOf" srcId="{D26871C7-940F-4FB8-A39B-AF7298AAB3C3}" destId="{333F5451-0298-4F55-AA8C-2B2D02CF3BCB}" srcOrd="0" destOrd="0" presId="urn:microsoft.com/office/officeart/2005/8/layout/lProcess2"/>
    <dgm:cxn modelId="{4BAA0C94-DFA4-45DD-9F8F-10A35D20B3F6}" type="presOf" srcId="{B451ECED-95C1-47A5-AD77-4967527431E0}" destId="{5C340B3D-E31A-4A9E-9326-8CC85A73024F}" srcOrd="0" destOrd="0" presId="urn:microsoft.com/office/officeart/2005/8/layout/lProcess2"/>
    <dgm:cxn modelId="{02C41198-0CD4-46C7-A7AE-77700466BA78}" type="presOf" srcId="{DBCF10FD-BEBD-4D57-95D2-95E64C830272}" destId="{768A0FE4-9A6F-415C-AFD7-7D33C60AEB93}" srcOrd="0" destOrd="0" presId="urn:microsoft.com/office/officeart/2005/8/layout/lProcess2"/>
    <dgm:cxn modelId="{1050BBAA-B0F6-483D-8EAC-9FD2F45FAAFC}" type="presOf" srcId="{CE04D5C2-8CEB-413D-B991-8F553FDAB177}" destId="{9F42CC8C-79A1-4C8D-B692-B0BAEE088FC3}" srcOrd="0" destOrd="0" presId="urn:microsoft.com/office/officeart/2005/8/layout/lProcess2"/>
    <dgm:cxn modelId="{2DCEB2AD-8323-4672-AF53-7484C38FE2DF}" type="presOf" srcId="{BF608E05-F2F3-4C8A-878B-CBD5D110FEED}" destId="{3DFE1769-AFBD-4BA6-ADA6-94FCCA8049F7}" srcOrd="0" destOrd="0" presId="urn:microsoft.com/office/officeart/2005/8/layout/lProcess2"/>
    <dgm:cxn modelId="{C9FC13B8-5A2D-4E9A-BEEE-2D57198D8D0D}" srcId="{D26871C7-940F-4FB8-A39B-AF7298AAB3C3}" destId="{BF608E05-F2F3-4C8A-878B-CBD5D110FEED}" srcOrd="2" destOrd="0" parTransId="{85E969D5-1654-40D7-A5F4-2688D9B08E16}" sibTransId="{18FAC0DC-BBC0-461E-8106-057DF6AA88C7}"/>
    <dgm:cxn modelId="{0ACA59C4-5613-42E0-8BBE-F14193AD5325}" srcId="{D26871C7-940F-4FB8-A39B-AF7298AAB3C3}" destId="{A74FF327-965A-4814-BD16-1B91A8C896EC}" srcOrd="8" destOrd="0" parTransId="{858DDCEC-9F7B-4516-8617-F60F9E6B74EA}" sibTransId="{F75EB666-2FB5-404D-AB8C-CF91884562C8}"/>
    <dgm:cxn modelId="{42271FCA-35BD-425E-8EBD-C166DFA90B86}" srcId="{D26871C7-940F-4FB8-A39B-AF7298AAB3C3}" destId="{7ABF43BE-B04B-4D03-AA7E-C319D4FA0A6D}" srcOrd="7" destOrd="0" parTransId="{C095CFC3-D54A-4193-858E-D4267FFAFF1E}" sibTransId="{51701A80-5909-4DA5-92E5-A4164DC8605B}"/>
    <dgm:cxn modelId="{DF672CCD-266F-48EC-9F78-A2FB8A1371A7}" type="presOf" srcId="{2300A060-21FE-49B9-BFD9-52212A3FA0FE}" destId="{9FD2EF48-6FBB-472D-A5B1-DE3072FCC99E}" srcOrd="0" destOrd="0" presId="urn:microsoft.com/office/officeart/2005/8/layout/lProcess2"/>
    <dgm:cxn modelId="{6AE54ACE-A84C-4E5D-A0D0-F9319D43FF77}" type="presOf" srcId="{D26871C7-940F-4FB8-A39B-AF7298AAB3C3}" destId="{4D597B78-439B-4468-9218-17D486A95252}" srcOrd="1" destOrd="0" presId="urn:microsoft.com/office/officeart/2005/8/layout/lProcess2"/>
    <dgm:cxn modelId="{CE58B8E8-0ECB-4E07-8DC7-E0CDFF801FD5}" type="presOf" srcId="{A2F51C2D-E084-4451-8747-3B06F240D302}" destId="{1FF433AB-8B2D-4603-8335-6E0CEA96A02E}" srcOrd="0" destOrd="0" presId="urn:microsoft.com/office/officeart/2005/8/layout/lProcess2"/>
    <dgm:cxn modelId="{F9A07DF3-D432-45BD-A5B4-9C330EE4057A}" srcId="{D26871C7-940F-4FB8-A39B-AF7298AAB3C3}" destId="{2300A060-21FE-49B9-BFD9-52212A3FA0FE}" srcOrd="3" destOrd="0" parTransId="{142ACB38-717C-4F9D-A7D2-5EB0CC12A435}" sibTransId="{21755F70-D3C2-4C6B-BD51-D8BCFA65C1FD}"/>
    <dgm:cxn modelId="{CF08FAF9-3F1B-46BC-9903-7F7C86E98A24}" type="presOf" srcId="{A74FF327-965A-4814-BD16-1B91A8C896EC}" destId="{32DB5339-A635-4969-84CE-A344D2688489}" srcOrd="0" destOrd="0" presId="urn:microsoft.com/office/officeart/2005/8/layout/lProcess2"/>
    <dgm:cxn modelId="{6AB70E69-B1C8-4CD4-94A4-4B772BACFB92}" type="presParOf" srcId="{1FF433AB-8B2D-4603-8335-6E0CEA96A02E}" destId="{3D1D789E-0250-42D9-84E1-CA05C26125C1}" srcOrd="0" destOrd="0" presId="urn:microsoft.com/office/officeart/2005/8/layout/lProcess2"/>
    <dgm:cxn modelId="{878CED84-BAD2-4314-953E-9F26A25D1275}" type="presParOf" srcId="{3D1D789E-0250-42D9-84E1-CA05C26125C1}" destId="{333F5451-0298-4F55-AA8C-2B2D02CF3BCB}" srcOrd="0" destOrd="0" presId="urn:microsoft.com/office/officeart/2005/8/layout/lProcess2"/>
    <dgm:cxn modelId="{E236658C-72A8-45B4-A47A-CEF27F17FC95}" type="presParOf" srcId="{3D1D789E-0250-42D9-84E1-CA05C26125C1}" destId="{4D597B78-439B-4468-9218-17D486A95252}" srcOrd="1" destOrd="0" presId="urn:microsoft.com/office/officeart/2005/8/layout/lProcess2"/>
    <dgm:cxn modelId="{DC3690AB-806A-482E-86E8-4CED9F4CC4E7}" type="presParOf" srcId="{3D1D789E-0250-42D9-84E1-CA05C26125C1}" destId="{B64AA23E-8F58-49DC-BCAC-3D99A59F5C79}" srcOrd="2" destOrd="0" presId="urn:microsoft.com/office/officeart/2005/8/layout/lProcess2"/>
    <dgm:cxn modelId="{708B7FE8-C17D-427B-B753-C1E3DA753EDE}" type="presParOf" srcId="{B64AA23E-8F58-49DC-BCAC-3D99A59F5C79}" destId="{21ED3529-7940-498C-A1B0-9F5B339604BB}" srcOrd="0" destOrd="0" presId="urn:microsoft.com/office/officeart/2005/8/layout/lProcess2"/>
    <dgm:cxn modelId="{1AD94831-08ED-453E-8473-F73B2772C89B}" type="presParOf" srcId="{21ED3529-7940-498C-A1B0-9F5B339604BB}" destId="{0FEE8776-A90A-4843-855B-88E2BA148A37}" srcOrd="0" destOrd="0" presId="urn:microsoft.com/office/officeart/2005/8/layout/lProcess2"/>
    <dgm:cxn modelId="{527B11F5-C426-4824-B472-36EE12C08512}" type="presParOf" srcId="{21ED3529-7940-498C-A1B0-9F5B339604BB}" destId="{E6E5F098-8B22-42B4-9099-528CE2FEF483}" srcOrd="1" destOrd="0" presId="urn:microsoft.com/office/officeart/2005/8/layout/lProcess2"/>
    <dgm:cxn modelId="{F19B429F-A315-45DC-BB00-DD24C72F0A80}" type="presParOf" srcId="{21ED3529-7940-498C-A1B0-9F5B339604BB}" destId="{1CD112FE-C9DE-4CD0-BD84-909E9A0278A8}" srcOrd="2" destOrd="0" presId="urn:microsoft.com/office/officeart/2005/8/layout/lProcess2"/>
    <dgm:cxn modelId="{296F65AD-D614-4632-9A04-52F4BB9D75FF}" type="presParOf" srcId="{21ED3529-7940-498C-A1B0-9F5B339604BB}" destId="{A6C31C4E-1B12-4854-8E7C-C18652769AAB}" srcOrd="3" destOrd="0" presId="urn:microsoft.com/office/officeart/2005/8/layout/lProcess2"/>
    <dgm:cxn modelId="{4FE02AF5-C598-460D-ABD9-1790EE3B48BA}" type="presParOf" srcId="{21ED3529-7940-498C-A1B0-9F5B339604BB}" destId="{3DFE1769-AFBD-4BA6-ADA6-94FCCA8049F7}" srcOrd="4" destOrd="0" presId="urn:microsoft.com/office/officeart/2005/8/layout/lProcess2"/>
    <dgm:cxn modelId="{A69027D1-5D68-460A-929D-1BAD06158680}" type="presParOf" srcId="{21ED3529-7940-498C-A1B0-9F5B339604BB}" destId="{3F6AE316-B7FA-451F-83A0-8EE97A3759CA}" srcOrd="5" destOrd="0" presId="urn:microsoft.com/office/officeart/2005/8/layout/lProcess2"/>
    <dgm:cxn modelId="{CAC12F80-AC0C-4253-9B3C-0416E9A83624}" type="presParOf" srcId="{21ED3529-7940-498C-A1B0-9F5B339604BB}" destId="{9FD2EF48-6FBB-472D-A5B1-DE3072FCC99E}" srcOrd="6" destOrd="0" presId="urn:microsoft.com/office/officeart/2005/8/layout/lProcess2"/>
    <dgm:cxn modelId="{F2143F0C-EDF6-4B87-B884-2EC5FB042786}" type="presParOf" srcId="{21ED3529-7940-498C-A1B0-9F5B339604BB}" destId="{5F63E824-770D-4A35-B061-C0638366E872}" srcOrd="7" destOrd="0" presId="urn:microsoft.com/office/officeart/2005/8/layout/lProcess2"/>
    <dgm:cxn modelId="{E373E138-A18E-4E8A-AA86-2674B1B094BD}" type="presParOf" srcId="{21ED3529-7940-498C-A1B0-9F5B339604BB}" destId="{9F42CC8C-79A1-4C8D-B692-B0BAEE088FC3}" srcOrd="8" destOrd="0" presId="urn:microsoft.com/office/officeart/2005/8/layout/lProcess2"/>
    <dgm:cxn modelId="{9DDAF7AA-B445-49E5-BBDF-F53CC6B236A3}" type="presParOf" srcId="{21ED3529-7940-498C-A1B0-9F5B339604BB}" destId="{85C3B448-C61B-4F58-B271-E74B95303026}" srcOrd="9" destOrd="0" presId="urn:microsoft.com/office/officeart/2005/8/layout/lProcess2"/>
    <dgm:cxn modelId="{8DF2A0AE-396C-4B1B-A48A-3250FE6BBD0F}" type="presParOf" srcId="{21ED3529-7940-498C-A1B0-9F5B339604BB}" destId="{7AEFFE22-A519-4B25-BCE5-C6D9E7DEA992}" srcOrd="10" destOrd="0" presId="urn:microsoft.com/office/officeart/2005/8/layout/lProcess2"/>
    <dgm:cxn modelId="{6E375704-301C-41AB-8975-A78D47711C48}" type="presParOf" srcId="{21ED3529-7940-498C-A1B0-9F5B339604BB}" destId="{E099A572-5E3E-465B-9124-5683DC0BDC0E}" srcOrd="11" destOrd="0" presId="urn:microsoft.com/office/officeart/2005/8/layout/lProcess2"/>
    <dgm:cxn modelId="{15EBA512-B5E2-43B9-A200-13D478A621A4}" type="presParOf" srcId="{21ED3529-7940-498C-A1B0-9F5B339604BB}" destId="{5C340B3D-E31A-4A9E-9326-8CC85A73024F}" srcOrd="12" destOrd="0" presId="urn:microsoft.com/office/officeart/2005/8/layout/lProcess2"/>
    <dgm:cxn modelId="{07E83E6C-955A-4188-93B7-D18E4D164CD4}" type="presParOf" srcId="{21ED3529-7940-498C-A1B0-9F5B339604BB}" destId="{E5806B83-9DC8-46DB-AC9F-2F516855BB44}" srcOrd="13" destOrd="0" presId="urn:microsoft.com/office/officeart/2005/8/layout/lProcess2"/>
    <dgm:cxn modelId="{62E0315A-31A3-4682-888A-8A13E0835411}" type="presParOf" srcId="{21ED3529-7940-498C-A1B0-9F5B339604BB}" destId="{F3430513-F24C-40C0-BB25-74FA71324D5E}" srcOrd="14" destOrd="0" presId="urn:microsoft.com/office/officeart/2005/8/layout/lProcess2"/>
    <dgm:cxn modelId="{AB234F7A-970F-4FB4-960B-9A10C3B5828D}" type="presParOf" srcId="{21ED3529-7940-498C-A1B0-9F5B339604BB}" destId="{5B26A41C-B989-4692-B312-924E20E7C4EC}" srcOrd="15" destOrd="0" presId="urn:microsoft.com/office/officeart/2005/8/layout/lProcess2"/>
    <dgm:cxn modelId="{01AB780C-F459-4589-B03C-561E8A794E5E}" type="presParOf" srcId="{21ED3529-7940-498C-A1B0-9F5B339604BB}" destId="{32DB5339-A635-4969-84CE-A344D2688489}" srcOrd="16" destOrd="0" presId="urn:microsoft.com/office/officeart/2005/8/layout/lProcess2"/>
    <dgm:cxn modelId="{E97D5874-34C4-4110-931F-13CE0E5F6C9F}" type="presParOf" srcId="{21ED3529-7940-498C-A1B0-9F5B339604BB}" destId="{86479BA3-DF71-499D-A2A4-6B076455EECC}" srcOrd="17" destOrd="0" presId="urn:microsoft.com/office/officeart/2005/8/layout/lProcess2"/>
    <dgm:cxn modelId="{D5FE9449-BEF1-4BEC-A9AD-FAF3C150761F}" type="presParOf" srcId="{21ED3529-7940-498C-A1B0-9F5B339604BB}" destId="{768A0FE4-9A6F-415C-AFD7-7D33C60AEB93}" srcOrd="18" destOrd="0" presId="urn:microsoft.com/office/officeart/2005/8/layout/l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3F4A59-6234-474A-B9AC-C507F37C88F5}"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CA"/>
        </a:p>
      </dgm:t>
    </dgm:pt>
    <dgm:pt modelId="{893B549E-1D2E-41D8-96E1-131C3B1190BA}">
      <dgm:prSet phldrT="[Texte]" custT="1"/>
      <dgm:spPr>
        <a:xfrm>
          <a:off x="1272" y="0"/>
          <a:ext cx="1248656" cy="8434429"/>
        </a:xfrm>
        <a:prstGeom prst="roundRect">
          <a:avLst>
            <a:gd name="adj" fmla="val 10000"/>
          </a:avLst>
        </a:prstGeom>
        <a:solidFill>
          <a:srgbClr val="E3ECF9"/>
        </a:solidFill>
        <a:ln>
          <a:noFill/>
        </a:ln>
        <a:effectLst/>
      </dgm:spPr>
      <dgm:t>
        <a:bodyPr/>
        <a:lstStyle/>
        <a:p>
          <a:pPr>
            <a:buNone/>
          </a:pPr>
          <a:r>
            <a:rPr lang="fr-CA" sz="1200" b="1">
              <a:solidFill>
                <a:sysClr val="windowText" lastClr="000000">
                  <a:hueOff val="0"/>
                  <a:satOff val="0"/>
                  <a:lumOff val="0"/>
                  <a:alphaOff val="0"/>
                </a:sysClr>
              </a:solidFill>
              <a:latin typeface="+mn-lt"/>
              <a:ea typeface="+mn-ea"/>
              <a:cs typeface="+mn-cs"/>
            </a:rPr>
            <a:t>Effets sur les conditions de travail </a:t>
          </a:r>
        </a:p>
        <a:p>
          <a:pPr>
            <a:buNone/>
          </a:pPr>
          <a:r>
            <a:rPr lang="fr-CA" sz="1200" b="1">
              <a:solidFill>
                <a:sysClr val="windowText" lastClr="000000">
                  <a:hueOff val="0"/>
                  <a:satOff val="0"/>
                  <a:lumOff val="0"/>
                  <a:alphaOff val="0"/>
                </a:sysClr>
              </a:solidFill>
              <a:latin typeface="+mn-lt"/>
              <a:ea typeface="+mn-ea"/>
              <a:cs typeface="+mn-cs"/>
            </a:rPr>
            <a:t>(78 %)</a:t>
          </a:r>
          <a:endParaRPr lang="fr-CA" sz="2400" b="1">
            <a:solidFill>
              <a:sysClr val="windowText" lastClr="000000">
                <a:hueOff val="0"/>
                <a:satOff val="0"/>
                <a:lumOff val="0"/>
                <a:alphaOff val="0"/>
              </a:sysClr>
            </a:solidFill>
            <a:latin typeface="+mn-lt"/>
            <a:ea typeface="+mn-ea"/>
            <a:cs typeface="+mn-cs"/>
          </a:endParaRPr>
        </a:p>
      </dgm:t>
    </dgm:pt>
    <dgm:pt modelId="{224B91B6-33EB-49B5-BC38-D18528887197}" type="parTrans" cxnId="{1E92EF14-0C89-4BAA-8F0F-F5639E5A9BD4}">
      <dgm:prSet/>
      <dgm:spPr/>
      <dgm:t>
        <a:bodyPr/>
        <a:lstStyle/>
        <a:p>
          <a:endParaRPr lang="fr-CA" sz="1600"/>
        </a:p>
      </dgm:t>
    </dgm:pt>
    <dgm:pt modelId="{2DC94EB4-19F1-43F4-B56C-DD72596AAE4D}" type="sibTrans" cxnId="{1E92EF14-0C89-4BAA-8F0F-F5639E5A9BD4}">
      <dgm:prSet/>
      <dgm:spPr/>
      <dgm:t>
        <a:bodyPr/>
        <a:lstStyle/>
        <a:p>
          <a:endParaRPr lang="fr-CA" sz="1600"/>
        </a:p>
      </dgm:t>
    </dgm:pt>
    <dgm:pt modelId="{259A7E0E-E173-45DD-80DA-F46A4882D644}">
      <dgm:prSet phldrT="[Texte]" custT="1"/>
      <dgm:spPr>
        <a:xfrm>
          <a:off x="126138" y="2532490"/>
          <a:ext cx="998925" cy="481180"/>
        </a:xfrm>
        <a:prstGeom prst="roundRect">
          <a:avLst>
            <a:gd name="adj" fmla="val 10000"/>
          </a:avLst>
        </a:prstGeom>
        <a:solidFill>
          <a:srgbClr val="0F243E"/>
        </a:solidFill>
      </dgm:spPr>
      <dgm:t>
        <a:bodyPr/>
        <a:lstStyle/>
        <a:p>
          <a:pPr>
            <a:buNone/>
          </a:pPr>
          <a:r>
            <a:rPr lang="fr-CA" sz="900">
              <a:latin typeface="+mn-lt"/>
            </a:rPr>
            <a:t>Perte</a:t>
          </a:r>
          <a:r>
            <a:rPr lang="fr-CA" sz="900">
              <a:solidFill>
                <a:sysClr val="window" lastClr="FFFFFF"/>
              </a:solidFill>
              <a:latin typeface="+mn-lt"/>
              <a:ea typeface="+mn-ea"/>
              <a:cs typeface="+mn-cs"/>
            </a:rPr>
            <a:t> d'emploi (63 %)</a:t>
          </a:r>
        </a:p>
      </dgm:t>
    </dgm:pt>
    <dgm:pt modelId="{F891B4C0-7290-4721-A047-7A15AB805187}" type="parTrans" cxnId="{E7BD9255-B3D8-49E4-A457-BFCDA0AE9B36}">
      <dgm:prSet/>
      <dgm:spPr/>
      <dgm:t>
        <a:bodyPr/>
        <a:lstStyle/>
        <a:p>
          <a:endParaRPr lang="fr-CA" sz="1600"/>
        </a:p>
      </dgm:t>
    </dgm:pt>
    <dgm:pt modelId="{6D8EEE2D-44CF-4DF6-8347-48D57803C918}" type="sibTrans" cxnId="{E7BD9255-B3D8-49E4-A457-BFCDA0AE9B36}">
      <dgm:prSet/>
      <dgm:spPr/>
      <dgm:t>
        <a:bodyPr/>
        <a:lstStyle/>
        <a:p>
          <a:endParaRPr lang="fr-CA" sz="1600"/>
        </a:p>
      </dgm:t>
    </dgm:pt>
    <dgm:pt modelId="{FC21770B-EB7D-4D5A-B574-BA268D3255AB}">
      <dgm:prSet phldrT="[Texte]" custT="1"/>
      <dgm:spPr>
        <a:xfrm>
          <a:off x="126138" y="5863740"/>
          <a:ext cx="998925" cy="481180"/>
        </a:xfrm>
        <a:prstGeom prst="roundRect">
          <a:avLst>
            <a:gd name="adj" fmla="val 10000"/>
          </a:avLst>
        </a:prstGeom>
        <a:solidFill>
          <a:srgbClr val="0F243E"/>
        </a:solidFill>
      </dgm:spPr>
      <dgm:t>
        <a:bodyPr/>
        <a:lstStyle/>
        <a:p>
          <a:r>
            <a:rPr lang="fr-CA" sz="900">
              <a:latin typeface="Aptos" panose="020B0004020202020204" pitchFamily="34" charset="0"/>
            </a:rPr>
            <a:t>Démission (9 %)</a:t>
          </a:r>
        </a:p>
      </dgm:t>
    </dgm:pt>
    <dgm:pt modelId="{F9B3C450-432B-45A3-ADF2-F2C127BC2563}" type="parTrans" cxnId="{E262A4CF-C86C-4141-A3FD-262A2222A5B5}">
      <dgm:prSet/>
      <dgm:spPr/>
      <dgm:t>
        <a:bodyPr/>
        <a:lstStyle/>
        <a:p>
          <a:endParaRPr lang="fr-CA" sz="1600"/>
        </a:p>
      </dgm:t>
    </dgm:pt>
    <dgm:pt modelId="{F47D2371-CD39-4C42-8468-73B22F7A3E45}" type="sibTrans" cxnId="{E262A4CF-C86C-4141-A3FD-262A2222A5B5}">
      <dgm:prSet/>
      <dgm:spPr/>
      <dgm:t>
        <a:bodyPr/>
        <a:lstStyle/>
        <a:p>
          <a:endParaRPr lang="fr-CA" sz="1600"/>
        </a:p>
      </dgm:t>
    </dgm:pt>
    <dgm:pt modelId="{6F8FA45E-AD7C-4117-BB5F-3CE62EC612DE}">
      <dgm:prSet phldrT="[Texte]" custT="1"/>
      <dgm:spPr>
        <a:xfrm>
          <a:off x="1343578" y="0"/>
          <a:ext cx="1248656" cy="8434429"/>
        </a:xfrm>
        <a:prstGeom prst="roundRect">
          <a:avLst>
            <a:gd name="adj" fmla="val 10000"/>
          </a:avLst>
        </a:prstGeom>
        <a:solidFill>
          <a:srgbClr val="2A73D0"/>
        </a:solidFill>
        <a:ln>
          <a:noFill/>
        </a:ln>
        <a:effectLst/>
      </dgm:spPr>
      <dgm:t>
        <a:bodyPr/>
        <a:lstStyle/>
        <a:p>
          <a:pPr>
            <a:buNone/>
          </a:pPr>
          <a:r>
            <a:rPr lang="fr-CA" sz="1200" b="1">
              <a:solidFill>
                <a:schemeClr val="bg1"/>
              </a:solidFill>
              <a:latin typeface="+mn-lt"/>
              <a:ea typeface="+mn-ea"/>
              <a:cs typeface="+mn-cs"/>
            </a:rPr>
            <a:t>Effets sur la vie personnelle </a:t>
          </a:r>
        </a:p>
        <a:p>
          <a:pPr>
            <a:buNone/>
          </a:pPr>
          <a:r>
            <a:rPr lang="fr-CA" sz="1200" b="1">
              <a:solidFill>
                <a:schemeClr val="bg1"/>
              </a:solidFill>
              <a:latin typeface="+mn-lt"/>
              <a:ea typeface="+mn-ea"/>
              <a:cs typeface="+mn-cs"/>
            </a:rPr>
            <a:t>(38 %)</a:t>
          </a:r>
          <a:endParaRPr lang="fr-CA" sz="2400" b="1">
            <a:solidFill>
              <a:schemeClr val="bg1"/>
            </a:solidFill>
            <a:latin typeface="+mn-lt"/>
            <a:ea typeface="+mn-ea"/>
            <a:cs typeface="+mn-cs"/>
          </a:endParaRPr>
        </a:p>
      </dgm:t>
    </dgm:pt>
    <dgm:pt modelId="{6F2E742D-052D-4149-A90E-780B27F62B0F}" type="parTrans" cxnId="{664ADCFF-7826-4611-9982-AC382003D9DD}">
      <dgm:prSet/>
      <dgm:spPr/>
      <dgm:t>
        <a:bodyPr/>
        <a:lstStyle/>
        <a:p>
          <a:endParaRPr lang="fr-CA" sz="1600"/>
        </a:p>
      </dgm:t>
    </dgm:pt>
    <dgm:pt modelId="{4E01290D-984D-421B-B968-7D69E7ECF476}" type="sibTrans" cxnId="{664ADCFF-7826-4611-9982-AC382003D9DD}">
      <dgm:prSet/>
      <dgm:spPr/>
      <dgm:t>
        <a:bodyPr/>
        <a:lstStyle/>
        <a:p>
          <a:endParaRPr lang="fr-CA" sz="1600"/>
        </a:p>
      </dgm:t>
    </dgm:pt>
    <dgm:pt modelId="{F4C9DFDE-8BFB-46B4-BC9B-E8CB5A8341AC}">
      <dgm:prSet phldrT="[Texte]"/>
      <dgm:spPr>
        <a:xfrm>
          <a:off x="1468444" y="5317952"/>
          <a:ext cx="998925" cy="603650"/>
        </a:xfrm>
        <a:prstGeom prst="roundRect">
          <a:avLst>
            <a:gd name="adj" fmla="val 10000"/>
          </a:avLst>
        </a:prstGeom>
        <a:solidFill>
          <a:srgbClr val="0F243E"/>
        </a:solidFill>
      </dgm:spPr>
      <dgm:t>
        <a:bodyPr/>
        <a:lstStyle/>
        <a:p>
          <a:r>
            <a:rPr lang="fr-CA"/>
            <a:t>Pensées suicidaires</a:t>
          </a:r>
          <a:br>
            <a:rPr lang="fr-CA"/>
          </a:br>
          <a:r>
            <a:rPr lang="fr-CA"/>
            <a:t> (7 %)</a:t>
          </a:r>
        </a:p>
      </dgm:t>
    </dgm:pt>
    <dgm:pt modelId="{F18C9DAC-551C-49E3-8AEA-8E4298FF1755}" type="parTrans" cxnId="{BDE5623A-CA36-472E-B533-A349865B5081}">
      <dgm:prSet/>
      <dgm:spPr/>
      <dgm:t>
        <a:bodyPr/>
        <a:lstStyle/>
        <a:p>
          <a:endParaRPr lang="fr-CA" sz="1600"/>
        </a:p>
      </dgm:t>
    </dgm:pt>
    <dgm:pt modelId="{92CB26B8-B8FE-42EE-8BB2-6884DFA50A68}" type="sibTrans" cxnId="{BDE5623A-CA36-472E-B533-A349865B5081}">
      <dgm:prSet/>
      <dgm:spPr/>
      <dgm:t>
        <a:bodyPr/>
        <a:lstStyle/>
        <a:p>
          <a:endParaRPr lang="fr-CA" sz="1600"/>
        </a:p>
      </dgm:t>
    </dgm:pt>
    <dgm:pt modelId="{EB7ECA7C-DF46-4267-9C79-90160A218590}">
      <dgm:prSet phldrT="[Texte]"/>
      <dgm:spPr>
        <a:xfrm>
          <a:off x="1468444" y="6710992"/>
          <a:ext cx="998925" cy="603650"/>
        </a:xfrm>
        <a:prstGeom prst="roundRect">
          <a:avLst>
            <a:gd name="adj" fmla="val 10000"/>
          </a:avLst>
        </a:prstGeom>
        <a:solidFill>
          <a:srgbClr val="0F243E"/>
        </a:solidFill>
      </dgm:spPr>
      <dgm:t>
        <a:bodyPr/>
        <a:lstStyle/>
        <a:p>
          <a:r>
            <a:rPr lang="fr-CA"/>
            <a:t>Insomnie</a:t>
          </a:r>
          <a:br>
            <a:rPr lang="fr-CA"/>
          </a:br>
          <a:r>
            <a:rPr lang="fr-CA"/>
            <a:t> (6 %)</a:t>
          </a:r>
        </a:p>
      </dgm:t>
    </dgm:pt>
    <dgm:pt modelId="{81E73B78-0ACD-4703-BF76-980AD31BB982}" type="parTrans" cxnId="{EA7AE45B-C010-47FD-8C84-525CAA69B50F}">
      <dgm:prSet/>
      <dgm:spPr/>
      <dgm:t>
        <a:bodyPr/>
        <a:lstStyle/>
        <a:p>
          <a:endParaRPr lang="fr-CA" sz="1600"/>
        </a:p>
      </dgm:t>
    </dgm:pt>
    <dgm:pt modelId="{3B3426A3-F07A-466C-BC95-4C792E786CC7}" type="sibTrans" cxnId="{EA7AE45B-C010-47FD-8C84-525CAA69B50F}">
      <dgm:prSet/>
      <dgm:spPr/>
      <dgm:t>
        <a:bodyPr/>
        <a:lstStyle/>
        <a:p>
          <a:endParaRPr lang="fr-CA" sz="1600"/>
        </a:p>
      </dgm:t>
    </dgm:pt>
    <dgm:pt modelId="{308407B6-3A3C-405C-A675-5EA9A5FD3755}">
      <dgm:prSet phldrT="[Texte]" custT="1"/>
      <dgm:spPr>
        <a:xfrm>
          <a:off x="2685884" y="0"/>
          <a:ext cx="1248656" cy="8434429"/>
        </a:xfrm>
        <a:prstGeom prst="roundRect">
          <a:avLst>
            <a:gd name="adj" fmla="val 10000"/>
          </a:avLst>
        </a:prstGeom>
        <a:solidFill>
          <a:srgbClr val="CF3575"/>
        </a:solidFill>
        <a:ln>
          <a:noFill/>
        </a:ln>
        <a:effectLst/>
      </dgm:spPr>
      <dgm:t>
        <a:bodyPr/>
        <a:lstStyle/>
        <a:p>
          <a:pPr>
            <a:buNone/>
          </a:pPr>
          <a:r>
            <a:rPr lang="fr-CA" sz="1200" b="1">
              <a:solidFill>
                <a:sysClr val="windowText" lastClr="000000">
                  <a:hueOff val="0"/>
                  <a:satOff val="0"/>
                  <a:lumOff val="0"/>
                  <a:alphaOff val="0"/>
                </a:sysClr>
              </a:solidFill>
              <a:latin typeface="+mn-lt"/>
              <a:ea typeface="+mn-ea"/>
              <a:cs typeface="+mn-cs"/>
            </a:rPr>
            <a:t>Effets sur la personne au travail </a:t>
          </a:r>
        </a:p>
        <a:p>
          <a:pPr>
            <a:buNone/>
          </a:pPr>
          <a:r>
            <a:rPr lang="fr-CA" sz="1200" b="1">
              <a:solidFill>
                <a:sysClr val="windowText" lastClr="000000">
                  <a:hueOff val="0"/>
                  <a:satOff val="0"/>
                  <a:lumOff val="0"/>
                  <a:alphaOff val="0"/>
                </a:sysClr>
              </a:solidFill>
              <a:latin typeface="+mn-lt"/>
              <a:ea typeface="+mn-ea"/>
              <a:cs typeface="+mn-cs"/>
            </a:rPr>
            <a:t>(31 %)</a:t>
          </a:r>
        </a:p>
      </dgm:t>
    </dgm:pt>
    <dgm:pt modelId="{600F58DB-FCE7-4030-B297-09A4854A1071}" type="parTrans" cxnId="{FA53BE52-30DD-4599-8756-8EC8F319E96B}">
      <dgm:prSet/>
      <dgm:spPr/>
      <dgm:t>
        <a:bodyPr/>
        <a:lstStyle/>
        <a:p>
          <a:endParaRPr lang="fr-CA" sz="1600"/>
        </a:p>
      </dgm:t>
    </dgm:pt>
    <dgm:pt modelId="{9BD6C67D-4B4B-49F6-8832-7E9CA04169DE}" type="sibTrans" cxnId="{FA53BE52-30DD-4599-8756-8EC8F319E96B}">
      <dgm:prSet/>
      <dgm:spPr/>
      <dgm:t>
        <a:bodyPr/>
        <a:lstStyle/>
        <a:p>
          <a:endParaRPr lang="fr-CA" sz="1600"/>
        </a:p>
      </dgm:t>
    </dgm:pt>
    <dgm:pt modelId="{7CF61A70-D842-4FAF-B7C2-642B63242DCA}">
      <dgm:prSet phldrT="[Texte]" custT="1"/>
      <dgm:spPr>
        <a:xfrm>
          <a:off x="2810750" y="4399452"/>
          <a:ext cx="998925" cy="809775"/>
        </a:xfrm>
        <a:prstGeom prst="roundRect">
          <a:avLst>
            <a:gd name="adj" fmla="val 10000"/>
          </a:avLst>
        </a:prstGeom>
        <a:solidFill>
          <a:srgbClr val="0F243E"/>
        </a:solidFill>
      </dgm:spPr>
      <dgm:t>
        <a:bodyPr/>
        <a:lstStyle/>
        <a:p>
          <a:r>
            <a:rPr lang="fr-CA" sz="900">
              <a:latin typeface="Aptos" panose="020B0004020202020204" pitchFamily="34" charset="0"/>
            </a:rPr>
            <a:t>Humiliation</a:t>
          </a:r>
          <a:br>
            <a:rPr lang="fr-CA" sz="900">
              <a:latin typeface="Aptos" panose="020B0004020202020204" pitchFamily="34" charset="0"/>
            </a:rPr>
          </a:br>
          <a:r>
            <a:rPr lang="fr-CA" sz="900">
              <a:latin typeface="Aptos" panose="020B0004020202020204" pitchFamily="34" charset="0"/>
            </a:rPr>
            <a:t> (30 %)</a:t>
          </a:r>
        </a:p>
      </dgm:t>
    </dgm:pt>
    <dgm:pt modelId="{CC612CCD-88C6-4465-B13A-E658194DA053}" type="parTrans" cxnId="{62C09119-0C2C-4C37-976E-7AA185BBFB20}">
      <dgm:prSet/>
      <dgm:spPr/>
      <dgm:t>
        <a:bodyPr/>
        <a:lstStyle/>
        <a:p>
          <a:endParaRPr lang="fr-CA" sz="1600"/>
        </a:p>
      </dgm:t>
    </dgm:pt>
    <dgm:pt modelId="{09E58B28-4C1E-49E0-8F07-4BA8C8B9915C}" type="sibTrans" cxnId="{62C09119-0C2C-4C37-976E-7AA185BBFB20}">
      <dgm:prSet/>
      <dgm:spPr/>
      <dgm:t>
        <a:bodyPr/>
        <a:lstStyle/>
        <a:p>
          <a:endParaRPr lang="fr-CA" sz="1600"/>
        </a:p>
      </dgm:t>
    </dgm:pt>
    <dgm:pt modelId="{9AA4A837-53DC-4937-A16A-713F0153AC10}">
      <dgm:prSet phldrT="[Texte]" custT="1"/>
      <dgm:spPr>
        <a:xfrm>
          <a:off x="2810750" y="2530740"/>
          <a:ext cx="998925" cy="809775"/>
        </a:xfrm>
        <a:prstGeom prst="roundRect">
          <a:avLst>
            <a:gd name="adj" fmla="val 10000"/>
          </a:avLst>
        </a:prstGeom>
        <a:solidFill>
          <a:srgbClr val="0F243E"/>
        </a:solidFill>
      </dgm:spPr>
      <dgm:t>
        <a:bodyPr/>
        <a:lstStyle/>
        <a:p>
          <a:pPr>
            <a:buNone/>
          </a:pPr>
          <a:r>
            <a:rPr lang="fr-CA" sz="900">
              <a:solidFill>
                <a:sysClr val="window" lastClr="FFFFFF"/>
              </a:solidFill>
              <a:latin typeface="+mn-lt"/>
              <a:ea typeface="+mn-ea"/>
              <a:cs typeface="+mn-cs"/>
            </a:rPr>
            <a:t>Angoisse, </a:t>
          </a:r>
          <a:r>
            <a:rPr lang="fr-CA" sz="900">
              <a:latin typeface="+mn-lt"/>
            </a:rPr>
            <a:t>anxiété</a:t>
          </a:r>
          <a:r>
            <a:rPr lang="fr-CA" sz="900">
              <a:solidFill>
                <a:sysClr val="window" lastClr="FFFFFF"/>
              </a:solidFill>
              <a:latin typeface="+mn-lt"/>
              <a:ea typeface="+mn-ea"/>
              <a:cs typeface="+mn-cs"/>
            </a:rPr>
            <a:t>, peur</a:t>
          </a:r>
          <a:br>
            <a:rPr lang="fr-CA" sz="900">
              <a:solidFill>
                <a:sysClr val="window" lastClr="FFFFFF"/>
              </a:solidFill>
              <a:latin typeface="+mn-lt"/>
              <a:ea typeface="+mn-ea"/>
              <a:cs typeface="+mn-cs"/>
            </a:rPr>
          </a:br>
          <a:r>
            <a:rPr lang="fr-CA" sz="900">
              <a:solidFill>
                <a:sysClr val="window" lastClr="FFFFFF"/>
              </a:solidFill>
              <a:latin typeface="+mn-lt"/>
              <a:ea typeface="+mn-ea"/>
              <a:cs typeface="+mn-cs"/>
            </a:rPr>
            <a:t>(48 %)</a:t>
          </a:r>
        </a:p>
      </dgm:t>
    </dgm:pt>
    <dgm:pt modelId="{A0B1D2DD-8105-4B20-8519-8A4B4FE53F73}" type="parTrans" cxnId="{68494DB9-5AB4-41E9-80CF-CB557073DA8B}">
      <dgm:prSet/>
      <dgm:spPr/>
      <dgm:t>
        <a:bodyPr/>
        <a:lstStyle/>
        <a:p>
          <a:endParaRPr lang="fr-CA" sz="1600"/>
        </a:p>
      </dgm:t>
    </dgm:pt>
    <dgm:pt modelId="{034AC99F-EBD6-40EB-ABE6-C30EF2E627EC}" type="sibTrans" cxnId="{68494DB9-5AB4-41E9-80CF-CB557073DA8B}">
      <dgm:prSet/>
      <dgm:spPr/>
      <dgm:t>
        <a:bodyPr/>
        <a:lstStyle/>
        <a:p>
          <a:endParaRPr lang="fr-CA" sz="1600"/>
        </a:p>
      </dgm:t>
    </dgm:pt>
    <dgm:pt modelId="{856BD624-5E30-45BD-B4E2-5D33730ED9F4}">
      <dgm:prSet phldrT="[Texte]" custT="1"/>
      <dgm:spPr>
        <a:xfrm>
          <a:off x="4028190" y="0"/>
          <a:ext cx="1248656" cy="8434429"/>
        </a:xfrm>
        <a:prstGeom prst="roundRect">
          <a:avLst>
            <a:gd name="adj" fmla="val 10000"/>
          </a:avLst>
        </a:prstGeom>
        <a:solidFill>
          <a:srgbClr val="953D89"/>
        </a:solidFill>
        <a:ln>
          <a:noFill/>
        </a:ln>
        <a:effectLst/>
      </dgm:spPr>
      <dgm:t>
        <a:bodyPr/>
        <a:lstStyle/>
        <a:p>
          <a:pPr>
            <a:buNone/>
          </a:pPr>
          <a:r>
            <a:rPr lang="fr-CA" sz="1200" b="1">
              <a:solidFill>
                <a:schemeClr val="bg1"/>
              </a:solidFill>
              <a:latin typeface="Aptos" panose="020B0004020202020204" pitchFamily="34" charset="0"/>
              <a:ea typeface="+mn-ea"/>
              <a:cs typeface="+mn-cs"/>
            </a:rPr>
            <a:t>Effets sur l'exécution du travail</a:t>
          </a:r>
        </a:p>
        <a:p>
          <a:pPr>
            <a:buNone/>
          </a:pPr>
          <a:r>
            <a:rPr lang="fr-CA" sz="1200" b="1">
              <a:solidFill>
                <a:schemeClr val="bg1"/>
              </a:solidFill>
              <a:latin typeface="Aptos" panose="020B0004020202020204" pitchFamily="34" charset="0"/>
              <a:ea typeface="+mn-ea"/>
              <a:cs typeface="+mn-cs"/>
            </a:rPr>
            <a:t>(7 %)</a:t>
          </a:r>
        </a:p>
      </dgm:t>
    </dgm:pt>
    <dgm:pt modelId="{73FA47B8-8D0F-4EDA-BB05-0A804FD094BC}" type="parTrans" cxnId="{779B1CDF-446D-46FB-8673-1C56D07827F6}">
      <dgm:prSet/>
      <dgm:spPr/>
      <dgm:t>
        <a:bodyPr/>
        <a:lstStyle/>
        <a:p>
          <a:endParaRPr lang="fr-CA" sz="1600"/>
        </a:p>
      </dgm:t>
    </dgm:pt>
    <dgm:pt modelId="{AFD4A004-1125-4A02-A820-D93BA5F2C465}" type="sibTrans" cxnId="{779B1CDF-446D-46FB-8673-1C56D07827F6}">
      <dgm:prSet/>
      <dgm:spPr/>
      <dgm:t>
        <a:bodyPr/>
        <a:lstStyle/>
        <a:p>
          <a:endParaRPr lang="fr-CA" sz="1600"/>
        </a:p>
      </dgm:t>
    </dgm:pt>
    <dgm:pt modelId="{3902C00C-CEE3-415A-ADD9-1B1E872A0DA1}">
      <dgm:prSet phldrT="[Texte]" custT="1"/>
      <dgm:spPr>
        <a:xfrm>
          <a:off x="126138" y="3642907"/>
          <a:ext cx="998925" cy="481180"/>
        </a:xfrm>
        <a:prstGeom prst="roundRect">
          <a:avLst>
            <a:gd name="adj" fmla="val 10000"/>
          </a:avLst>
        </a:prstGeom>
        <a:solidFill>
          <a:srgbClr val="0F243E"/>
        </a:solidFill>
      </dgm:spPr>
      <dgm:t>
        <a:bodyPr/>
        <a:lstStyle/>
        <a:p>
          <a:r>
            <a:rPr lang="fr-CA" sz="900">
              <a:latin typeface="+mn-lt"/>
            </a:rPr>
            <a:t>Refus d'embauche (15 %)</a:t>
          </a:r>
        </a:p>
      </dgm:t>
    </dgm:pt>
    <dgm:pt modelId="{C57A611A-AA76-405C-8C04-50B33D6C8461}" type="parTrans" cxnId="{61B11BDB-9578-4BC2-B715-F49A3336662D}">
      <dgm:prSet/>
      <dgm:spPr/>
      <dgm:t>
        <a:bodyPr/>
        <a:lstStyle/>
        <a:p>
          <a:endParaRPr lang="fr-CA" sz="1600"/>
        </a:p>
      </dgm:t>
    </dgm:pt>
    <dgm:pt modelId="{F353E4A1-C0FB-4D46-9964-04FDC8D29320}" type="sibTrans" cxnId="{61B11BDB-9578-4BC2-B715-F49A3336662D}">
      <dgm:prSet/>
      <dgm:spPr/>
      <dgm:t>
        <a:bodyPr/>
        <a:lstStyle/>
        <a:p>
          <a:endParaRPr lang="fr-CA" sz="1600"/>
        </a:p>
      </dgm:t>
    </dgm:pt>
    <dgm:pt modelId="{947C035F-A397-4963-8231-649F4801221D}">
      <dgm:prSet phldrT="[Texte]" custT="1"/>
      <dgm:spPr>
        <a:xfrm>
          <a:off x="126138" y="5308532"/>
          <a:ext cx="998925" cy="481180"/>
        </a:xfrm>
        <a:prstGeom prst="roundRect">
          <a:avLst>
            <a:gd name="adj" fmla="val 10000"/>
          </a:avLst>
        </a:prstGeom>
        <a:solidFill>
          <a:srgbClr val="0F243E"/>
        </a:solidFill>
      </dgm:spPr>
      <dgm:t>
        <a:bodyPr/>
        <a:lstStyle/>
        <a:p>
          <a:pPr>
            <a:buNone/>
          </a:pPr>
          <a:r>
            <a:rPr lang="fr-CA" sz="900">
              <a:solidFill>
                <a:sysClr val="window" lastClr="FFFFFF"/>
              </a:solidFill>
              <a:latin typeface="+mn-lt"/>
              <a:ea typeface="+mn-ea"/>
              <a:cs typeface="+mn-cs"/>
            </a:rPr>
            <a:t>Refus de </a:t>
          </a:r>
          <a:r>
            <a:rPr lang="fr-CA" sz="900">
              <a:latin typeface="+mn-lt"/>
            </a:rPr>
            <a:t>promotion</a:t>
          </a:r>
          <a:r>
            <a:rPr lang="fr-CA" sz="900">
              <a:solidFill>
                <a:sysClr val="window" lastClr="FFFFFF"/>
              </a:solidFill>
              <a:latin typeface="+mn-lt"/>
              <a:ea typeface="+mn-ea"/>
              <a:cs typeface="+mn-cs"/>
            </a:rPr>
            <a:t> ou de mutation (10%)</a:t>
          </a:r>
        </a:p>
      </dgm:t>
    </dgm:pt>
    <dgm:pt modelId="{93730520-DE9E-4B6C-8810-D047EFBDFA86}" type="parTrans" cxnId="{F98E6EE9-E12A-4250-BD2E-8714CC8A32E7}">
      <dgm:prSet/>
      <dgm:spPr/>
      <dgm:t>
        <a:bodyPr/>
        <a:lstStyle/>
        <a:p>
          <a:endParaRPr lang="fr-CA" sz="1600"/>
        </a:p>
      </dgm:t>
    </dgm:pt>
    <dgm:pt modelId="{5E668551-FE7D-4941-8147-8C00C8CD8422}" type="sibTrans" cxnId="{F98E6EE9-E12A-4250-BD2E-8714CC8A32E7}">
      <dgm:prSet/>
      <dgm:spPr/>
      <dgm:t>
        <a:bodyPr/>
        <a:lstStyle/>
        <a:p>
          <a:endParaRPr lang="fr-CA" sz="1600"/>
        </a:p>
      </dgm:t>
    </dgm:pt>
    <dgm:pt modelId="{FF7EC073-9484-4D29-851B-51ECF2858E49}">
      <dgm:prSet phldrT="[Texte]" custT="1"/>
      <dgm:spPr>
        <a:xfrm>
          <a:off x="126138" y="6974156"/>
          <a:ext cx="998925" cy="481180"/>
        </a:xfrm>
        <a:prstGeom prst="roundRect">
          <a:avLst>
            <a:gd name="adj" fmla="val 10000"/>
          </a:avLst>
        </a:prstGeom>
        <a:solidFill>
          <a:srgbClr val="0F243E"/>
        </a:solidFill>
      </dgm:spPr>
      <dgm:t>
        <a:bodyPr/>
        <a:lstStyle/>
        <a:p>
          <a:pPr>
            <a:buNone/>
          </a:pPr>
          <a:r>
            <a:rPr lang="fr-CA" sz="900">
              <a:latin typeface="Aptos" panose="020B0004020202020204" pitchFamily="34" charset="0"/>
            </a:rPr>
            <a:t>Sanctions</a:t>
          </a:r>
          <a:r>
            <a:rPr lang="fr-CA" sz="900">
              <a:solidFill>
                <a:sysClr val="window" lastClr="FFFFFF"/>
              </a:solidFill>
              <a:latin typeface="Aptos" panose="020B0004020202020204" pitchFamily="34" charset="0"/>
              <a:ea typeface="+mn-ea"/>
              <a:cs typeface="+mn-cs"/>
            </a:rPr>
            <a:t> disciplinaires (5 %)</a:t>
          </a:r>
        </a:p>
      </dgm:t>
    </dgm:pt>
    <dgm:pt modelId="{CDA277ED-394A-4AF5-A81C-8C78B649E040}" type="parTrans" cxnId="{1DFB21F9-2615-497D-A9E3-F6C0B1136D4F}">
      <dgm:prSet/>
      <dgm:spPr/>
      <dgm:t>
        <a:bodyPr/>
        <a:lstStyle/>
        <a:p>
          <a:endParaRPr lang="fr-CA" sz="1600"/>
        </a:p>
      </dgm:t>
    </dgm:pt>
    <dgm:pt modelId="{93A81411-10E8-4C8C-8C48-FD358564EEEA}" type="sibTrans" cxnId="{1DFB21F9-2615-497D-A9E3-F6C0B1136D4F}">
      <dgm:prSet/>
      <dgm:spPr/>
      <dgm:t>
        <a:bodyPr/>
        <a:lstStyle/>
        <a:p>
          <a:endParaRPr lang="fr-CA" sz="1600"/>
        </a:p>
      </dgm:t>
    </dgm:pt>
    <dgm:pt modelId="{0313049C-DCE3-4EF7-BA25-FC84DC2A0370}">
      <dgm:prSet phldrT="[Texte]" custT="1"/>
      <dgm:spPr>
        <a:xfrm>
          <a:off x="126138" y="7529364"/>
          <a:ext cx="998925" cy="481180"/>
        </a:xfrm>
        <a:prstGeom prst="roundRect">
          <a:avLst>
            <a:gd name="adj" fmla="val 10000"/>
          </a:avLst>
        </a:prstGeom>
        <a:solidFill>
          <a:srgbClr val="0F243E"/>
        </a:solidFill>
      </dgm:spPr>
      <dgm:t>
        <a:bodyPr/>
        <a:lstStyle/>
        <a:p>
          <a:pPr algn="ctr"/>
          <a:r>
            <a:rPr lang="fr-CA" sz="900">
              <a:latin typeface="Aptos" panose="020B0004020202020204" pitchFamily="34" charset="0"/>
            </a:rPr>
            <a:t>Modification du travail quotidien (3 %)</a:t>
          </a:r>
        </a:p>
      </dgm:t>
    </dgm:pt>
    <dgm:pt modelId="{01502EFB-A303-4B47-8012-A30094295231}" type="parTrans" cxnId="{D1652CD5-E98F-4BDE-84A1-F321E992C815}">
      <dgm:prSet/>
      <dgm:spPr/>
      <dgm:t>
        <a:bodyPr/>
        <a:lstStyle/>
        <a:p>
          <a:endParaRPr lang="fr-CA" sz="1600"/>
        </a:p>
      </dgm:t>
    </dgm:pt>
    <dgm:pt modelId="{7C0C8D3B-4E44-4333-AF6A-972F3C0DEBB7}" type="sibTrans" cxnId="{D1652CD5-E98F-4BDE-84A1-F321E992C815}">
      <dgm:prSet/>
      <dgm:spPr/>
      <dgm:t>
        <a:bodyPr/>
        <a:lstStyle/>
        <a:p>
          <a:endParaRPr lang="fr-CA" sz="1600"/>
        </a:p>
      </dgm:t>
    </dgm:pt>
    <dgm:pt modelId="{AC1B2892-1DC7-4B12-8826-350FE5C265DB}">
      <dgm:prSet phldrT="[Texte]" custT="1"/>
      <dgm:spPr>
        <a:xfrm>
          <a:off x="126138" y="4198115"/>
          <a:ext cx="998925" cy="481180"/>
        </a:xfrm>
        <a:prstGeom prst="roundRect">
          <a:avLst>
            <a:gd name="adj" fmla="val 10000"/>
          </a:avLst>
        </a:prstGeom>
        <a:solidFill>
          <a:srgbClr val="0F243E"/>
        </a:solidFill>
      </dgm:spPr>
      <dgm:t>
        <a:bodyPr/>
        <a:lstStyle/>
        <a:p>
          <a:r>
            <a:rPr lang="fr-CA" sz="900">
              <a:latin typeface="+mn-lt"/>
            </a:rPr>
            <a:t>Représailles (13 %)</a:t>
          </a:r>
        </a:p>
      </dgm:t>
    </dgm:pt>
    <dgm:pt modelId="{D4677D80-C302-4009-BBCC-1B6123C11213}" type="parTrans" cxnId="{B13B2293-125A-458B-9954-7E6764DA55DD}">
      <dgm:prSet/>
      <dgm:spPr/>
      <dgm:t>
        <a:bodyPr/>
        <a:lstStyle/>
        <a:p>
          <a:endParaRPr lang="fr-CA" sz="1600"/>
        </a:p>
      </dgm:t>
    </dgm:pt>
    <dgm:pt modelId="{66CA44A3-9303-409A-AFF8-56456E6443CE}" type="sibTrans" cxnId="{B13B2293-125A-458B-9954-7E6764DA55DD}">
      <dgm:prSet/>
      <dgm:spPr/>
      <dgm:t>
        <a:bodyPr/>
        <a:lstStyle/>
        <a:p>
          <a:endParaRPr lang="fr-CA" sz="1600"/>
        </a:p>
      </dgm:t>
    </dgm:pt>
    <dgm:pt modelId="{1482F818-C12A-4BC8-89A8-7075A6128CC0}">
      <dgm:prSet phldrT="[Texte]" custT="1"/>
      <dgm:spPr>
        <a:xfrm>
          <a:off x="126138" y="3087699"/>
          <a:ext cx="998925" cy="481180"/>
        </a:xfrm>
        <a:prstGeom prst="roundRect">
          <a:avLst>
            <a:gd name="adj" fmla="val 10000"/>
          </a:avLst>
        </a:prstGeom>
        <a:solidFill>
          <a:srgbClr val="0F243E"/>
        </a:solidFill>
      </dgm:spPr>
      <dgm:t>
        <a:bodyPr/>
        <a:lstStyle/>
        <a:p>
          <a:pPr>
            <a:buNone/>
          </a:pPr>
          <a:r>
            <a:rPr lang="fr-CA" sz="900">
              <a:latin typeface="+mn-lt"/>
            </a:rPr>
            <a:t>Charge</a:t>
          </a:r>
          <a:r>
            <a:rPr lang="fr-CA" sz="900">
              <a:solidFill>
                <a:sysClr val="window" lastClr="FFFFFF"/>
              </a:solidFill>
              <a:latin typeface="+mn-lt"/>
              <a:ea typeface="+mn-ea"/>
              <a:cs typeface="+mn-cs"/>
            </a:rPr>
            <a:t> de travail</a:t>
          </a:r>
          <a:br>
            <a:rPr lang="fr-CA" sz="900">
              <a:solidFill>
                <a:sysClr val="window" lastClr="FFFFFF"/>
              </a:solidFill>
              <a:latin typeface="+mn-lt"/>
              <a:ea typeface="+mn-ea"/>
              <a:cs typeface="+mn-cs"/>
            </a:rPr>
          </a:br>
          <a:r>
            <a:rPr lang="fr-CA" sz="900">
              <a:solidFill>
                <a:sysClr val="window" lastClr="FFFFFF"/>
              </a:solidFill>
              <a:latin typeface="+mn-lt"/>
              <a:ea typeface="+mn-ea"/>
              <a:cs typeface="+mn-cs"/>
            </a:rPr>
            <a:t>(17 %)</a:t>
          </a:r>
        </a:p>
      </dgm:t>
    </dgm:pt>
    <dgm:pt modelId="{35CBE8E4-6AD3-4EFE-9317-01BBE5CCB16B}" type="parTrans" cxnId="{CE296BB6-0C2E-4424-A0E4-9D08D802EC62}">
      <dgm:prSet/>
      <dgm:spPr/>
      <dgm:t>
        <a:bodyPr/>
        <a:lstStyle/>
        <a:p>
          <a:endParaRPr lang="fr-CA" sz="1600"/>
        </a:p>
      </dgm:t>
    </dgm:pt>
    <dgm:pt modelId="{83F03CD9-7632-4C36-9472-6659E03B5C55}" type="sibTrans" cxnId="{CE296BB6-0C2E-4424-A0E4-9D08D802EC62}">
      <dgm:prSet/>
      <dgm:spPr/>
      <dgm:t>
        <a:bodyPr/>
        <a:lstStyle/>
        <a:p>
          <a:endParaRPr lang="fr-CA" sz="1600"/>
        </a:p>
      </dgm:t>
    </dgm:pt>
    <dgm:pt modelId="{BF9A6469-C4FE-4582-8520-3E27D9EC5750}">
      <dgm:prSet phldrT="[Texte]" custT="1"/>
      <dgm:spPr>
        <a:xfrm>
          <a:off x="126138" y="6418948"/>
          <a:ext cx="998925" cy="481180"/>
        </a:xfrm>
        <a:prstGeom prst="roundRect">
          <a:avLst>
            <a:gd name="adj" fmla="val 10000"/>
          </a:avLst>
        </a:prstGeom>
        <a:solidFill>
          <a:srgbClr val="0F243E"/>
        </a:solidFill>
      </dgm:spPr>
      <dgm:t>
        <a:bodyPr/>
        <a:lstStyle/>
        <a:p>
          <a:pPr>
            <a:buNone/>
          </a:pPr>
          <a:r>
            <a:rPr lang="fr-CA" sz="900">
              <a:solidFill>
                <a:sysClr val="window" lastClr="FFFFFF"/>
              </a:solidFill>
              <a:latin typeface="Aptos" panose="020B0004020202020204" pitchFamily="34" charset="0"/>
              <a:ea typeface="+mn-ea"/>
              <a:cs typeface="+mn-cs"/>
            </a:rPr>
            <a:t>Application des </a:t>
          </a:r>
          <a:r>
            <a:rPr lang="fr-CA" sz="900">
              <a:latin typeface="Aptos" panose="020B0004020202020204" pitchFamily="34" charset="0"/>
            </a:rPr>
            <a:t>conditions</a:t>
          </a:r>
          <a:r>
            <a:rPr lang="fr-CA" sz="900">
              <a:solidFill>
                <a:sysClr val="window" lastClr="FFFFFF"/>
              </a:solidFill>
              <a:latin typeface="Aptos" panose="020B0004020202020204" pitchFamily="34" charset="0"/>
              <a:ea typeface="+mn-ea"/>
              <a:cs typeface="+mn-cs"/>
            </a:rPr>
            <a:t> de travail (8 %)</a:t>
          </a:r>
        </a:p>
      </dgm:t>
    </dgm:pt>
    <dgm:pt modelId="{B78B4207-877C-4472-9BFE-2D34D9A5D769}" type="parTrans" cxnId="{424C1064-5BD0-4419-947C-CAF6B2D98195}">
      <dgm:prSet/>
      <dgm:spPr/>
      <dgm:t>
        <a:bodyPr/>
        <a:lstStyle/>
        <a:p>
          <a:endParaRPr lang="fr-CA" sz="1600"/>
        </a:p>
      </dgm:t>
    </dgm:pt>
    <dgm:pt modelId="{1609D880-AEAD-4B22-8C1E-DB436A4CF150}" type="sibTrans" cxnId="{424C1064-5BD0-4419-947C-CAF6B2D98195}">
      <dgm:prSet/>
      <dgm:spPr/>
      <dgm:t>
        <a:bodyPr/>
        <a:lstStyle/>
        <a:p>
          <a:endParaRPr lang="fr-CA" sz="1600"/>
        </a:p>
      </dgm:t>
    </dgm:pt>
    <dgm:pt modelId="{51565790-99C0-48BA-8F29-35DAB821BE12}">
      <dgm:prSet phldrT="[Texte]" custT="1"/>
      <dgm:spPr>
        <a:xfrm>
          <a:off x="126138" y="4753323"/>
          <a:ext cx="998925" cy="481180"/>
        </a:xfrm>
        <a:prstGeom prst="roundRect">
          <a:avLst>
            <a:gd name="adj" fmla="val 10000"/>
          </a:avLst>
        </a:prstGeom>
        <a:solidFill>
          <a:srgbClr val="0F243E"/>
        </a:solidFill>
      </dgm:spPr>
      <dgm:t>
        <a:bodyPr/>
        <a:lstStyle/>
        <a:p>
          <a:pPr>
            <a:buNone/>
          </a:pPr>
          <a:r>
            <a:rPr lang="fr-CA" sz="900">
              <a:solidFill>
                <a:sysClr val="window" lastClr="FFFFFF"/>
              </a:solidFill>
              <a:latin typeface="Aptos" panose="020B0004020202020204" pitchFamily="34" charset="0"/>
              <a:ea typeface="+mn-ea"/>
              <a:cs typeface="+mn-cs"/>
            </a:rPr>
            <a:t>Évaluation biaisée </a:t>
          </a:r>
          <a:br>
            <a:rPr lang="fr-CA" sz="900">
              <a:solidFill>
                <a:sysClr val="window" lastClr="FFFFFF"/>
              </a:solidFill>
              <a:latin typeface="Aptos" panose="020B0004020202020204" pitchFamily="34" charset="0"/>
              <a:ea typeface="+mn-ea"/>
              <a:cs typeface="+mn-cs"/>
            </a:rPr>
          </a:br>
          <a:r>
            <a:rPr lang="fr-CA" sz="900">
              <a:solidFill>
                <a:sysClr val="window" lastClr="FFFFFF"/>
              </a:solidFill>
              <a:latin typeface="Aptos" panose="020B0004020202020204" pitchFamily="34" charset="0"/>
              <a:ea typeface="+mn-ea"/>
              <a:cs typeface="+mn-cs"/>
            </a:rPr>
            <a:t>(11 %)</a:t>
          </a:r>
        </a:p>
      </dgm:t>
    </dgm:pt>
    <dgm:pt modelId="{98DA43BD-E065-47B8-AE4C-F2A05FE5C4D4}" type="parTrans" cxnId="{C94D08E7-F985-499D-B03A-EAE70F906502}">
      <dgm:prSet/>
      <dgm:spPr/>
      <dgm:t>
        <a:bodyPr/>
        <a:lstStyle/>
        <a:p>
          <a:endParaRPr lang="fr-CA" sz="1600"/>
        </a:p>
      </dgm:t>
    </dgm:pt>
    <dgm:pt modelId="{3BA0005A-4BAF-40BC-8632-9CDF0BEB8918}" type="sibTrans" cxnId="{C94D08E7-F985-499D-B03A-EAE70F906502}">
      <dgm:prSet/>
      <dgm:spPr/>
      <dgm:t>
        <a:bodyPr/>
        <a:lstStyle/>
        <a:p>
          <a:endParaRPr lang="fr-CA" sz="1600"/>
        </a:p>
      </dgm:t>
    </dgm:pt>
    <dgm:pt modelId="{D37A8AFA-78DD-45AD-BB56-EE58DFED4FA9}">
      <dgm:prSet phldrT="[Texte]" custT="1"/>
      <dgm:spPr>
        <a:xfrm>
          <a:off x="2810750" y="3465096"/>
          <a:ext cx="998925" cy="809775"/>
        </a:xfrm>
        <a:prstGeom prst="roundRect">
          <a:avLst>
            <a:gd name="adj" fmla="val 10000"/>
          </a:avLst>
        </a:prstGeom>
        <a:solidFill>
          <a:srgbClr val="0F243E"/>
        </a:solidFill>
      </dgm:spPr>
      <dgm:t>
        <a:bodyPr/>
        <a:lstStyle/>
        <a:p>
          <a:r>
            <a:rPr lang="fr-CA" sz="900">
              <a:latin typeface="Aptos" panose="020B0004020202020204" pitchFamily="34" charset="0"/>
            </a:rPr>
            <a:t>Problèmes médicaux</a:t>
          </a:r>
          <a:br>
            <a:rPr lang="fr-CA" sz="900">
              <a:latin typeface="Aptos" panose="020B0004020202020204" pitchFamily="34" charset="0"/>
            </a:rPr>
          </a:br>
          <a:r>
            <a:rPr lang="fr-CA" sz="900">
              <a:latin typeface="Aptos" panose="020B0004020202020204" pitchFamily="34" charset="0"/>
            </a:rPr>
            <a:t>(32 %)</a:t>
          </a:r>
        </a:p>
      </dgm:t>
    </dgm:pt>
    <dgm:pt modelId="{71933188-7079-4F6F-8986-0213348FF6CE}" type="parTrans" cxnId="{C2FDE032-2680-48CB-BD3D-F5DC0387083A}">
      <dgm:prSet/>
      <dgm:spPr/>
      <dgm:t>
        <a:bodyPr/>
        <a:lstStyle/>
        <a:p>
          <a:endParaRPr lang="fr-CA" sz="1600"/>
        </a:p>
      </dgm:t>
    </dgm:pt>
    <dgm:pt modelId="{ED332BBA-1CE6-4F15-965B-5B44AEC309E9}" type="sibTrans" cxnId="{C2FDE032-2680-48CB-BD3D-F5DC0387083A}">
      <dgm:prSet/>
      <dgm:spPr/>
      <dgm:t>
        <a:bodyPr/>
        <a:lstStyle/>
        <a:p>
          <a:endParaRPr lang="fr-CA" sz="1600"/>
        </a:p>
      </dgm:t>
    </dgm:pt>
    <dgm:pt modelId="{DA7250D6-9FEE-4347-A986-E7AD4481C01E}">
      <dgm:prSet phldrT="[Texte]" custT="1"/>
      <dgm:spPr>
        <a:xfrm>
          <a:off x="2810750" y="5333808"/>
          <a:ext cx="998925" cy="809775"/>
        </a:xfrm>
        <a:prstGeom prst="roundRect">
          <a:avLst>
            <a:gd name="adj" fmla="val 10000"/>
          </a:avLst>
        </a:prstGeom>
        <a:solidFill>
          <a:srgbClr val="0F243E"/>
        </a:solidFill>
      </dgm:spPr>
      <dgm:t>
        <a:bodyPr/>
        <a:lstStyle/>
        <a:p>
          <a:r>
            <a:rPr lang="fr-CA" sz="900">
              <a:latin typeface="Aptos" panose="020B0004020202020204" pitchFamily="34" charset="0"/>
            </a:rPr>
            <a:t>Adaptation du comportement</a:t>
          </a:r>
          <a:br>
            <a:rPr lang="fr-CA" sz="900">
              <a:latin typeface="Aptos" panose="020B0004020202020204" pitchFamily="34" charset="0"/>
            </a:rPr>
          </a:br>
          <a:r>
            <a:rPr lang="fr-CA" sz="900">
              <a:latin typeface="Aptos" panose="020B0004020202020204" pitchFamily="34" charset="0"/>
            </a:rPr>
            <a:t> (10 %)</a:t>
          </a:r>
        </a:p>
      </dgm:t>
    </dgm:pt>
    <dgm:pt modelId="{0A62F651-75E7-4728-A1EE-AD57FF1C21BD}" type="parTrans" cxnId="{5C03372D-5D14-4ECB-BC8E-08159E6B311D}">
      <dgm:prSet/>
      <dgm:spPr/>
      <dgm:t>
        <a:bodyPr/>
        <a:lstStyle/>
        <a:p>
          <a:endParaRPr lang="fr-CA" sz="1600"/>
        </a:p>
      </dgm:t>
    </dgm:pt>
    <dgm:pt modelId="{D8DEE182-2DA9-4B77-A8E5-13652A5A76CF}" type="sibTrans" cxnId="{5C03372D-5D14-4ECB-BC8E-08159E6B311D}">
      <dgm:prSet/>
      <dgm:spPr/>
      <dgm:t>
        <a:bodyPr/>
        <a:lstStyle/>
        <a:p>
          <a:endParaRPr lang="fr-CA" sz="1600"/>
        </a:p>
      </dgm:t>
    </dgm:pt>
    <dgm:pt modelId="{C637944A-70AC-495C-8C31-6B2B6A2C1ABE}">
      <dgm:prSet phldrT="[Texte]" custT="1"/>
      <dgm:spPr>
        <a:xfrm>
          <a:off x="2810750" y="7202520"/>
          <a:ext cx="998925" cy="809775"/>
        </a:xfrm>
        <a:prstGeom prst="roundRect">
          <a:avLst>
            <a:gd name="adj" fmla="val 10000"/>
          </a:avLst>
        </a:prstGeom>
        <a:solidFill>
          <a:srgbClr val="0F243E"/>
        </a:solidFill>
      </dgm:spPr>
      <dgm:t>
        <a:bodyPr/>
        <a:lstStyle/>
        <a:p>
          <a:r>
            <a:rPr lang="fr-CA" sz="900">
              <a:latin typeface="+mn-lt"/>
            </a:rPr>
            <a:t>Atteinte à la réputation</a:t>
          </a:r>
          <a:br>
            <a:rPr lang="fr-CA" sz="900">
              <a:latin typeface="+mn-lt"/>
            </a:rPr>
          </a:br>
          <a:r>
            <a:rPr lang="fr-CA" sz="900">
              <a:latin typeface="+mn-lt"/>
            </a:rPr>
            <a:t> (3 %)</a:t>
          </a:r>
        </a:p>
      </dgm:t>
    </dgm:pt>
    <dgm:pt modelId="{4204D5EC-ED58-4997-9B13-546233B32E8A}" type="parTrans" cxnId="{5B4D12B2-0C9A-4936-A43B-771D2EAF2D95}">
      <dgm:prSet/>
      <dgm:spPr/>
      <dgm:t>
        <a:bodyPr/>
        <a:lstStyle/>
        <a:p>
          <a:endParaRPr lang="fr-CA" sz="1600"/>
        </a:p>
      </dgm:t>
    </dgm:pt>
    <dgm:pt modelId="{3FCBA16D-1A96-4E1E-80DB-257E352C6D87}" type="sibTrans" cxnId="{5B4D12B2-0C9A-4936-A43B-771D2EAF2D95}">
      <dgm:prSet/>
      <dgm:spPr/>
      <dgm:t>
        <a:bodyPr/>
        <a:lstStyle/>
        <a:p>
          <a:endParaRPr lang="fr-CA" sz="1600"/>
        </a:p>
      </dgm:t>
    </dgm:pt>
    <dgm:pt modelId="{B94A0C9A-A786-45E0-8865-AE483C11FE89}">
      <dgm:prSet phldrT="[Texte]" custT="1"/>
      <dgm:spPr>
        <a:xfrm>
          <a:off x="2810750" y="6268164"/>
          <a:ext cx="998925" cy="809775"/>
        </a:xfrm>
        <a:prstGeom prst="roundRect">
          <a:avLst>
            <a:gd name="adj" fmla="val 10000"/>
          </a:avLst>
        </a:prstGeom>
        <a:solidFill>
          <a:srgbClr val="0F243E"/>
        </a:solidFill>
      </dgm:spPr>
      <dgm:t>
        <a:bodyPr/>
        <a:lstStyle/>
        <a:p>
          <a:r>
            <a:rPr lang="fr-CA" sz="900">
              <a:latin typeface="Aptos" panose="020B0004020202020204" pitchFamily="34" charset="0"/>
            </a:rPr>
            <a:t>Mépris</a:t>
          </a:r>
          <a:br>
            <a:rPr lang="fr-CA" sz="900">
              <a:latin typeface="Aptos" panose="020B0004020202020204" pitchFamily="34" charset="0"/>
            </a:rPr>
          </a:br>
          <a:r>
            <a:rPr lang="fr-CA" sz="900">
              <a:latin typeface="Aptos" panose="020B0004020202020204" pitchFamily="34" charset="0"/>
            </a:rPr>
            <a:t> (8 %)</a:t>
          </a:r>
        </a:p>
      </dgm:t>
    </dgm:pt>
    <dgm:pt modelId="{E6BF2D61-8A50-4E3C-9DBC-95190E526550}" type="parTrans" cxnId="{828DC3E3-CC40-4A4F-B02D-5702F4557C01}">
      <dgm:prSet/>
      <dgm:spPr/>
      <dgm:t>
        <a:bodyPr/>
        <a:lstStyle/>
        <a:p>
          <a:endParaRPr lang="fr-CA" sz="1600"/>
        </a:p>
      </dgm:t>
    </dgm:pt>
    <dgm:pt modelId="{B492A025-4483-406D-BCC8-F92ECC814ADE}" type="sibTrans" cxnId="{828DC3E3-CC40-4A4F-B02D-5702F4557C01}">
      <dgm:prSet/>
      <dgm:spPr/>
      <dgm:t>
        <a:bodyPr/>
        <a:lstStyle/>
        <a:p>
          <a:endParaRPr lang="fr-CA" sz="1600"/>
        </a:p>
      </dgm:t>
    </dgm:pt>
    <dgm:pt modelId="{620B8B74-915B-40ED-9E4A-D69321E5AABD}">
      <dgm:prSet phldrT="[Texte]" custT="1"/>
      <dgm:spPr>
        <a:xfrm>
          <a:off x="4153056" y="2532799"/>
          <a:ext cx="998925" cy="2543095"/>
        </a:xfrm>
        <a:prstGeom prst="roundRect">
          <a:avLst>
            <a:gd name="adj" fmla="val 10000"/>
          </a:avLst>
        </a:prstGeom>
        <a:solidFill>
          <a:srgbClr val="0F243E"/>
        </a:solidFill>
      </dgm:spPr>
      <dgm:t>
        <a:bodyPr/>
        <a:lstStyle/>
        <a:p>
          <a:r>
            <a:rPr lang="fr-CA" sz="900">
              <a:latin typeface="+mn-lt"/>
            </a:rPr>
            <a:t>Impossibilité de travailler</a:t>
          </a:r>
          <a:br>
            <a:rPr lang="fr-CA" sz="900">
              <a:latin typeface="+mn-lt"/>
            </a:rPr>
          </a:br>
          <a:r>
            <a:rPr lang="fr-CA" sz="900">
              <a:latin typeface="+mn-lt"/>
            </a:rPr>
            <a:t> (67 %)</a:t>
          </a:r>
        </a:p>
      </dgm:t>
    </dgm:pt>
    <dgm:pt modelId="{AA6DF3BC-D7FE-4E20-9746-9BB2FBF2DB44}" type="parTrans" cxnId="{9C216C7C-373D-4613-8EE7-F62AAEB71ECE}">
      <dgm:prSet/>
      <dgm:spPr/>
      <dgm:t>
        <a:bodyPr/>
        <a:lstStyle/>
        <a:p>
          <a:endParaRPr lang="fr-CA" sz="1600"/>
        </a:p>
      </dgm:t>
    </dgm:pt>
    <dgm:pt modelId="{4FC88B55-DAC6-4C27-9D4E-AAB764A2693B}" type="sibTrans" cxnId="{9C216C7C-373D-4613-8EE7-F62AAEB71ECE}">
      <dgm:prSet/>
      <dgm:spPr/>
      <dgm:t>
        <a:bodyPr/>
        <a:lstStyle/>
        <a:p>
          <a:endParaRPr lang="fr-CA" sz="1600"/>
        </a:p>
      </dgm:t>
    </dgm:pt>
    <dgm:pt modelId="{5FE74EB2-5B44-4215-A26D-69A2A3002BF5}">
      <dgm:prSet phldrT="[Texte]" custT="1"/>
      <dgm:spPr>
        <a:xfrm>
          <a:off x="4153056" y="5467140"/>
          <a:ext cx="998925" cy="2543095"/>
        </a:xfrm>
        <a:prstGeom prst="roundRect">
          <a:avLst>
            <a:gd name="adj" fmla="val 10000"/>
          </a:avLst>
        </a:prstGeom>
        <a:solidFill>
          <a:srgbClr val="0F243E"/>
        </a:solidFill>
      </dgm:spPr>
      <dgm:t>
        <a:bodyPr/>
        <a:lstStyle/>
        <a:p>
          <a:r>
            <a:rPr lang="fr-CA" sz="900">
              <a:latin typeface="+mn-lt"/>
            </a:rPr>
            <a:t>Difficulté à se concentrer</a:t>
          </a:r>
          <a:br>
            <a:rPr lang="fr-CA" sz="900">
              <a:latin typeface="+mn-lt"/>
            </a:rPr>
          </a:br>
          <a:r>
            <a:rPr lang="fr-CA" sz="900">
              <a:latin typeface="+mn-lt"/>
            </a:rPr>
            <a:t>(40 %)</a:t>
          </a:r>
        </a:p>
      </dgm:t>
    </dgm:pt>
    <dgm:pt modelId="{16DB4493-2FFA-42D9-86B2-9EFB441BFE8C}" type="parTrans" cxnId="{292A5B92-0FF4-49A6-BBBC-8E3DCA860A13}">
      <dgm:prSet/>
      <dgm:spPr/>
      <dgm:t>
        <a:bodyPr/>
        <a:lstStyle/>
        <a:p>
          <a:endParaRPr lang="fr-CA" sz="1600"/>
        </a:p>
      </dgm:t>
    </dgm:pt>
    <dgm:pt modelId="{6D0BD74E-E92F-4F3F-97FE-0A2C496390F7}" type="sibTrans" cxnId="{292A5B92-0FF4-49A6-BBBC-8E3DCA860A13}">
      <dgm:prSet/>
      <dgm:spPr/>
      <dgm:t>
        <a:bodyPr/>
        <a:lstStyle/>
        <a:p>
          <a:endParaRPr lang="fr-CA" sz="1600"/>
        </a:p>
      </dgm:t>
    </dgm:pt>
    <dgm:pt modelId="{9D829AF3-0279-4949-901B-AC37C6206619}">
      <dgm:prSet phldrT="[Texte]" custT="1"/>
      <dgm:spPr>
        <a:xfrm>
          <a:off x="1468444" y="2531873"/>
          <a:ext cx="998925" cy="603650"/>
        </a:xfrm>
        <a:prstGeom prst="roundRect">
          <a:avLst>
            <a:gd name="adj" fmla="val 10000"/>
          </a:avLst>
        </a:prstGeom>
        <a:solidFill>
          <a:srgbClr val="0F243E"/>
        </a:solidFill>
      </dgm:spPr>
      <dgm:t>
        <a:bodyPr/>
        <a:lstStyle/>
        <a:p>
          <a:pPr>
            <a:buNone/>
          </a:pPr>
          <a:r>
            <a:rPr lang="fr-CA" sz="900">
              <a:latin typeface="+mn-lt"/>
            </a:rPr>
            <a:t>Abattement</a:t>
          </a:r>
          <a:br>
            <a:rPr lang="fr-CA" sz="900">
              <a:latin typeface="+mn-lt"/>
            </a:rPr>
          </a:br>
          <a:r>
            <a:rPr lang="fr-CA" sz="900">
              <a:solidFill>
                <a:sysClr val="window" lastClr="FFFFFF"/>
              </a:solidFill>
              <a:latin typeface="+mn-lt"/>
              <a:ea typeface="+mn-ea"/>
              <a:cs typeface="+mn-cs"/>
            </a:rPr>
            <a:t> (53 %)</a:t>
          </a:r>
        </a:p>
      </dgm:t>
    </dgm:pt>
    <dgm:pt modelId="{D6039B13-E8EA-4AA1-80B9-22ABE225D2F5}" type="parTrans" cxnId="{012F4E22-0FD4-4D49-BDA1-29B87858DF30}">
      <dgm:prSet/>
      <dgm:spPr/>
      <dgm:t>
        <a:bodyPr/>
        <a:lstStyle/>
        <a:p>
          <a:endParaRPr lang="fr-CA" sz="1600"/>
        </a:p>
      </dgm:t>
    </dgm:pt>
    <dgm:pt modelId="{47B60DC3-27BF-44EA-A969-582C69F7AE26}" type="sibTrans" cxnId="{012F4E22-0FD4-4D49-BDA1-29B87858DF30}">
      <dgm:prSet/>
      <dgm:spPr/>
      <dgm:t>
        <a:bodyPr/>
        <a:lstStyle/>
        <a:p>
          <a:endParaRPr lang="fr-CA" sz="1600"/>
        </a:p>
      </dgm:t>
    </dgm:pt>
    <dgm:pt modelId="{FB270AF2-BC2A-4691-A692-9D543B9AD0B3}">
      <dgm:prSet phldrT="[Texte]" custT="1"/>
      <dgm:spPr>
        <a:xfrm>
          <a:off x="1468444" y="3228393"/>
          <a:ext cx="998925" cy="603650"/>
        </a:xfrm>
        <a:prstGeom prst="roundRect">
          <a:avLst>
            <a:gd name="adj" fmla="val 10000"/>
          </a:avLst>
        </a:prstGeom>
        <a:solidFill>
          <a:srgbClr val="0F243E"/>
        </a:solidFill>
      </dgm:spPr>
      <dgm:t>
        <a:bodyPr/>
        <a:lstStyle/>
        <a:p>
          <a:r>
            <a:rPr lang="fr-CA" sz="900">
              <a:latin typeface="+mn-lt"/>
            </a:rPr>
            <a:t>Angoisse, anxiété, peur</a:t>
          </a:r>
          <a:br>
            <a:rPr lang="fr-CA" sz="900">
              <a:latin typeface="+mn-lt"/>
            </a:rPr>
          </a:br>
          <a:r>
            <a:rPr lang="fr-CA" sz="900">
              <a:latin typeface="+mn-lt"/>
            </a:rPr>
            <a:t> (16 %)</a:t>
          </a:r>
        </a:p>
      </dgm:t>
    </dgm:pt>
    <dgm:pt modelId="{1D011912-81B2-4F49-9AF3-ED1945D02CA9}" type="parTrans" cxnId="{B1482B5A-0D29-4701-A084-1F1A2EBB6CAD}">
      <dgm:prSet/>
      <dgm:spPr/>
      <dgm:t>
        <a:bodyPr/>
        <a:lstStyle/>
        <a:p>
          <a:endParaRPr lang="fr-CA" sz="1600"/>
        </a:p>
      </dgm:t>
    </dgm:pt>
    <dgm:pt modelId="{2FEFB259-17D7-4354-AED5-0D67FC0235F6}" type="sibTrans" cxnId="{B1482B5A-0D29-4701-A084-1F1A2EBB6CAD}">
      <dgm:prSet/>
      <dgm:spPr/>
      <dgm:t>
        <a:bodyPr/>
        <a:lstStyle/>
        <a:p>
          <a:endParaRPr lang="fr-CA" sz="1600"/>
        </a:p>
      </dgm:t>
    </dgm:pt>
    <dgm:pt modelId="{C08E7F47-FEFF-4D44-959B-9080715AE2C1}">
      <dgm:prSet phldrT="[Texte]"/>
      <dgm:spPr>
        <a:xfrm>
          <a:off x="1468444" y="6014472"/>
          <a:ext cx="998925" cy="603650"/>
        </a:xfrm>
        <a:prstGeom prst="roundRect">
          <a:avLst>
            <a:gd name="adj" fmla="val 10000"/>
          </a:avLst>
        </a:prstGeom>
        <a:solidFill>
          <a:srgbClr val="0F243E"/>
        </a:solidFill>
      </dgm:spPr>
      <dgm:t>
        <a:bodyPr/>
        <a:lstStyle/>
        <a:p>
          <a:r>
            <a:rPr lang="fr-CA"/>
            <a:t>Problèmes médicaux</a:t>
          </a:r>
          <a:br>
            <a:rPr lang="fr-CA"/>
          </a:br>
          <a:r>
            <a:rPr lang="fr-CA"/>
            <a:t> (7 %)</a:t>
          </a:r>
        </a:p>
      </dgm:t>
    </dgm:pt>
    <dgm:pt modelId="{EAB4BC14-54BD-4A4E-92D9-8CDA1E15DAB6}" type="parTrans" cxnId="{67B44CC6-E7D8-473A-BE1F-46EB4C3ABB03}">
      <dgm:prSet/>
      <dgm:spPr/>
      <dgm:t>
        <a:bodyPr/>
        <a:lstStyle/>
        <a:p>
          <a:endParaRPr lang="fr-CA" sz="1600"/>
        </a:p>
      </dgm:t>
    </dgm:pt>
    <dgm:pt modelId="{AA41FE9B-9CE6-4B36-B9CA-407496FA2CC1}" type="sibTrans" cxnId="{67B44CC6-E7D8-473A-BE1F-46EB4C3ABB03}">
      <dgm:prSet/>
      <dgm:spPr/>
      <dgm:t>
        <a:bodyPr/>
        <a:lstStyle/>
        <a:p>
          <a:endParaRPr lang="fr-CA" sz="1600"/>
        </a:p>
      </dgm:t>
    </dgm:pt>
    <dgm:pt modelId="{684865E3-F06D-4D63-8584-45C2148C9D4E}">
      <dgm:prSet phldrT="[Texte]" custT="1"/>
      <dgm:spPr>
        <a:xfrm>
          <a:off x="1468444" y="7407512"/>
          <a:ext cx="998925" cy="603650"/>
        </a:xfrm>
        <a:prstGeom prst="roundRect">
          <a:avLst>
            <a:gd name="adj" fmla="val 10000"/>
          </a:avLst>
        </a:prstGeom>
        <a:solidFill>
          <a:srgbClr val="0F243E"/>
        </a:solidFill>
      </dgm:spPr>
      <dgm:t>
        <a:bodyPr/>
        <a:lstStyle/>
        <a:p>
          <a:pPr>
            <a:buNone/>
          </a:pPr>
          <a:r>
            <a:rPr lang="fr-CA" sz="800">
              <a:latin typeface="Aptos" panose="020B0004020202020204" pitchFamily="34" charset="0"/>
            </a:rPr>
            <a:t>Effets</a:t>
          </a:r>
          <a:r>
            <a:rPr lang="fr-CA" sz="800">
              <a:solidFill>
                <a:sysClr val="window" lastClr="FFFFFF"/>
              </a:solidFill>
              <a:latin typeface="Aptos" panose="020B0004020202020204" pitchFamily="34" charset="0"/>
              <a:ea typeface="+mn-ea"/>
              <a:cs typeface="+mn-cs"/>
            </a:rPr>
            <a:t> sur la vie familiale ou de couple</a:t>
          </a:r>
          <a:br>
            <a:rPr lang="fr-CA" sz="800">
              <a:solidFill>
                <a:sysClr val="window" lastClr="FFFFFF"/>
              </a:solidFill>
              <a:latin typeface="Aptos" panose="020B0004020202020204" pitchFamily="34" charset="0"/>
              <a:ea typeface="+mn-ea"/>
              <a:cs typeface="+mn-cs"/>
            </a:rPr>
          </a:br>
          <a:r>
            <a:rPr lang="fr-CA" sz="800">
              <a:solidFill>
                <a:sysClr val="window" lastClr="FFFFFF"/>
              </a:solidFill>
              <a:latin typeface="Aptos" panose="020B0004020202020204" pitchFamily="34" charset="0"/>
              <a:ea typeface="+mn-ea"/>
              <a:cs typeface="+mn-cs"/>
            </a:rPr>
            <a:t> (5 %)</a:t>
          </a:r>
        </a:p>
      </dgm:t>
    </dgm:pt>
    <dgm:pt modelId="{88C96BB1-2339-40B6-9B0C-264879511B41}" type="parTrans" cxnId="{22632434-63B6-4268-A469-C6A4F4834220}">
      <dgm:prSet/>
      <dgm:spPr/>
      <dgm:t>
        <a:bodyPr/>
        <a:lstStyle/>
        <a:p>
          <a:endParaRPr lang="fr-CA" sz="1600"/>
        </a:p>
      </dgm:t>
    </dgm:pt>
    <dgm:pt modelId="{D39AD3C4-2884-49D8-B3EF-EB551930D9CD}" type="sibTrans" cxnId="{22632434-63B6-4268-A469-C6A4F4834220}">
      <dgm:prSet/>
      <dgm:spPr/>
      <dgm:t>
        <a:bodyPr/>
        <a:lstStyle/>
        <a:p>
          <a:endParaRPr lang="fr-CA" sz="1600"/>
        </a:p>
      </dgm:t>
    </dgm:pt>
    <dgm:pt modelId="{35C4CA07-73B1-471A-8763-371325E55032}">
      <dgm:prSet phldrT="[Texte]" custT="1"/>
      <dgm:spPr>
        <a:xfrm>
          <a:off x="1468444" y="4621432"/>
          <a:ext cx="998925" cy="603650"/>
        </a:xfrm>
        <a:prstGeom prst="roundRect">
          <a:avLst>
            <a:gd name="adj" fmla="val 10000"/>
          </a:avLst>
        </a:prstGeom>
        <a:solidFill>
          <a:srgbClr val="0F243E"/>
        </a:solidFill>
      </dgm:spPr>
      <dgm:t>
        <a:bodyPr/>
        <a:lstStyle/>
        <a:p>
          <a:pPr>
            <a:buNone/>
          </a:pPr>
          <a:r>
            <a:rPr lang="fr-CA" sz="800">
              <a:solidFill>
                <a:sysClr val="window" lastClr="FFFFFF"/>
              </a:solidFill>
              <a:latin typeface="Aptos" panose="020B0004020202020204" pitchFamily="34" charset="0"/>
              <a:ea typeface="+mn-ea"/>
              <a:cs typeface="+mn-cs"/>
            </a:rPr>
            <a:t>Colère, mécontentement, irritation (8 %)</a:t>
          </a:r>
        </a:p>
      </dgm:t>
    </dgm:pt>
    <dgm:pt modelId="{0779474C-9503-45C6-BA15-289316DFE87D}" type="parTrans" cxnId="{226E1030-792C-4F0B-A00C-407B49A89ADE}">
      <dgm:prSet/>
      <dgm:spPr/>
      <dgm:t>
        <a:bodyPr/>
        <a:lstStyle/>
        <a:p>
          <a:endParaRPr lang="fr-CA" sz="1600"/>
        </a:p>
      </dgm:t>
    </dgm:pt>
    <dgm:pt modelId="{CDB91173-7336-4DE9-A131-1AA61E22AD52}" type="sibTrans" cxnId="{226E1030-792C-4F0B-A00C-407B49A89ADE}">
      <dgm:prSet/>
      <dgm:spPr/>
      <dgm:t>
        <a:bodyPr/>
        <a:lstStyle/>
        <a:p>
          <a:endParaRPr lang="fr-CA" sz="1600"/>
        </a:p>
      </dgm:t>
    </dgm:pt>
    <dgm:pt modelId="{B323EB80-4831-4222-A158-7BF64F685286}">
      <dgm:prSet phldrT="[Texte]" custT="1"/>
      <dgm:spPr>
        <a:xfrm>
          <a:off x="1468444" y="3924912"/>
          <a:ext cx="998925" cy="603650"/>
        </a:xfrm>
        <a:prstGeom prst="roundRect">
          <a:avLst>
            <a:gd name="adj" fmla="val 10000"/>
          </a:avLst>
        </a:prstGeom>
        <a:solidFill>
          <a:srgbClr val="0F243E"/>
        </a:solidFill>
      </dgm:spPr>
      <dgm:t>
        <a:bodyPr/>
        <a:lstStyle/>
        <a:p>
          <a:r>
            <a:rPr lang="fr-CA" sz="900">
              <a:latin typeface="+mn-lt"/>
            </a:rPr>
            <a:t>Conséquences matérielles</a:t>
          </a:r>
          <a:br>
            <a:rPr lang="fr-CA" sz="900">
              <a:latin typeface="+mn-lt"/>
            </a:rPr>
          </a:br>
          <a:r>
            <a:rPr lang="fr-CA" sz="900">
              <a:latin typeface="+mn-lt"/>
            </a:rPr>
            <a:t>(12 %)</a:t>
          </a:r>
        </a:p>
      </dgm:t>
    </dgm:pt>
    <dgm:pt modelId="{D3E1ED1E-74CB-4522-8317-2A2E9BFA1B4F}" type="parTrans" cxnId="{F4AAA260-C625-482C-A808-EDBBB0870900}">
      <dgm:prSet/>
      <dgm:spPr/>
      <dgm:t>
        <a:bodyPr/>
        <a:lstStyle/>
        <a:p>
          <a:endParaRPr lang="fr-CA" sz="1600"/>
        </a:p>
      </dgm:t>
    </dgm:pt>
    <dgm:pt modelId="{E9C2770A-678B-405C-9648-3022391E9EB4}" type="sibTrans" cxnId="{F4AAA260-C625-482C-A808-EDBBB0870900}">
      <dgm:prSet/>
      <dgm:spPr/>
      <dgm:t>
        <a:bodyPr/>
        <a:lstStyle/>
        <a:p>
          <a:endParaRPr lang="fr-CA" sz="1600"/>
        </a:p>
      </dgm:t>
    </dgm:pt>
    <dgm:pt modelId="{126408F8-02FB-4D8D-8433-938A99A6DD20}" type="pres">
      <dgm:prSet presAssocID="{1B3F4A59-6234-474A-B9AC-C507F37C88F5}" presName="theList" presStyleCnt="0">
        <dgm:presLayoutVars>
          <dgm:dir/>
          <dgm:animLvl val="lvl"/>
          <dgm:resizeHandles val="exact"/>
        </dgm:presLayoutVars>
      </dgm:prSet>
      <dgm:spPr/>
    </dgm:pt>
    <dgm:pt modelId="{E8DF99DB-EB4F-4492-B673-D6BB6AA8A8EA}" type="pres">
      <dgm:prSet presAssocID="{893B549E-1D2E-41D8-96E1-131C3B1190BA}" presName="compNode" presStyleCnt="0"/>
      <dgm:spPr/>
    </dgm:pt>
    <dgm:pt modelId="{46347806-AD1D-4CDC-A2DD-CC1863D3B8F3}" type="pres">
      <dgm:prSet presAssocID="{893B549E-1D2E-41D8-96E1-131C3B1190BA}" presName="aNode" presStyleLbl="bgShp" presStyleIdx="0" presStyleCnt="4"/>
      <dgm:spPr/>
    </dgm:pt>
    <dgm:pt modelId="{A1CC5208-B440-4976-A6F7-7ABD6837F2F6}" type="pres">
      <dgm:prSet presAssocID="{893B549E-1D2E-41D8-96E1-131C3B1190BA}" presName="textNode" presStyleLbl="bgShp" presStyleIdx="0" presStyleCnt="4"/>
      <dgm:spPr/>
    </dgm:pt>
    <dgm:pt modelId="{5A4EF04B-2F4B-4684-90C4-03867516A755}" type="pres">
      <dgm:prSet presAssocID="{893B549E-1D2E-41D8-96E1-131C3B1190BA}" presName="compChildNode" presStyleCnt="0"/>
      <dgm:spPr/>
    </dgm:pt>
    <dgm:pt modelId="{5D07599F-CF78-4900-8212-3ECDC6561091}" type="pres">
      <dgm:prSet presAssocID="{893B549E-1D2E-41D8-96E1-131C3B1190BA}" presName="theInnerList" presStyleCnt="0"/>
      <dgm:spPr/>
    </dgm:pt>
    <dgm:pt modelId="{AF291D0D-E2AF-4972-A156-3547A019D395}" type="pres">
      <dgm:prSet presAssocID="{259A7E0E-E173-45DD-80DA-F46A4882D644}" presName="childNode" presStyleLbl="node1" presStyleIdx="0" presStyleCnt="26" custLinFactY="-110017" custLinFactNeighborX="1124" custLinFactNeighborY="-200000">
        <dgm:presLayoutVars>
          <dgm:bulletEnabled val="1"/>
        </dgm:presLayoutVars>
      </dgm:prSet>
      <dgm:spPr/>
    </dgm:pt>
    <dgm:pt modelId="{8E7E93D6-A280-4B2A-B798-7C199D63AD15}" type="pres">
      <dgm:prSet presAssocID="{259A7E0E-E173-45DD-80DA-F46A4882D644}" presName="aSpace2" presStyleCnt="0"/>
      <dgm:spPr/>
    </dgm:pt>
    <dgm:pt modelId="{477D5C98-EA44-4EBC-986C-7E101C1EF9D0}" type="pres">
      <dgm:prSet presAssocID="{1482F818-C12A-4BC8-89A8-7075A6128CC0}" presName="childNode" presStyleLbl="node1" presStyleIdx="1" presStyleCnt="26" custLinFactY="-100000" custLinFactNeighborX="-1" custLinFactNeighborY="-164546">
        <dgm:presLayoutVars>
          <dgm:bulletEnabled val="1"/>
        </dgm:presLayoutVars>
      </dgm:prSet>
      <dgm:spPr/>
    </dgm:pt>
    <dgm:pt modelId="{346104C7-DD6D-46BA-AE32-EAA6FCE0DB90}" type="pres">
      <dgm:prSet presAssocID="{1482F818-C12A-4BC8-89A8-7075A6128CC0}" presName="aSpace2" presStyleCnt="0"/>
      <dgm:spPr/>
    </dgm:pt>
    <dgm:pt modelId="{F8670114-28CF-4F5E-8928-C1A603A85166}" type="pres">
      <dgm:prSet presAssocID="{3902C00C-CEE3-415A-ADD9-1B1E872A0DA1}" presName="childNode" presStyleLbl="node1" presStyleIdx="2" presStyleCnt="26" custLinFactY="-94459" custLinFactNeighborX="-1" custLinFactNeighborY="-100000">
        <dgm:presLayoutVars>
          <dgm:bulletEnabled val="1"/>
        </dgm:presLayoutVars>
      </dgm:prSet>
      <dgm:spPr/>
    </dgm:pt>
    <dgm:pt modelId="{E486ECDD-1CEE-4B59-8E04-2F5BDB860F54}" type="pres">
      <dgm:prSet presAssocID="{3902C00C-CEE3-415A-ADD9-1B1E872A0DA1}" presName="aSpace2" presStyleCnt="0"/>
      <dgm:spPr/>
    </dgm:pt>
    <dgm:pt modelId="{B955DDB3-EC6D-4F89-8590-F53222B9509B}" type="pres">
      <dgm:prSet presAssocID="{AC1B2892-1DC7-4B12-8826-350FE5C265DB}" presName="childNode" presStyleLbl="node1" presStyleIdx="3" presStyleCnt="26" custLinFactY="-85177" custLinFactNeighborX="562" custLinFactNeighborY="-100000">
        <dgm:presLayoutVars>
          <dgm:bulletEnabled val="1"/>
        </dgm:presLayoutVars>
      </dgm:prSet>
      <dgm:spPr/>
    </dgm:pt>
    <dgm:pt modelId="{DBFB213F-7418-4257-A340-EC470B804611}" type="pres">
      <dgm:prSet presAssocID="{AC1B2892-1DC7-4B12-8826-350FE5C265DB}" presName="aSpace2" presStyleCnt="0"/>
      <dgm:spPr/>
    </dgm:pt>
    <dgm:pt modelId="{6987E665-588F-4613-B06C-44CB93FD0E86}" type="pres">
      <dgm:prSet presAssocID="{51565790-99C0-48BA-8F29-35DAB821BE12}" presName="childNode" presStyleLbl="node1" presStyleIdx="4" presStyleCnt="26" custLinFactY="-75894" custLinFactNeighborX="-561" custLinFactNeighborY="-100000">
        <dgm:presLayoutVars>
          <dgm:bulletEnabled val="1"/>
        </dgm:presLayoutVars>
      </dgm:prSet>
      <dgm:spPr/>
    </dgm:pt>
    <dgm:pt modelId="{B44AB6F2-9153-4013-813F-7B5CFB006470}" type="pres">
      <dgm:prSet presAssocID="{51565790-99C0-48BA-8F29-35DAB821BE12}" presName="aSpace2" presStyleCnt="0"/>
      <dgm:spPr/>
    </dgm:pt>
    <dgm:pt modelId="{C847BA51-31BE-46D1-B414-E21AB09779C1}" type="pres">
      <dgm:prSet presAssocID="{947C035F-A397-4963-8231-649F4801221D}" presName="childNode" presStyleLbl="node1" presStyleIdx="5" presStyleCnt="26" custLinFactY="-71252" custLinFactNeighborX="-562" custLinFactNeighborY="-100000">
        <dgm:presLayoutVars>
          <dgm:bulletEnabled val="1"/>
        </dgm:presLayoutVars>
      </dgm:prSet>
      <dgm:spPr/>
    </dgm:pt>
    <dgm:pt modelId="{EE0A8CC4-1E74-427E-B07F-2957A666D19C}" type="pres">
      <dgm:prSet presAssocID="{947C035F-A397-4963-8231-649F4801221D}" presName="aSpace2" presStyleCnt="0"/>
      <dgm:spPr/>
    </dgm:pt>
    <dgm:pt modelId="{9B5D442A-669F-45C9-9E38-128815F0A432}" type="pres">
      <dgm:prSet presAssocID="{FC21770B-EB7D-4D5A-B574-BA268D3255AB}" presName="childNode" presStyleLbl="node1" presStyleIdx="6" presStyleCnt="26" custLinFactY="-68159" custLinFactNeighborX="-1686" custLinFactNeighborY="-100000">
        <dgm:presLayoutVars>
          <dgm:bulletEnabled val="1"/>
        </dgm:presLayoutVars>
      </dgm:prSet>
      <dgm:spPr/>
    </dgm:pt>
    <dgm:pt modelId="{50693619-546D-436E-BE90-43C99AD89D1B}" type="pres">
      <dgm:prSet presAssocID="{FC21770B-EB7D-4D5A-B574-BA268D3255AB}" presName="aSpace2" presStyleCnt="0"/>
      <dgm:spPr/>
    </dgm:pt>
    <dgm:pt modelId="{3B950462-D08B-433F-8CA8-70272189E6D0}" type="pres">
      <dgm:prSet presAssocID="{BF9A6469-C4FE-4582-8520-3E27D9EC5750}" presName="childNode" presStyleLbl="node1" presStyleIdx="7" presStyleCnt="26" custLinFactY="-55782" custLinFactNeighborX="-2810" custLinFactNeighborY="-100000">
        <dgm:presLayoutVars>
          <dgm:bulletEnabled val="1"/>
        </dgm:presLayoutVars>
      </dgm:prSet>
      <dgm:spPr/>
    </dgm:pt>
    <dgm:pt modelId="{ED7164A8-F5F3-4E60-9B5D-358528C68560}" type="pres">
      <dgm:prSet presAssocID="{BF9A6469-C4FE-4582-8520-3E27D9EC5750}" presName="aSpace2" presStyleCnt="0"/>
      <dgm:spPr/>
    </dgm:pt>
    <dgm:pt modelId="{E903191F-B914-44EE-BBAD-C57E0F9F5FD0}" type="pres">
      <dgm:prSet presAssocID="{FF7EC073-9484-4D29-851B-51ECF2858E49}" presName="childNode" presStyleLbl="node1" presStyleIdx="8" presStyleCnt="26" custLinFactY="-46499" custLinFactNeighborX="-2248" custLinFactNeighborY="-100000">
        <dgm:presLayoutVars>
          <dgm:bulletEnabled val="1"/>
        </dgm:presLayoutVars>
      </dgm:prSet>
      <dgm:spPr/>
    </dgm:pt>
    <dgm:pt modelId="{4D605AA9-A614-474F-A5C8-8A6FFA179E34}" type="pres">
      <dgm:prSet presAssocID="{FF7EC073-9484-4D29-851B-51ECF2858E49}" presName="aSpace2" presStyleCnt="0"/>
      <dgm:spPr/>
    </dgm:pt>
    <dgm:pt modelId="{46F81185-9D33-4FB3-8ADA-8EBD0AE30AD0}" type="pres">
      <dgm:prSet presAssocID="{0313049C-DCE3-4EF7-BA25-FC84DC2A0370}" presName="childNode" presStyleLbl="node1" presStyleIdx="9" presStyleCnt="26" custLinFactY="-32576" custLinFactNeighborX="-1124" custLinFactNeighborY="-100000">
        <dgm:presLayoutVars>
          <dgm:bulletEnabled val="1"/>
        </dgm:presLayoutVars>
      </dgm:prSet>
      <dgm:spPr/>
    </dgm:pt>
    <dgm:pt modelId="{DDE9AAD9-7059-4F08-AE78-32CCAB90E846}" type="pres">
      <dgm:prSet presAssocID="{893B549E-1D2E-41D8-96E1-131C3B1190BA}" presName="aSpace" presStyleCnt="0"/>
      <dgm:spPr/>
    </dgm:pt>
    <dgm:pt modelId="{515D0518-940E-4DCE-897D-4A579A0857C5}" type="pres">
      <dgm:prSet presAssocID="{6F8FA45E-AD7C-4117-BB5F-3CE62EC612DE}" presName="compNode" presStyleCnt="0"/>
      <dgm:spPr/>
    </dgm:pt>
    <dgm:pt modelId="{56A3BC8C-0731-4799-8CF7-E2D4A21880EB}" type="pres">
      <dgm:prSet presAssocID="{6F8FA45E-AD7C-4117-BB5F-3CE62EC612DE}" presName="aNode" presStyleLbl="bgShp" presStyleIdx="1" presStyleCnt="4"/>
      <dgm:spPr/>
    </dgm:pt>
    <dgm:pt modelId="{21D79E3A-5E02-4280-AFC6-965E686DD016}" type="pres">
      <dgm:prSet presAssocID="{6F8FA45E-AD7C-4117-BB5F-3CE62EC612DE}" presName="textNode" presStyleLbl="bgShp" presStyleIdx="1" presStyleCnt="4"/>
      <dgm:spPr/>
    </dgm:pt>
    <dgm:pt modelId="{7E25ED37-59F9-4963-8B10-1CFEE56CF48F}" type="pres">
      <dgm:prSet presAssocID="{6F8FA45E-AD7C-4117-BB5F-3CE62EC612DE}" presName="compChildNode" presStyleCnt="0"/>
      <dgm:spPr/>
    </dgm:pt>
    <dgm:pt modelId="{4A46D99A-B3E6-46F0-AB23-1F9C29B59962}" type="pres">
      <dgm:prSet presAssocID="{6F8FA45E-AD7C-4117-BB5F-3CE62EC612DE}" presName="theInnerList" presStyleCnt="0"/>
      <dgm:spPr/>
    </dgm:pt>
    <dgm:pt modelId="{A66E6F0A-96DB-45AA-A35B-1A6C99D1DF81}" type="pres">
      <dgm:prSet presAssocID="{9D829AF3-0279-4949-901B-AC37C6206619}" presName="childNode" presStyleLbl="node1" presStyleIdx="10" presStyleCnt="26" custLinFactY="-88206" custLinFactNeighborX="-1686" custLinFactNeighborY="-100000">
        <dgm:presLayoutVars>
          <dgm:bulletEnabled val="1"/>
        </dgm:presLayoutVars>
      </dgm:prSet>
      <dgm:spPr/>
    </dgm:pt>
    <dgm:pt modelId="{9D824A7D-19BC-43D7-A926-4D7777A7D1F3}" type="pres">
      <dgm:prSet presAssocID="{9D829AF3-0279-4949-901B-AC37C6206619}" presName="aSpace2" presStyleCnt="0"/>
      <dgm:spPr/>
    </dgm:pt>
    <dgm:pt modelId="{25AC82BB-1E67-45EF-B40E-F7F7EB13433D}" type="pres">
      <dgm:prSet presAssocID="{FB270AF2-BC2A-4691-A692-9D543B9AD0B3}" presName="childNode" presStyleLbl="node1" presStyleIdx="11" presStyleCnt="26" custLinFactY="-78340" custLinFactNeighborX="-2247" custLinFactNeighborY="-100000">
        <dgm:presLayoutVars>
          <dgm:bulletEnabled val="1"/>
        </dgm:presLayoutVars>
      </dgm:prSet>
      <dgm:spPr/>
    </dgm:pt>
    <dgm:pt modelId="{6AEDAF28-35D7-4594-9244-98C9985D0F78}" type="pres">
      <dgm:prSet presAssocID="{FB270AF2-BC2A-4691-A692-9D543B9AD0B3}" presName="aSpace2" presStyleCnt="0"/>
      <dgm:spPr/>
    </dgm:pt>
    <dgm:pt modelId="{C4268063-9220-453D-9666-6884283FFD01}" type="pres">
      <dgm:prSet presAssocID="{B323EB80-4831-4222-A158-7BF64F685286}" presName="childNode" presStyleLbl="node1" presStyleIdx="12" presStyleCnt="26" custLinFactY="-62308" custLinFactNeighborY="-100000">
        <dgm:presLayoutVars>
          <dgm:bulletEnabled val="1"/>
        </dgm:presLayoutVars>
      </dgm:prSet>
      <dgm:spPr/>
    </dgm:pt>
    <dgm:pt modelId="{403A39B5-B820-4D24-862E-8D4367BFC06D}" type="pres">
      <dgm:prSet presAssocID="{B323EB80-4831-4222-A158-7BF64F685286}" presName="aSpace2" presStyleCnt="0"/>
      <dgm:spPr/>
    </dgm:pt>
    <dgm:pt modelId="{E78A6123-7277-4BF2-BA19-5BF5DD2CB6FE}" type="pres">
      <dgm:prSet presAssocID="{35C4CA07-73B1-471A-8763-371325E55032}" presName="childNode" presStyleLbl="node1" presStyleIdx="13" presStyleCnt="26" custLinFactY="-51209" custLinFactNeighborX="-562" custLinFactNeighborY="-100000">
        <dgm:presLayoutVars>
          <dgm:bulletEnabled val="1"/>
        </dgm:presLayoutVars>
      </dgm:prSet>
      <dgm:spPr/>
    </dgm:pt>
    <dgm:pt modelId="{570C364E-2D8B-45DA-82C2-E2F06A29B9C7}" type="pres">
      <dgm:prSet presAssocID="{35C4CA07-73B1-471A-8763-371325E55032}" presName="aSpace2" presStyleCnt="0"/>
      <dgm:spPr/>
    </dgm:pt>
    <dgm:pt modelId="{1188D7B2-34EC-499E-890E-8058A0042053}" type="pres">
      <dgm:prSet presAssocID="{F4C9DFDE-8BFB-46B4-BC9B-E8CB5A8341AC}" presName="childNode" presStyleLbl="node1" presStyleIdx="14" presStyleCnt="26" custLinFactY="-47510" custLinFactNeighborX="2248" custLinFactNeighborY="-100000">
        <dgm:presLayoutVars>
          <dgm:bulletEnabled val="1"/>
        </dgm:presLayoutVars>
      </dgm:prSet>
      <dgm:spPr/>
    </dgm:pt>
    <dgm:pt modelId="{553AD09E-AA89-474E-BA5D-84E895B70B43}" type="pres">
      <dgm:prSet presAssocID="{F4C9DFDE-8BFB-46B4-BC9B-E8CB5A8341AC}" presName="aSpace2" presStyleCnt="0"/>
      <dgm:spPr/>
    </dgm:pt>
    <dgm:pt modelId="{B0AEA202-1D93-4B2D-A000-1814676CC631}" type="pres">
      <dgm:prSet presAssocID="{C08E7F47-FEFF-4D44-959B-9080715AE2C1}" presName="childNode" presStyleLbl="node1" presStyleIdx="15" presStyleCnt="26" custLinFactY="-36410" custLinFactNeighborX="2248" custLinFactNeighborY="-100000">
        <dgm:presLayoutVars>
          <dgm:bulletEnabled val="1"/>
        </dgm:presLayoutVars>
      </dgm:prSet>
      <dgm:spPr/>
    </dgm:pt>
    <dgm:pt modelId="{37B80638-0294-4B7A-B54C-8B80F7A7C6C7}" type="pres">
      <dgm:prSet presAssocID="{C08E7F47-FEFF-4D44-959B-9080715AE2C1}" presName="aSpace2" presStyleCnt="0"/>
      <dgm:spPr/>
    </dgm:pt>
    <dgm:pt modelId="{4A891429-FA15-4C2C-89A1-5A7E2DB6BFFA}" type="pres">
      <dgm:prSet presAssocID="{EB7ECA7C-DF46-4267-9C79-90160A218590}" presName="childNode" presStyleLbl="node1" presStyleIdx="16" presStyleCnt="26" custLinFactY="-29011" custLinFactNeighborX="3371" custLinFactNeighborY="-100000">
        <dgm:presLayoutVars>
          <dgm:bulletEnabled val="1"/>
        </dgm:presLayoutVars>
      </dgm:prSet>
      <dgm:spPr/>
    </dgm:pt>
    <dgm:pt modelId="{6D3F1DF6-FC59-47EB-8431-B0C3F23F4E03}" type="pres">
      <dgm:prSet presAssocID="{EB7ECA7C-DF46-4267-9C79-90160A218590}" presName="aSpace2" presStyleCnt="0"/>
      <dgm:spPr/>
    </dgm:pt>
    <dgm:pt modelId="{8F5A6D7F-E829-4A6B-B730-85A7EC11965A}" type="pres">
      <dgm:prSet presAssocID="{684865E3-F06D-4D63-8584-45C2148C9D4E}" presName="childNode" presStyleLbl="node1" presStyleIdx="17" presStyleCnt="26" custLinFactY="-15446" custLinFactNeighborX="3372" custLinFactNeighborY="-100000">
        <dgm:presLayoutVars>
          <dgm:bulletEnabled val="1"/>
        </dgm:presLayoutVars>
      </dgm:prSet>
      <dgm:spPr/>
    </dgm:pt>
    <dgm:pt modelId="{22A2FB48-CCAC-42E6-9B92-BCF5A37F8CE7}" type="pres">
      <dgm:prSet presAssocID="{6F8FA45E-AD7C-4117-BB5F-3CE62EC612DE}" presName="aSpace" presStyleCnt="0"/>
      <dgm:spPr/>
    </dgm:pt>
    <dgm:pt modelId="{020D9A4E-0772-41D7-A43A-4C7088507775}" type="pres">
      <dgm:prSet presAssocID="{308407B6-3A3C-405C-A675-5EA9A5FD3755}" presName="compNode" presStyleCnt="0"/>
      <dgm:spPr/>
    </dgm:pt>
    <dgm:pt modelId="{BA06F6DD-9173-40AC-80CB-2E1A2E70227D}" type="pres">
      <dgm:prSet presAssocID="{308407B6-3A3C-405C-A675-5EA9A5FD3755}" presName="aNode" presStyleLbl="bgShp" presStyleIdx="2" presStyleCnt="4"/>
      <dgm:spPr/>
    </dgm:pt>
    <dgm:pt modelId="{4D4D96EA-54AD-4357-A18C-460C43F55097}" type="pres">
      <dgm:prSet presAssocID="{308407B6-3A3C-405C-A675-5EA9A5FD3755}" presName="textNode" presStyleLbl="bgShp" presStyleIdx="2" presStyleCnt="4"/>
      <dgm:spPr/>
    </dgm:pt>
    <dgm:pt modelId="{8D40E952-14CF-4FF3-B334-6520410820EC}" type="pres">
      <dgm:prSet presAssocID="{308407B6-3A3C-405C-A675-5EA9A5FD3755}" presName="compChildNode" presStyleCnt="0"/>
      <dgm:spPr/>
    </dgm:pt>
    <dgm:pt modelId="{308A6FE8-A440-40BD-AB63-2A1050C88637}" type="pres">
      <dgm:prSet presAssocID="{308407B6-3A3C-405C-A675-5EA9A5FD3755}" presName="theInnerList" presStyleCnt="0"/>
      <dgm:spPr/>
    </dgm:pt>
    <dgm:pt modelId="{25CF7D36-2A63-4C0B-BB95-4B934556EE5E}" type="pres">
      <dgm:prSet presAssocID="{9AA4A837-53DC-4937-A16A-713F0153AC10}" presName="childNode" presStyleLbl="node1" presStyleIdx="18" presStyleCnt="26" custLinFactY="-58160" custLinFactNeighborX="2810" custLinFactNeighborY="-100000">
        <dgm:presLayoutVars>
          <dgm:bulletEnabled val="1"/>
        </dgm:presLayoutVars>
      </dgm:prSet>
      <dgm:spPr/>
    </dgm:pt>
    <dgm:pt modelId="{DEEF0C62-F835-47F0-A04C-5E0F52EE376E}" type="pres">
      <dgm:prSet presAssocID="{9AA4A837-53DC-4937-A16A-713F0153AC10}" presName="aSpace2" presStyleCnt="0"/>
      <dgm:spPr/>
    </dgm:pt>
    <dgm:pt modelId="{DFC68D9C-E394-4D18-A0FB-610F6DCF7300}" type="pres">
      <dgm:prSet presAssocID="{D37A8AFA-78DD-45AD-BB56-EE58DFED4FA9}" presName="childNode" presStyleLbl="node1" presStyleIdx="19" presStyleCnt="26" custLinFactY="-47129" custLinFactNeighborX="1123" custLinFactNeighborY="-100000">
        <dgm:presLayoutVars>
          <dgm:bulletEnabled val="1"/>
        </dgm:presLayoutVars>
      </dgm:prSet>
      <dgm:spPr/>
    </dgm:pt>
    <dgm:pt modelId="{557B5864-2209-467F-A8CE-EA5E0C78E489}" type="pres">
      <dgm:prSet presAssocID="{D37A8AFA-78DD-45AD-BB56-EE58DFED4FA9}" presName="aSpace2" presStyleCnt="0"/>
      <dgm:spPr/>
    </dgm:pt>
    <dgm:pt modelId="{AE87D2F9-AD5A-4EEF-955F-938E0F28796E}" type="pres">
      <dgm:prSet presAssocID="{7CF61A70-D842-4FAF-B7C2-642B63242DCA}" presName="childNode" presStyleLbl="node1" presStyleIdx="20" presStyleCnt="26" custLinFactY="-40694" custLinFactNeighborX="-562" custLinFactNeighborY="-100000">
        <dgm:presLayoutVars>
          <dgm:bulletEnabled val="1"/>
        </dgm:presLayoutVars>
      </dgm:prSet>
      <dgm:spPr/>
    </dgm:pt>
    <dgm:pt modelId="{EB0AE0C0-1171-4009-A589-438C53B4F2ED}" type="pres">
      <dgm:prSet presAssocID="{7CF61A70-D842-4FAF-B7C2-642B63242DCA}" presName="aSpace2" presStyleCnt="0"/>
      <dgm:spPr/>
    </dgm:pt>
    <dgm:pt modelId="{5917DA46-8FFC-457B-8454-73E3BA4618B1}" type="pres">
      <dgm:prSet presAssocID="{DA7250D6-9FEE-4347-A986-E7AD4481C01E}" presName="childNode" presStyleLbl="node1" presStyleIdx="21" presStyleCnt="26" custLinFactY="-28742" custLinFactNeighborX="562" custLinFactNeighborY="-100000">
        <dgm:presLayoutVars>
          <dgm:bulletEnabled val="1"/>
        </dgm:presLayoutVars>
      </dgm:prSet>
      <dgm:spPr/>
    </dgm:pt>
    <dgm:pt modelId="{9F6A9720-9D4F-41E1-AE2A-D8AC165BD3B5}" type="pres">
      <dgm:prSet presAssocID="{DA7250D6-9FEE-4347-A986-E7AD4481C01E}" presName="aSpace2" presStyleCnt="0"/>
      <dgm:spPr/>
    </dgm:pt>
    <dgm:pt modelId="{8C7F6439-EFBD-4F9A-A508-62FAC9E9410F}" type="pres">
      <dgm:prSet presAssocID="{B94A0C9A-A786-45E0-8865-AE483C11FE89}" presName="childNode" presStyleLbl="node1" presStyleIdx="22" presStyleCnt="26" custLinFactY="-21388" custLinFactNeighborX="-1123" custLinFactNeighborY="-100000">
        <dgm:presLayoutVars>
          <dgm:bulletEnabled val="1"/>
        </dgm:presLayoutVars>
      </dgm:prSet>
      <dgm:spPr/>
    </dgm:pt>
    <dgm:pt modelId="{F9CCBFDB-29DB-4FE4-A12F-7A30F55230CA}" type="pres">
      <dgm:prSet presAssocID="{B94A0C9A-A786-45E0-8865-AE483C11FE89}" presName="aSpace2" presStyleCnt="0"/>
      <dgm:spPr/>
    </dgm:pt>
    <dgm:pt modelId="{9C59B72D-11A9-412F-AC8D-1ECA4738F7E3}" type="pres">
      <dgm:prSet presAssocID="{C637944A-70AC-495C-8C31-6B2B6A2C1ABE}" presName="childNode" presStyleLbl="node1" presStyleIdx="23" presStyleCnt="26" custLinFactY="-7598" custLinFactNeighborX="-562" custLinFactNeighborY="-100000">
        <dgm:presLayoutVars>
          <dgm:bulletEnabled val="1"/>
        </dgm:presLayoutVars>
      </dgm:prSet>
      <dgm:spPr/>
    </dgm:pt>
    <dgm:pt modelId="{C67DF728-C6A6-4DC6-B698-5B9144AB4486}" type="pres">
      <dgm:prSet presAssocID="{308407B6-3A3C-405C-A675-5EA9A5FD3755}" presName="aSpace" presStyleCnt="0"/>
      <dgm:spPr/>
    </dgm:pt>
    <dgm:pt modelId="{3983482E-9531-48FD-B67C-22017B131747}" type="pres">
      <dgm:prSet presAssocID="{856BD624-5E30-45BD-B4E2-5D33730ED9F4}" presName="compNode" presStyleCnt="0"/>
      <dgm:spPr/>
    </dgm:pt>
    <dgm:pt modelId="{7DD543AA-CED2-4D39-A6B7-37CE84B57466}" type="pres">
      <dgm:prSet presAssocID="{856BD624-5E30-45BD-B4E2-5D33730ED9F4}" presName="aNode" presStyleLbl="bgShp" presStyleIdx="3" presStyleCnt="4"/>
      <dgm:spPr/>
    </dgm:pt>
    <dgm:pt modelId="{BAE24CEB-2055-4308-8BD4-F3E5E1A90818}" type="pres">
      <dgm:prSet presAssocID="{856BD624-5E30-45BD-B4E2-5D33730ED9F4}" presName="textNode" presStyleLbl="bgShp" presStyleIdx="3" presStyleCnt="4"/>
      <dgm:spPr/>
    </dgm:pt>
    <dgm:pt modelId="{C7EC1328-21D2-424E-A83C-DD6CF676A711}" type="pres">
      <dgm:prSet presAssocID="{856BD624-5E30-45BD-B4E2-5D33730ED9F4}" presName="compChildNode" presStyleCnt="0"/>
      <dgm:spPr/>
    </dgm:pt>
    <dgm:pt modelId="{9FFFF625-430E-4472-A545-8ABF0B86A3EA}" type="pres">
      <dgm:prSet presAssocID="{856BD624-5E30-45BD-B4E2-5D33730ED9F4}" presName="theInnerList" presStyleCnt="0"/>
      <dgm:spPr/>
    </dgm:pt>
    <dgm:pt modelId="{51023952-42F1-4B5F-A695-AA07DE48376C}" type="pres">
      <dgm:prSet presAssocID="{620B8B74-915B-40ED-9E4A-D69321E5AABD}" presName="childNode" presStyleLbl="node1" presStyleIdx="24" presStyleCnt="26">
        <dgm:presLayoutVars>
          <dgm:bulletEnabled val="1"/>
        </dgm:presLayoutVars>
      </dgm:prSet>
      <dgm:spPr/>
    </dgm:pt>
    <dgm:pt modelId="{FC588461-6CEE-4549-A085-31D7227FCAFA}" type="pres">
      <dgm:prSet presAssocID="{620B8B74-915B-40ED-9E4A-D69321E5AABD}" presName="aSpace2" presStyleCnt="0"/>
      <dgm:spPr/>
    </dgm:pt>
    <dgm:pt modelId="{5F73B92C-A305-448C-8487-25467C25BC36}" type="pres">
      <dgm:prSet presAssocID="{5FE74EB2-5B44-4215-A26D-69A2A3002BF5}" presName="childNode" presStyleLbl="node1" presStyleIdx="25" presStyleCnt="26">
        <dgm:presLayoutVars>
          <dgm:bulletEnabled val="1"/>
        </dgm:presLayoutVars>
      </dgm:prSet>
      <dgm:spPr/>
    </dgm:pt>
  </dgm:ptLst>
  <dgm:cxnLst>
    <dgm:cxn modelId="{1E92EF14-0C89-4BAA-8F0F-F5639E5A9BD4}" srcId="{1B3F4A59-6234-474A-B9AC-C507F37C88F5}" destId="{893B549E-1D2E-41D8-96E1-131C3B1190BA}" srcOrd="0" destOrd="0" parTransId="{224B91B6-33EB-49B5-BC38-D18528887197}" sibTransId="{2DC94EB4-19F1-43F4-B56C-DD72596AAE4D}"/>
    <dgm:cxn modelId="{422A3F15-5FDC-49D2-8DDE-765B735E88BA}" type="presOf" srcId="{620B8B74-915B-40ED-9E4A-D69321E5AABD}" destId="{51023952-42F1-4B5F-A695-AA07DE48376C}" srcOrd="0" destOrd="0" presId="urn:microsoft.com/office/officeart/2005/8/layout/lProcess2"/>
    <dgm:cxn modelId="{3AFB7517-2479-440B-B5BD-F1ED70DCA9C3}" type="presOf" srcId="{893B549E-1D2E-41D8-96E1-131C3B1190BA}" destId="{46347806-AD1D-4CDC-A2DD-CC1863D3B8F3}" srcOrd="0" destOrd="0" presId="urn:microsoft.com/office/officeart/2005/8/layout/lProcess2"/>
    <dgm:cxn modelId="{62C09119-0C2C-4C37-976E-7AA185BBFB20}" srcId="{308407B6-3A3C-405C-A675-5EA9A5FD3755}" destId="{7CF61A70-D842-4FAF-B7C2-642B63242DCA}" srcOrd="2" destOrd="0" parTransId="{CC612CCD-88C6-4465-B13A-E658194DA053}" sibTransId="{09E58B28-4C1E-49E0-8F07-4BA8C8B9915C}"/>
    <dgm:cxn modelId="{DFA2E21B-FB8D-4975-828E-1DFEC9E80D42}" type="presOf" srcId="{C08E7F47-FEFF-4D44-959B-9080715AE2C1}" destId="{B0AEA202-1D93-4B2D-A000-1814676CC631}" srcOrd="0" destOrd="0" presId="urn:microsoft.com/office/officeart/2005/8/layout/lProcess2"/>
    <dgm:cxn modelId="{012F4E22-0FD4-4D49-BDA1-29B87858DF30}" srcId="{6F8FA45E-AD7C-4117-BB5F-3CE62EC612DE}" destId="{9D829AF3-0279-4949-901B-AC37C6206619}" srcOrd="0" destOrd="0" parTransId="{D6039B13-E8EA-4AA1-80B9-22ABE225D2F5}" sibTransId="{47B60DC3-27BF-44EA-A969-582C69F7AE26}"/>
    <dgm:cxn modelId="{2DD9B823-A03B-4F53-8706-6CDE94C54C45}" type="presOf" srcId="{AC1B2892-1DC7-4B12-8826-350FE5C265DB}" destId="{B955DDB3-EC6D-4F89-8590-F53222B9509B}" srcOrd="0" destOrd="0" presId="urn:microsoft.com/office/officeart/2005/8/layout/lProcess2"/>
    <dgm:cxn modelId="{5C03372D-5D14-4ECB-BC8E-08159E6B311D}" srcId="{308407B6-3A3C-405C-A675-5EA9A5FD3755}" destId="{DA7250D6-9FEE-4347-A986-E7AD4481C01E}" srcOrd="3" destOrd="0" parTransId="{0A62F651-75E7-4728-A1EE-AD57FF1C21BD}" sibTransId="{D8DEE182-2DA9-4B77-A8E5-13652A5A76CF}"/>
    <dgm:cxn modelId="{226E1030-792C-4F0B-A00C-407B49A89ADE}" srcId="{6F8FA45E-AD7C-4117-BB5F-3CE62EC612DE}" destId="{35C4CA07-73B1-471A-8763-371325E55032}" srcOrd="3" destOrd="0" parTransId="{0779474C-9503-45C6-BA15-289316DFE87D}" sibTransId="{CDB91173-7336-4DE9-A131-1AA61E22AD52}"/>
    <dgm:cxn modelId="{C2FDE032-2680-48CB-BD3D-F5DC0387083A}" srcId="{308407B6-3A3C-405C-A675-5EA9A5FD3755}" destId="{D37A8AFA-78DD-45AD-BB56-EE58DFED4FA9}" srcOrd="1" destOrd="0" parTransId="{71933188-7079-4F6F-8986-0213348FF6CE}" sibTransId="{ED332BBA-1CE6-4F15-965B-5B44AEC309E9}"/>
    <dgm:cxn modelId="{22632434-63B6-4268-A469-C6A4F4834220}" srcId="{6F8FA45E-AD7C-4117-BB5F-3CE62EC612DE}" destId="{684865E3-F06D-4D63-8584-45C2148C9D4E}" srcOrd="7" destOrd="0" parTransId="{88C96BB1-2339-40B6-9B0C-264879511B41}" sibTransId="{D39AD3C4-2884-49D8-B3EF-EB551930D9CD}"/>
    <dgm:cxn modelId="{99D32E37-E4A1-47BB-81D4-4E64F5254C6F}" type="presOf" srcId="{F4C9DFDE-8BFB-46B4-BC9B-E8CB5A8341AC}" destId="{1188D7B2-34EC-499E-890E-8058A0042053}" srcOrd="0" destOrd="0" presId="urn:microsoft.com/office/officeart/2005/8/layout/lProcess2"/>
    <dgm:cxn modelId="{0822193A-AE57-4A7E-A1C6-BB73A5612772}" type="presOf" srcId="{7CF61A70-D842-4FAF-B7C2-642B63242DCA}" destId="{AE87D2F9-AD5A-4EEF-955F-938E0F28796E}" srcOrd="0" destOrd="0" presId="urn:microsoft.com/office/officeart/2005/8/layout/lProcess2"/>
    <dgm:cxn modelId="{BDE5623A-CA36-472E-B533-A349865B5081}" srcId="{6F8FA45E-AD7C-4117-BB5F-3CE62EC612DE}" destId="{F4C9DFDE-8BFB-46B4-BC9B-E8CB5A8341AC}" srcOrd="4" destOrd="0" parTransId="{F18C9DAC-551C-49E3-8AEA-8E4298FF1755}" sibTransId="{92CB26B8-B8FE-42EE-8BB2-6884DFA50A68}"/>
    <dgm:cxn modelId="{EA7AE45B-C010-47FD-8C84-525CAA69B50F}" srcId="{6F8FA45E-AD7C-4117-BB5F-3CE62EC612DE}" destId="{EB7ECA7C-DF46-4267-9C79-90160A218590}" srcOrd="6" destOrd="0" parTransId="{81E73B78-0ACD-4703-BF76-980AD31BB982}" sibTransId="{3B3426A3-F07A-466C-BC95-4C792E786CC7}"/>
    <dgm:cxn modelId="{48069F5F-8D54-44FF-86E7-045B19A364B7}" type="presOf" srcId="{D37A8AFA-78DD-45AD-BB56-EE58DFED4FA9}" destId="{DFC68D9C-E394-4D18-A0FB-610F6DCF7300}" srcOrd="0" destOrd="0" presId="urn:microsoft.com/office/officeart/2005/8/layout/lProcess2"/>
    <dgm:cxn modelId="{11F07F60-FD67-4B6A-839C-396891CA3673}" type="presOf" srcId="{6F8FA45E-AD7C-4117-BB5F-3CE62EC612DE}" destId="{56A3BC8C-0731-4799-8CF7-E2D4A21880EB}" srcOrd="0" destOrd="0" presId="urn:microsoft.com/office/officeart/2005/8/layout/lProcess2"/>
    <dgm:cxn modelId="{F4AAA260-C625-482C-A808-EDBBB0870900}" srcId="{6F8FA45E-AD7C-4117-BB5F-3CE62EC612DE}" destId="{B323EB80-4831-4222-A158-7BF64F685286}" srcOrd="2" destOrd="0" parTransId="{D3E1ED1E-74CB-4522-8317-2A2E9BFA1B4F}" sibTransId="{E9C2770A-678B-405C-9648-3022391E9EB4}"/>
    <dgm:cxn modelId="{7E77A360-8367-43F1-8405-E76859CAD324}" type="presOf" srcId="{684865E3-F06D-4D63-8584-45C2148C9D4E}" destId="{8F5A6D7F-E829-4A6B-B730-85A7EC11965A}" srcOrd="0" destOrd="0" presId="urn:microsoft.com/office/officeart/2005/8/layout/lProcess2"/>
    <dgm:cxn modelId="{88E31562-4D22-429A-B886-771A1527B90C}" type="presOf" srcId="{947C035F-A397-4963-8231-649F4801221D}" destId="{C847BA51-31BE-46D1-B414-E21AB09779C1}" srcOrd="0" destOrd="0" presId="urn:microsoft.com/office/officeart/2005/8/layout/lProcess2"/>
    <dgm:cxn modelId="{424C1064-5BD0-4419-947C-CAF6B2D98195}" srcId="{893B549E-1D2E-41D8-96E1-131C3B1190BA}" destId="{BF9A6469-C4FE-4582-8520-3E27D9EC5750}" srcOrd="7" destOrd="0" parTransId="{B78B4207-877C-4472-9BFE-2D34D9A5D769}" sibTransId="{1609D880-AEAD-4B22-8C1E-DB436A4CF150}"/>
    <dgm:cxn modelId="{26B7AD69-5F59-4F65-8787-C3D785C9DCFC}" type="presOf" srcId="{35C4CA07-73B1-471A-8763-371325E55032}" destId="{E78A6123-7277-4BF2-BA19-5BF5DD2CB6FE}" srcOrd="0" destOrd="0" presId="urn:microsoft.com/office/officeart/2005/8/layout/lProcess2"/>
    <dgm:cxn modelId="{FA53BE52-30DD-4599-8756-8EC8F319E96B}" srcId="{1B3F4A59-6234-474A-B9AC-C507F37C88F5}" destId="{308407B6-3A3C-405C-A675-5EA9A5FD3755}" srcOrd="2" destOrd="0" parTransId="{600F58DB-FCE7-4030-B297-09A4854A1071}" sibTransId="{9BD6C67D-4B4B-49F6-8832-7E9CA04169DE}"/>
    <dgm:cxn modelId="{F3D23355-11F8-4F13-8C84-157D89C39801}" type="presOf" srcId="{FB270AF2-BC2A-4691-A692-9D543B9AD0B3}" destId="{25AC82BB-1E67-45EF-B40E-F7F7EB13433D}" srcOrd="0" destOrd="0" presId="urn:microsoft.com/office/officeart/2005/8/layout/lProcess2"/>
    <dgm:cxn modelId="{E7BD9255-B3D8-49E4-A457-BFCDA0AE9B36}" srcId="{893B549E-1D2E-41D8-96E1-131C3B1190BA}" destId="{259A7E0E-E173-45DD-80DA-F46A4882D644}" srcOrd="0" destOrd="0" parTransId="{F891B4C0-7290-4721-A047-7A15AB805187}" sibTransId="{6D8EEE2D-44CF-4DF6-8347-48D57803C918}"/>
    <dgm:cxn modelId="{3AAFED75-40FB-4E0F-B073-3C9B5A3FE853}" type="presOf" srcId="{856BD624-5E30-45BD-B4E2-5D33730ED9F4}" destId="{BAE24CEB-2055-4308-8BD4-F3E5E1A90818}" srcOrd="1" destOrd="0" presId="urn:microsoft.com/office/officeart/2005/8/layout/lProcess2"/>
    <dgm:cxn modelId="{EBAEF157-1D14-4943-94C0-8A0BD81D07D9}" type="presOf" srcId="{308407B6-3A3C-405C-A675-5EA9A5FD3755}" destId="{BA06F6DD-9173-40AC-80CB-2E1A2E70227D}" srcOrd="0" destOrd="0" presId="urn:microsoft.com/office/officeart/2005/8/layout/lProcess2"/>
    <dgm:cxn modelId="{80F96378-78F2-4B7B-B48C-875BD6C9D5EA}" type="presOf" srcId="{51565790-99C0-48BA-8F29-35DAB821BE12}" destId="{6987E665-588F-4613-B06C-44CB93FD0E86}" srcOrd="0" destOrd="0" presId="urn:microsoft.com/office/officeart/2005/8/layout/lProcess2"/>
    <dgm:cxn modelId="{7A3F6878-2AF1-4C66-8CD9-BF905E2FCEF5}" type="presOf" srcId="{308407B6-3A3C-405C-A675-5EA9A5FD3755}" destId="{4D4D96EA-54AD-4357-A18C-460C43F55097}" srcOrd="1" destOrd="0" presId="urn:microsoft.com/office/officeart/2005/8/layout/lProcess2"/>
    <dgm:cxn modelId="{B1482B5A-0D29-4701-A084-1F1A2EBB6CAD}" srcId="{6F8FA45E-AD7C-4117-BB5F-3CE62EC612DE}" destId="{FB270AF2-BC2A-4691-A692-9D543B9AD0B3}" srcOrd="1" destOrd="0" parTransId="{1D011912-81B2-4F49-9AF3-ED1945D02CA9}" sibTransId="{2FEFB259-17D7-4354-AED5-0D67FC0235F6}"/>
    <dgm:cxn modelId="{F1F9967A-3E72-4931-A332-1F03370077D4}" type="presOf" srcId="{1B3F4A59-6234-474A-B9AC-C507F37C88F5}" destId="{126408F8-02FB-4D8D-8433-938A99A6DD20}" srcOrd="0" destOrd="0" presId="urn:microsoft.com/office/officeart/2005/8/layout/lProcess2"/>
    <dgm:cxn modelId="{9C216C7C-373D-4613-8EE7-F62AAEB71ECE}" srcId="{856BD624-5E30-45BD-B4E2-5D33730ED9F4}" destId="{620B8B74-915B-40ED-9E4A-D69321E5AABD}" srcOrd="0" destOrd="0" parTransId="{AA6DF3BC-D7FE-4E20-9746-9BB2FBF2DB44}" sibTransId="{4FC88B55-DAC6-4C27-9D4E-AAB764A2693B}"/>
    <dgm:cxn modelId="{8E028581-25A7-44AA-AEE6-B1D15D5C5F24}" type="presOf" srcId="{C637944A-70AC-495C-8C31-6B2B6A2C1ABE}" destId="{9C59B72D-11A9-412F-AC8D-1ECA4738F7E3}" srcOrd="0" destOrd="0" presId="urn:microsoft.com/office/officeart/2005/8/layout/lProcess2"/>
    <dgm:cxn modelId="{ABDEEF89-7FF6-4E4B-92C0-68BB84A13039}" type="presOf" srcId="{FC21770B-EB7D-4D5A-B574-BA268D3255AB}" destId="{9B5D442A-669F-45C9-9E38-128815F0A432}" srcOrd="0" destOrd="0" presId="urn:microsoft.com/office/officeart/2005/8/layout/lProcess2"/>
    <dgm:cxn modelId="{F87CBB8A-EBAD-485C-A753-479FE6861DF4}" type="presOf" srcId="{B94A0C9A-A786-45E0-8865-AE483C11FE89}" destId="{8C7F6439-EFBD-4F9A-A508-62FAC9E9410F}" srcOrd="0" destOrd="0" presId="urn:microsoft.com/office/officeart/2005/8/layout/lProcess2"/>
    <dgm:cxn modelId="{292A5B92-0FF4-49A6-BBBC-8E3DCA860A13}" srcId="{856BD624-5E30-45BD-B4E2-5D33730ED9F4}" destId="{5FE74EB2-5B44-4215-A26D-69A2A3002BF5}" srcOrd="1" destOrd="0" parTransId="{16DB4493-2FFA-42D9-86B2-9EFB441BFE8C}" sibTransId="{6D0BD74E-E92F-4F3F-97FE-0A2C496390F7}"/>
    <dgm:cxn modelId="{B13B2293-125A-458B-9954-7E6764DA55DD}" srcId="{893B549E-1D2E-41D8-96E1-131C3B1190BA}" destId="{AC1B2892-1DC7-4B12-8826-350FE5C265DB}" srcOrd="3" destOrd="0" parTransId="{D4677D80-C302-4009-BBCC-1B6123C11213}" sibTransId="{66CA44A3-9303-409A-AFF8-56456E6443CE}"/>
    <dgm:cxn modelId="{59303195-B928-4B69-8BB1-60B0EB7B2834}" type="presOf" srcId="{856BD624-5E30-45BD-B4E2-5D33730ED9F4}" destId="{7DD543AA-CED2-4D39-A6B7-37CE84B57466}" srcOrd="0" destOrd="0" presId="urn:microsoft.com/office/officeart/2005/8/layout/lProcess2"/>
    <dgm:cxn modelId="{B918279F-655E-48BE-B468-1C8533EC12AF}" type="presOf" srcId="{5FE74EB2-5B44-4215-A26D-69A2A3002BF5}" destId="{5F73B92C-A305-448C-8487-25467C25BC36}" srcOrd="0" destOrd="0" presId="urn:microsoft.com/office/officeart/2005/8/layout/lProcess2"/>
    <dgm:cxn modelId="{42E832A5-B19D-4D7F-B926-B46A974230C3}" type="presOf" srcId="{DA7250D6-9FEE-4347-A986-E7AD4481C01E}" destId="{5917DA46-8FFC-457B-8454-73E3BA4618B1}" srcOrd="0" destOrd="0" presId="urn:microsoft.com/office/officeart/2005/8/layout/lProcess2"/>
    <dgm:cxn modelId="{018415A6-FDF5-4046-A915-F2FAFD34463B}" type="presOf" srcId="{3902C00C-CEE3-415A-ADD9-1B1E872A0DA1}" destId="{F8670114-28CF-4F5E-8928-C1A603A85166}" srcOrd="0" destOrd="0" presId="urn:microsoft.com/office/officeart/2005/8/layout/lProcess2"/>
    <dgm:cxn modelId="{D77FB1A8-DECA-4462-8139-D6BD2768395B}" type="presOf" srcId="{9AA4A837-53DC-4937-A16A-713F0153AC10}" destId="{25CF7D36-2A63-4C0B-BB95-4B934556EE5E}" srcOrd="0" destOrd="0" presId="urn:microsoft.com/office/officeart/2005/8/layout/lProcess2"/>
    <dgm:cxn modelId="{8827CCA8-7C58-4A8F-B4B7-45D1D41F194E}" type="presOf" srcId="{EB7ECA7C-DF46-4267-9C79-90160A218590}" destId="{4A891429-FA15-4C2C-89A1-5A7E2DB6BFFA}" srcOrd="0" destOrd="0" presId="urn:microsoft.com/office/officeart/2005/8/layout/lProcess2"/>
    <dgm:cxn modelId="{16E586AC-5925-464F-A7B7-FBDA02D59A3E}" type="presOf" srcId="{BF9A6469-C4FE-4582-8520-3E27D9EC5750}" destId="{3B950462-D08B-433F-8CA8-70272189E6D0}" srcOrd="0" destOrd="0" presId="urn:microsoft.com/office/officeart/2005/8/layout/lProcess2"/>
    <dgm:cxn modelId="{5B4D12B2-0C9A-4936-A43B-771D2EAF2D95}" srcId="{308407B6-3A3C-405C-A675-5EA9A5FD3755}" destId="{C637944A-70AC-495C-8C31-6B2B6A2C1ABE}" srcOrd="5" destOrd="0" parTransId="{4204D5EC-ED58-4997-9B13-546233B32E8A}" sibTransId="{3FCBA16D-1A96-4E1E-80DB-257E352C6D87}"/>
    <dgm:cxn modelId="{CE296BB6-0C2E-4424-A0E4-9D08D802EC62}" srcId="{893B549E-1D2E-41D8-96E1-131C3B1190BA}" destId="{1482F818-C12A-4BC8-89A8-7075A6128CC0}" srcOrd="1" destOrd="0" parTransId="{35CBE8E4-6AD3-4EFE-9317-01BBE5CCB16B}" sibTransId="{83F03CD9-7632-4C36-9472-6659E03B5C55}"/>
    <dgm:cxn modelId="{68494DB9-5AB4-41E9-80CF-CB557073DA8B}" srcId="{308407B6-3A3C-405C-A675-5EA9A5FD3755}" destId="{9AA4A837-53DC-4937-A16A-713F0153AC10}" srcOrd="0" destOrd="0" parTransId="{A0B1D2DD-8105-4B20-8519-8A4B4FE53F73}" sibTransId="{034AC99F-EBD6-40EB-ABE6-C30EF2E627EC}"/>
    <dgm:cxn modelId="{7E84D2BD-4150-4CDC-A39B-3AF4F4FE0A1D}" type="presOf" srcId="{6F8FA45E-AD7C-4117-BB5F-3CE62EC612DE}" destId="{21D79E3A-5E02-4280-AFC6-965E686DD016}" srcOrd="1" destOrd="0" presId="urn:microsoft.com/office/officeart/2005/8/layout/lProcess2"/>
    <dgm:cxn modelId="{67B44CC6-E7D8-473A-BE1F-46EB4C3ABB03}" srcId="{6F8FA45E-AD7C-4117-BB5F-3CE62EC612DE}" destId="{C08E7F47-FEFF-4D44-959B-9080715AE2C1}" srcOrd="5" destOrd="0" parTransId="{EAB4BC14-54BD-4A4E-92D9-8CDA1E15DAB6}" sibTransId="{AA41FE9B-9CE6-4B36-B9CA-407496FA2CC1}"/>
    <dgm:cxn modelId="{E262A4CF-C86C-4141-A3FD-262A2222A5B5}" srcId="{893B549E-1D2E-41D8-96E1-131C3B1190BA}" destId="{FC21770B-EB7D-4D5A-B574-BA268D3255AB}" srcOrd="6" destOrd="0" parTransId="{F9B3C450-432B-45A3-ADF2-F2C127BC2563}" sibTransId="{F47D2371-CD39-4C42-8468-73B22F7A3E45}"/>
    <dgm:cxn modelId="{D1652CD5-E98F-4BDE-84A1-F321E992C815}" srcId="{893B549E-1D2E-41D8-96E1-131C3B1190BA}" destId="{0313049C-DCE3-4EF7-BA25-FC84DC2A0370}" srcOrd="9" destOrd="0" parTransId="{01502EFB-A303-4B47-8012-A30094295231}" sibTransId="{7C0C8D3B-4E44-4333-AF6A-972F3C0DEBB7}"/>
    <dgm:cxn modelId="{2D3CB9D8-A500-40CD-B628-06356BD990FE}" type="presOf" srcId="{259A7E0E-E173-45DD-80DA-F46A4882D644}" destId="{AF291D0D-E2AF-4972-A156-3547A019D395}" srcOrd="0" destOrd="0" presId="urn:microsoft.com/office/officeart/2005/8/layout/lProcess2"/>
    <dgm:cxn modelId="{61B11BDB-9578-4BC2-B715-F49A3336662D}" srcId="{893B549E-1D2E-41D8-96E1-131C3B1190BA}" destId="{3902C00C-CEE3-415A-ADD9-1B1E872A0DA1}" srcOrd="2" destOrd="0" parTransId="{C57A611A-AA76-405C-8C04-50B33D6C8461}" sibTransId="{F353E4A1-C0FB-4D46-9964-04FDC8D29320}"/>
    <dgm:cxn modelId="{380403DF-8C98-4C49-99C5-5A489B268CB3}" type="presOf" srcId="{FF7EC073-9484-4D29-851B-51ECF2858E49}" destId="{E903191F-B914-44EE-BBAD-C57E0F9F5FD0}" srcOrd="0" destOrd="0" presId="urn:microsoft.com/office/officeart/2005/8/layout/lProcess2"/>
    <dgm:cxn modelId="{779B1CDF-446D-46FB-8673-1C56D07827F6}" srcId="{1B3F4A59-6234-474A-B9AC-C507F37C88F5}" destId="{856BD624-5E30-45BD-B4E2-5D33730ED9F4}" srcOrd="3" destOrd="0" parTransId="{73FA47B8-8D0F-4EDA-BB05-0A804FD094BC}" sibTransId="{AFD4A004-1125-4A02-A820-D93BA5F2C465}"/>
    <dgm:cxn modelId="{679A9FE1-A0EE-4134-BAD1-5AB800DD37D0}" type="presOf" srcId="{B323EB80-4831-4222-A158-7BF64F685286}" destId="{C4268063-9220-453D-9666-6884283FFD01}" srcOrd="0" destOrd="0" presId="urn:microsoft.com/office/officeart/2005/8/layout/lProcess2"/>
    <dgm:cxn modelId="{828DC3E3-CC40-4A4F-B02D-5702F4557C01}" srcId="{308407B6-3A3C-405C-A675-5EA9A5FD3755}" destId="{B94A0C9A-A786-45E0-8865-AE483C11FE89}" srcOrd="4" destOrd="0" parTransId="{E6BF2D61-8A50-4E3C-9DBC-95190E526550}" sibTransId="{B492A025-4483-406D-BCC8-F92ECC814ADE}"/>
    <dgm:cxn modelId="{155293E5-4626-4D2A-939F-CD74F9B87D09}" type="presOf" srcId="{0313049C-DCE3-4EF7-BA25-FC84DC2A0370}" destId="{46F81185-9D33-4FB3-8ADA-8EBD0AE30AD0}" srcOrd="0" destOrd="0" presId="urn:microsoft.com/office/officeart/2005/8/layout/lProcess2"/>
    <dgm:cxn modelId="{C94D08E7-F985-499D-B03A-EAE70F906502}" srcId="{893B549E-1D2E-41D8-96E1-131C3B1190BA}" destId="{51565790-99C0-48BA-8F29-35DAB821BE12}" srcOrd="4" destOrd="0" parTransId="{98DA43BD-E065-47B8-AE4C-F2A05FE5C4D4}" sibTransId="{3BA0005A-4BAF-40BC-8632-9CDF0BEB8918}"/>
    <dgm:cxn modelId="{F98E6EE9-E12A-4250-BD2E-8714CC8A32E7}" srcId="{893B549E-1D2E-41D8-96E1-131C3B1190BA}" destId="{947C035F-A397-4963-8231-649F4801221D}" srcOrd="5" destOrd="0" parTransId="{93730520-DE9E-4B6C-8810-D047EFBDFA86}" sibTransId="{5E668551-FE7D-4941-8147-8C00C8CD8422}"/>
    <dgm:cxn modelId="{6152DCEB-F262-4435-A49B-CA4B01629AEC}" type="presOf" srcId="{1482F818-C12A-4BC8-89A8-7075A6128CC0}" destId="{477D5C98-EA44-4EBC-986C-7E101C1EF9D0}" srcOrd="0" destOrd="0" presId="urn:microsoft.com/office/officeart/2005/8/layout/lProcess2"/>
    <dgm:cxn modelId="{548516ED-1CD5-4799-A40E-229950C80EE4}" type="presOf" srcId="{9D829AF3-0279-4949-901B-AC37C6206619}" destId="{A66E6F0A-96DB-45AA-A35B-1A6C99D1DF81}" srcOrd="0" destOrd="0" presId="urn:microsoft.com/office/officeart/2005/8/layout/lProcess2"/>
    <dgm:cxn modelId="{7B0AE3F8-70B1-42EC-BA75-5EABB2CDC0F4}" type="presOf" srcId="{893B549E-1D2E-41D8-96E1-131C3B1190BA}" destId="{A1CC5208-B440-4976-A6F7-7ABD6837F2F6}" srcOrd="1" destOrd="0" presId="urn:microsoft.com/office/officeart/2005/8/layout/lProcess2"/>
    <dgm:cxn modelId="{1DFB21F9-2615-497D-A9E3-F6C0B1136D4F}" srcId="{893B549E-1D2E-41D8-96E1-131C3B1190BA}" destId="{FF7EC073-9484-4D29-851B-51ECF2858E49}" srcOrd="8" destOrd="0" parTransId="{CDA277ED-394A-4AF5-A81C-8C78B649E040}" sibTransId="{93A81411-10E8-4C8C-8C48-FD358564EEEA}"/>
    <dgm:cxn modelId="{664ADCFF-7826-4611-9982-AC382003D9DD}" srcId="{1B3F4A59-6234-474A-B9AC-C507F37C88F5}" destId="{6F8FA45E-AD7C-4117-BB5F-3CE62EC612DE}" srcOrd="1" destOrd="0" parTransId="{6F2E742D-052D-4149-A90E-780B27F62B0F}" sibTransId="{4E01290D-984D-421B-B968-7D69E7ECF476}"/>
    <dgm:cxn modelId="{626E9DE6-A042-4A14-805B-A1EB044D640E}" type="presParOf" srcId="{126408F8-02FB-4D8D-8433-938A99A6DD20}" destId="{E8DF99DB-EB4F-4492-B673-D6BB6AA8A8EA}" srcOrd="0" destOrd="0" presId="urn:microsoft.com/office/officeart/2005/8/layout/lProcess2"/>
    <dgm:cxn modelId="{190F1B50-F0E9-4876-80CD-F114A34E9410}" type="presParOf" srcId="{E8DF99DB-EB4F-4492-B673-D6BB6AA8A8EA}" destId="{46347806-AD1D-4CDC-A2DD-CC1863D3B8F3}" srcOrd="0" destOrd="0" presId="urn:microsoft.com/office/officeart/2005/8/layout/lProcess2"/>
    <dgm:cxn modelId="{1DCB421A-BA5F-4333-ACD7-2EAED0FC70B2}" type="presParOf" srcId="{E8DF99DB-EB4F-4492-B673-D6BB6AA8A8EA}" destId="{A1CC5208-B440-4976-A6F7-7ABD6837F2F6}" srcOrd="1" destOrd="0" presId="urn:microsoft.com/office/officeart/2005/8/layout/lProcess2"/>
    <dgm:cxn modelId="{F3808F1D-B2DC-4440-B97B-2757ABA9D324}" type="presParOf" srcId="{E8DF99DB-EB4F-4492-B673-D6BB6AA8A8EA}" destId="{5A4EF04B-2F4B-4684-90C4-03867516A755}" srcOrd="2" destOrd="0" presId="urn:microsoft.com/office/officeart/2005/8/layout/lProcess2"/>
    <dgm:cxn modelId="{627CB7B5-E122-4C57-8534-338AAC49E6DA}" type="presParOf" srcId="{5A4EF04B-2F4B-4684-90C4-03867516A755}" destId="{5D07599F-CF78-4900-8212-3ECDC6561091}" srcOrd="0" destOrd="0" presId="urn:microsoft.com/office/officeart/2005/8/layout/lProcess2"/>
    <dgm:cxn modelId="{1C227359-E5D5-4967-A342-AA73764BC0E8}" type="presParOf" srcId="{5D07599F-CF78-4900-8212-3ECDC6561091}" destId="{AF291D0D-E2AF-4972-A156-3547A019D395}" srcOrd="0" destOrd="0" presId="urn:microsoft.com/office/officeart/2005/8/layout/lProcess2"/>
    <dgm:cxn modelId="{468EAEBA-E499-44A1-B336-87BF1173BB37}" type="presParOf" srcId="{5D07599F-CF78-4900-8212-3ECDC6561091}" destId="{8E7E93D6-A280-4B2A-B798-7C199D63AD15}" srcOrd="1" destOrd="0" presId="urn:microsoft.com/office/officeart/2005/8/layout/lProcess2"/>
    <dgm:cxn modelId="{79893598-2F88-4427-A417-0A849DED9E87}" type="presParOf" srcId="{5D07599F-CF78-4900-8212-3ECDC6561091}" destId="{477D5C98-EA44-4EBC-986C-7E101C1EF9D0}" srcOrd="2" destOrd="0" presId="urn:microsoft.com/office/officeart/2005/8/layout/lProcess2"/>
    <dgm:cxn modelId="{B7E87D47-3A69-474E-98BB-B8788D370AFB}" type="presParOf" srcId="{5D07599F-CF78-4900-8212-3ECDC6561091}" destId="{346104C7-DD6D-46BA-AE32-EAA6FCE0DB90}" srcOrd="3" destOrd="0" presId="urn:microsoft.com/office/officeart/2005/8/layout/lProcess2"/>
    <dgm:cxn modelId="{85580A3E-7B9D-425B-A609-C48F81DCA53E}" type="presParOf" srcId="{5D07599F-CF78-4900-8212-3ECDC6561091}" destId="{F8670114-28CF-4F5E-8928-C1A603A85166}" srcOrd="4" destOrd="0" presId="urn:microsoft.com/office/officeart/2005/8/layout/lProcess2"/>
    <dgm:cxn modelId="{9553F836-8C23-4147-B7FD-75B83C1BC9D5}" type="presParOf" srcId="{5D07599F-CF78-4900-8212-3ECDC6561091}" destId="{E486ECDD-1CEE-4B59-8E04-2F5BDB860F54}" srcOrd="5" destOrd="0" presId="urn:microsoft.com/office/officeart/2005/8/layout/lProcess2"/>
    <dgm:cxn modelId="{37033EE1-8DB7-4412-92B3-815F6EF645A4}" type="presParOf" srcId="{5D07599F-CF78-4900-8212-3ECDC6561091}" destId="{B955DDB3-EC6D-4F89-8590-F53222B9509B}" srcOrd="6" destOrd="0" presId="urn:microsoft.com/office/officeart/2005/8/layout/lProcess2"/>
    <dgm:cxn modelId="{EF7EA752-40BB-402F-A836-F2F3B12B80CF}" type="presParOf" srcId="{5D07599F-CF78-4900-8212-3ECDC6561091}" destId="{DBFB213F-7418-4257-A340-EC470B804611}" srcOrd="7" destOrd="0" presId="urn:microsoft.com/office/officeart/2005/8/layout/lProcess2"/>
    <dgm:cxn modelId="{EBC54BD3-6397-4EAB-93F8-E2CFDBABDCDE}" type="presParOf" srcId="{5D07599F-CF78-4900-8212-3ECDC6561091}" destId="{6987E665-588F-4613-B06C-44CB93FD0E86}" srcOrd="8" destOrd="0" presId="urn:microsoft.com/office/officeart/2005/8/layout/lProcess2"/>
    <dgm:cxn modelId="{CE03DB66-33F7-4D2F-AFA9-B79712108150}" type="presParOf" srcId="{5D07599F-CF78-4900-8212-3ECDC6561091}" destId="{B44AB6F2-9153-4013-813F-7B5CFB006470}" srcOrd="9" destOrd="0" presId="urn:microsoft.com/office/officeart/2005/8/layout/lProcess2"/>
    <dgm:cxn modelId="{F04E1157-0C80-41AE-8BBB-4CCAA3AB40B1}" type="presParOf" srcId="{5D07599F-CF78-4900-8212-3ECDC6561091}" destId="{C847BA51-31BE-46D1-B414-E21AB09779C1}" srcOrd="10" destOrd="0" presId="urn:microsoft.com/office/officeart/2005/8/layout/lProcess2"/>
    <dgm:cxn modelId="{47B2AECD-6480-4E71-8B9E-C7280543DEA7}" type="presParOf" srcId="{5D07599F-CF78-4900-8212-3ECDC6561091}" destId="{EE0A8CC4-1E74-427E-B07F-2957A666D19C}" srcOrd="11" destOrd="0" presId="urn:microsoft.com/office/officeart/2005/8/layout/lProcess2"/>
    <dgm:cxn modelId="{64F00225-1BF2-4C1D-8572-DDA0BEF9938D}" type="presParOf" srcId="{5D07599F-CF78-4900-8212-3ECDC6561091}" destId="{9B5D442A-669F-45C9-9E38-128815F0A432}" srcOrd="12" destOrd="0" presId="urn:microsoft.com/office/officeart/2005/8/layout/lProcess2"/>
    <dgm:cxn modelId="{49FDFC29-B057-4C89-A402-C0FFED7BA89D}" type="presParOf" srcId="{5D07599F-CF78-4900-8212-3ECDC6561091}" destId="{50693619-546D-436E-BE90-43C99AD89D1B}" srcOrd="13" destOrd="0" presId="urn:microsoft.com/office/officeart/2005/8/layout/lProcess2"/>
    <dgm:cxn modelId="{453EB54E-9098-4091-B88D-531B9681B4B3}" type="presParOf" srcId="{5D07599F-CF78-4900-8212-3ECDC6561091}" destId="{3B950462-D08B-433F-8CA8-70272189E6D0}" srcOrd="14" destOrd="0" presId="urn:microsoft.com/office/officeart/2005/8/layout/lProcess2"/>
    <dgm:cxn modelId="{C3C13F36-B03E-4DAA-A1AB-B4A91C0E2449}" type="presParOf" srcId="{5D07599F-CF78-4900-8212-3ECDC6561091}" destId="{ED7164A8-F5F3-4E60-9B5D-358528C68560}" srcOrd="15" destOrd="0" presId="urn:microsoft.com/office/officeart/2005/8/layout/lProcess2"/>
    <dgm:cxn modelId="{866D2FAE-7DD6-4B0F-B147-8F55BD2E9D3D}" type="presParOf" srcId="{5D07599F-CF78-4900-8212-3ECDC6561091}" destId="{E903191F-B914-44EE-BBAD-C57E0F9F5FD0}" srcOrd="16" destOrd="0" presId="urn:microsoft.com/office/officeart/2005/8/layout/lProcess2"/>
    <dgm:cxn modelId="{D3189E49-1279-46E8-B2CF-27BD8D8244D8}" type="presParOf" srcId="{5D07599F-CF78-4900-8212-3ECDC6561091}" destId="{4D605AA9-A614-474F-A5C8-8A6FFA179E34}" srcOrd="17" destOrd="0" presId="urn:microsoft.com/office/officeart/2005/8/layout/lProcess2"/>
    <dgm:cxn modelId="{CB9299AA-0D5D-4828-AE1D-89DA39FD2C4E}" type="presParOf" srcId="{5D07599F-CF78-4900-8212-3ECDC6561091}" destId="{46F81185-9D33-4FB3-8ADA-8EBD0AE30AD0}" srcOrd="18" destOrd="0" presId="urn:microsoft.com/office/officeart/2005/8/layout/lProcess2"/>
    <dgm:cxn modelId="{D51115C5-0735-4DF4-8974-D8FD8F08A22C}" type="presParOf" srcId="{126408F8-02FB-4D8D-8433-938A99A6DD20}" destId="{DDE9AAD9-7059-4F08-AE78-32CCAB90E846}" srcOrd="1" destOrd="0" presId="urn:microsoft.com/office/officeart/2005/8/layout/lProcess2"/>
    <dgm:cxn modelId="{7EE4B2BE-D902-4940-BB81-11EA076D4D30}" type="presParOf" srcId="{126408F8-02FB-4D8D-8433-938A99A6DD20}" destId="{515D0518-940E-4DCE-897D-4A579A0857C5}" srcOrd="2" destOrd="0" presId="urn:microsoft.com/office/officeart/2005/8/layout/lProcess2"/>
    <dgm:cxn modelId="{01CE8C88-325E-44AC-BB12-045E9D9E7674}" type="presParOf" srcId="{515D0518-940E-4DCE-897D-4A579A0857C5}" destId="{56A3BC8C-0731-4799-8CF7-E2D4A21880EB}" srcOrd="0" destOrd="0" presId="urn:microsoft.com/office/officeart/2005/8/layout/lProcess2"/>
    <dgm:cxn modelId="{84593F0D-24AD-46BD-9C0E-2C605112AC0B}" type="presParOf" srcId="{515D0518-940E-4DCE-897D-4A579A0857C5}" destId="{21D79E3A-5E02-4280-AFC6-965E686DD016}" srcOrd="1" destOrd="0" presId="urn:microsoft.com/office/officeart/2005/8/layout/lProcess2"/>
    <dgm:cxn modelId="{F41778DC-1EB6-4B0A-9F75-2649F0B0B58F}" type="presParOf" srcId="{515D0518-940E-4DCE-897D-4A579A0857C5}" destId="{7E25ED37-59F9-4963-8B10-1CFEE56CF48F}" srcOrd="2" destOrd="0" presId="urn:microsoft.com/office/officeart/2005/8/layout/lProcess2"/>
    <dgm:cxn modelId="{27AC7B38-E783-41AF-9A93-B7AF74016904}" type="presParOf" srcId="{7E25ED37-59F9-4963-8B10-1CFEE56CF48F}" destId="{4A46D99A-B3E6-46F0-AB23-1F9C29B59962}" srcOrd="0" destOrd="0" presId="urn:microsoft.com/office/officeart/2005/8/layout/lProcess2"/>
    <dgm:cxn modelId="{84652BB5-2479-463F-885A-8850B24CD1F6}" type="presParOf" srcId="{4A46D99A-B3E6-46F0-AB23-1F9C29B59962}" destId="{A66E6F0A-96DB-45AA-A35B-1A6C99D1DF81}" srcOrd="0" destOrd="0" presId="urn:microsoft.com/office/officeart/2005/8/layout/lProcess2"/>
    <dgm:cxn modelId="{C9991C34-D1C8-4619-960E-5D59344D15C2}" type="presParOf" srcId="{4A46D99A-B3E6-46F0-AB23-1F9C29B59962}" destId="{9D824A7D-19BC-43D7-A926-4D7777A7D1F3}" srcOrd="1" destOrd="0" presId="urn:microsoft.com/office/officeart/2005/8/layout/lProcess2"/>
    <dgm:cxn modelId="{77177948-72AA-444C-990D-C8F2FED3BF09}" type="presParOf" srcId="{4A46D99A-B3E6-46F0-AB23-1F9C29B59962}" destId="{25AC82BB-1E67-45EF-B40E-F7F7EB13433D}" srcOrd="2" destOrd="0" presId="urn:microsoft.com/office/officeart/2005/8/layout/lProcess2"/>
    <dgm:cxn modelId="{8785E924-2C01-44DF-9C4E-14540BB91954}" type="presParOf" srcId="{4A46D99A-B3E6-46F0-AB23-1F9C29B59962}" destId="{6AEDAF28-35D7-4594-9244-98C9985D0F78}" srcOrd="3" destOrd="0" presId="urn:microsoft.com/office/officeart/2005/8/layout/lProcess2"/>
    <dgm:cxn modelId="{EE047137-16CF-4E39-A37F-B69A932EAD52}" type="presParOf" srcId="{4A46D99A-B3E6-46F0-AB23-1F9C29B59962}" destId="{C4268063-9220-453D-9666-6884283FFD01}" srcOrd="4" destOrd="0" presId="urn:microsoft.com/office/officeart/2005/8/layout/lProcess2"/>
    <dgm:cxn modelId="{BB8F8C90-058C-4120-9A68-A66688950790}" type="presParOf" srcId="{4A46D99A-B3E6-46F0-AB23-1F9C29B59962}" destId="{403A39B5-B820-4D24-862E-8D4367BFC06D}" srcOrd="5" destOrd="0" presId="urn:microsoft.com/office/officeart/2005/8/layout/lProcess2"/>
    <dgm:cxn modelId="{E49789AB-34A2-4E12-A22F-F0B0A264D551}" type="presParOf" srcId="{4A46D99A-B3E6-46F0-AB23-1F9C29B59962}" destId="{E78A6123-7277-4BF2-BA19-5BF5DD2CB6FE}" srcOrd="6" destOrd="0" presId="urn:microsoft.com/office/officeart/2005/8/layout/lProcess2"/>
    <dgm:cxn modelId="{2262843D-4716-43DE-BD0E-61BA2344400E}" type="presParOf" srcId="{4A46D99A-B3E6-46F0-AB23-1F9C29B59962}" destId="{570C364E-2D8B-45DA-82C2-E2F06A29B9C7}" srcOrd="7" destOrd="0" presId="urn:microsoft.com/office/officeart/2005/8/layout/lProcess2"/>
    <dgm:cxn modelId="{AB9474D4-3D10-45A6-9060-56A917BECD51}" type="presParOf" srcId="{4A46D99A-B3E6-46F0-AB23-1F9C29B59962}" destId="{1188D7B2-34EC-499E-890E-8058A0042053}" srcOrd="8" destOrd="0" presId="urn:microsoft.com/office/officeart/2005/8/layout/lProcess2"/>
    <dgm:cxn modelId="{EBEDD152-75CC-4A56-A0B9-A778B7DD49CB}" type="presParOf" srcId="{4A46D99A-B3E6-46F0-AB23-1F9C29B59962}" destId="{553AD09E-AA89-474E-BA5D-84E895B70B43}" srcOrd="9" destOrd="0" presId="urn:microsoft.com/office/officeart/2005/8/layout/lProcess2"/>
    <dgm:cxn modelId="{BFD70EE9-7747-4FB6-BD9A-9922E33A0D32}" type="presParOf" srcId="{4A46D99A-B3E6-46F0-AB23-1F9C29B59962}" destId="{B0AEA202-1D93-4B2D-A000-1814676CC631}" srcOrd="10" destOrd="0" presId="urn:microsoft.com/office/officeart/2005/8/layout/lProcess2"/>
    <dgm:cxn modelId="{E0B23FD6-3285-4525-8BA4-BE598CAB2C5D}" type="presParOf" srcId="{4A46D99A-B3E6-46F0-AB23-1F9C29B59962}" destId="{37B80638-0294-4B7A-B54C-8B80F7A7C6C7}" srcOrd="11" destOrd="0" presId="urn:microsoft.com/office/officeart/2005/8/layout/lProcess2"/>
    <dgm:cxn modelId="{93CD3F47-82BE-4A6A-A5AE-28C8FF2EAD16}" type="presParOf" srcId="{4A46D99A-B3E6-46F0-AB23-1F9C29B59962}" destId="{4A891429-FA15-4C2C-89A1-5A7E2DB6BFFA}" srcOrd="12" destOrd="0" presId="urn:microsoft.com/office/officeart/2005/8/layout/lProcess2"/>
    <dgm:cxn modelId="{3D0610EF-9A92-417D-B149-59B7B44BED7F}" type="presParOf" srcId="{4A46D99A-B3E6-46F0-AB23-1F9C29B59962}" destId="{6D3F1DF6-FC59-47EB-8431-B0C3F23F4E03}" srcOrd="13" destOrd="0" presId="urn:microsoft.com/office/officeart/2005/8/layout/lProcess2"/>
    <dgm:cxn modelId="{87EBDD22-AE5A-4AA4-8C68-69D20041FED3}" type="presParOf" srcId="{4A46D99A-B3E6-46F0-AB23-1F9C29B59962}" destId="{8F5A6D7F-E829-4A6B-B730-85A7EC11965A}" srcOrd="14" destOrd="0" presId="urn:microsoft.com/office/officeart/2005/8/layout/lProcess2"/>
    <dgm:cxn modelId="{A7C458D7-7DC7-43A7-93EC-1767E08964FA}" type="presParOf" srcId="{126408F8-02FB-4D8D-8433-938A99A6DD20}" destId="{22A2FB48-CCAC-42E6-9B92-BCF5A37F8CE7}" srcOrd="3" destOrd="0" presId="urn:microsoft.com/office/officeart/2005/8/layout/lProcess2"/>
    <dgm:cxn modelId="{55719DF9-49EF-4558-8A3B-AEFCB1AB8BFD}" type="presParOf" srcId="{126408F8-02FB-4D8D-8433-938A99A6DD20}" destId="{020D9A4E-0772-41D7-A43A-4C7088507775}" srcOrd="4" destOrd="0" presId="urn:microsoft.com/office/officeart/2005/8/layout/lProcess2"/>
    <dgm:cxn modelId="{4D62732A-C8DC-4928-B353-67EE662210B1}" type="presParOf" srcId="{020D9A4E-0772-41D7-A43A-4C7088507775}" destId="{BA06F6DD-9173-40AC-80CB-2E1A2E70227D}" srcOrd="0" destOrd="0" presId="urn:microsoft.com/office/officeart/2005/8/layout/lProcess2"/>
    <dgm:cxn modelId="{DA18CF50-6588-4A65-B588-339455F2982B}" type="presParOf" srcId="{020D9A4E-0772-41D7-A43A-4C7088507775}" destId="{4D4D96EA-54AD-4357-A18C-460C43F55097}" srcOrd="1" destOrd="0" presId="urn:microsoft.com/office/officeart/2005/8/layout/lProcess2"/>
    <dgm:cxn modelId="{29E21157-E362-4128-BAE2-7F4021827541}" type="presParOf" srcId="{020D9A4E-0772-41D7-A43A-4C7088507775}" destId="{8D40E952-14CF-4FF3-B334-6520410820EC}" srcOrd="2" destOrd="0" presId="urn:microsoft.com/office/officeart/2005/8/layout/lProcess2"/>
    <dgm:cxn modelId="{5750BDF8-3350-494F-A530-36B8A471C732}" type="presParOf" srcId="{8D40E952-14CF-4FF3-B334-6520410820EC}" destId="{308A6FE8-A440-40BD-AB63-2A1050C88637}" srcOrd="0" destOrd="0" presId="urn:microsoft.com/office/officeart/2005/8/layout/lProcess2"/>
    <dgm:cxn modelId="{E0714EC3-3FA0-46CD-AFEA-F27912A2FC55}" type="presParOf" srcId="{308A6FE8-A440-40BD-AB63-2A1050C88637}" destId="{25CF7D36-2A63-4C0B-BB95-4B934556EE5E}" srcOrd="0" destOrd="0" presId="urn:microsoft.com/office/officeart/2005/8/layout/lProcess2"/>
    <dgm:cxn modelId="{B52189B8-ACAB-4A78-9C56-309501D8629E}" type="presParOf" srcId="{308A6FE8-A440-40BD-AB63-2A1050C88637}" destId="{DEEF0C62-F835-47F0-A04C-5E0F52EE376E}" srcOrd="1" destOrd="0" presId="urn:microsoft.com/office/officeart/2005/8/layout/lProcess2"/>
    <dgm:cxn modelId="{AAC20B83-1720-450A-9EB1-F2A01D9A38C7}" type="presParOf" srcId="{308A6FE8-A440-40BD-AB63-2A1050C88637}" destId="{DFC68D9C-E394-4D18-A0FB-610F6DCF7300}" srcOrd="2" destOrd="0" presId="urn:microsoft.com/office/officeart/2005/8/layout/lProcess2"/>
    <dgm:cxn modelId="{C619B36C-25B6-4083-BF0E-FC79D4D35D14}" type="presParOf" srcId="{308A6FE8-A440-40BD-AB63-2A1050C88637}" destId="{557B5864-2209-467F-A8CE-EA5E0C78E489}" srcOrd="3" destOrd="0" presId="urn:microsoft.com/office/officeart/2005/8/layout/lProcess2"/>
    <dgm:cxn modelId="{B2961B7D-9DCA-4398-BCEC-3EAACF44F70E}" type="presParOf" srcId="{308A6FE8-A440-40BD-AB63-2A1050C88637}" destId="{AE87D2F9-AD5A-4EEF-955F-938E0F28796E}" srcOrd="4" destOrd="0" presId="urn:microsoft.com/office/officeart/2005/8/layout/lProcess2"/>
    <dgm:cxn modelId="{BBC97DA4-6CE7-40FE-B5BC-379758F4471D}" type="presParOf" srcId="{308A6FE8-A440-40BD-AB63-2A1050C88637}" destId="{EB0AE0C0-1171-4009-A589-438C53B4F2ED}" srcOrd="5" destOrd="0" presId="urn:microsoft.com/office/officeart/2005/8/layout/lProcess2"/>
    <dgm:cxn modelId="{10513B98-DDA5-4580-8EEC-AEDC8CE9E8A1}" type="presParOf" srcId="{308A6FE8-A440-40BD-AB63-2A1050C88637}" destId="{5917DA46-8FFC-457B-8454-73E3BA4618B1}" srcOrd="6" destOrd="0" presId="urn:microsoft.com/office/officeart/2005/8/layout/lProcess2"/>
    <dgm:cxn modelId="{58DB09D5-F151-4440-B7C1-B25E3390BC8A}" type="presParOf" srcId="{308A6FE8-A440-40BD-AB63-2A1050C88637}" destId="{9F6A9720-9D4F-41E1-AE2A-D8AC165BD3B5}" srcOrd="7" destOrd="0" presId="urn:microsoft.com/office/officeart/2005/8/layout/lProcess2"/>
    <dgm:cxn modelId="{F99C2BFA-CF0C-4C24-AFAC-F6DAB5A5AE16}" type="presParOf" srcId="{308A6FE8-A440-40BD-AB63-2A1050C88637}" destId="{8C7F6439-EFBD-4F9A-A508-62FAC9E9410F}" srcOrd="8" destOrd="0" presId="urn:microsoft.com/office/officeart/2005/8/layout/lProcess2"/>
    <dgm:cxn modelId="{DB399C33-559C-43A2-A1D7-2C7F0403F690}" type="presParOf" srcId="{308A6FE8-A440-40BD-AB63-2A1050C88637}" destId="{F9CCBFDB-29DB-4FE4-A12F-7A30F55230CA}" srcOrd="9" destOrd="0" presId="urn:microsoft.com/office/officeart/2005/8/layout/lProcess2"/>
    <dgm:cxn modelId="{633A952C-1C1E-43FA-8370-1F182D2B2E59}" type="presParOf" srcId="{308A6FE8-A440-40BD-AB63-2A1050C88637}" destId="{9C59B72D-11A9-412F-AC8D-1ECA4738F7E3}" srcOrd="10" destOrd="0" presId="urn:microsoft.com/office/officeart/2005/8/layout/lProcess2"/>
    <dgm:cxn modelId="{B161F133-5209-484B-BA08-99A871A30D76}" type="presParOf" srcId="{126408F8-02FB-4D8D-8433-938A99A6DD20}" destId="{C67DF728-C6A6-4DC6-B698-5B9144AB4486}" srcOrd="5" destOrd="0" presId="urn:microsoft.com/office/officeart/2005/8/layout/lProcess2"/>
    <dgm:cxn modelId="{79BF0DB8-5CCA-448F-98A6-BA880956EF91}" type="presParOf" srcId="{126408F8-02FB-4D8D-8433-938A99A6DD20}" destId="{3983482E-9531-48FD-B67C-22017B131747}" srcOrd="6" destOrd="0" presId="urn:microsoft.com/office/officeart/2005/8/layout/lProcess2"/>
    <dgm:cxn modelId="{307D920A-1AB1-498B-93A5-83CE22E2A7FF}" type="presParOf" srcId="{3983482E-9531-48FD-B67C-22017B131747}" destId="{7DD543AA-CED2-4D39-A6B7-37CE84B57466}" srcOrd="0" destOrd="0" presId="urn:microsoft.com/office/officeart/2005/8/layout/lProcess2"/>
    <dgm:cxn modelId="{4954CB3E-13FD-4602-A26E-917E7DDB8B30}" type="presParOf" srcId="{3983482E-9531-48FD-B67C-22017B131747}" destId="{BAE24CEB-2055-4308-8BD4-F3E5E1A90818}" srcOrd="1" destOrd="0" presId="urn:microsoft.com/office/officeart/2005/8/layout/lProcess2"/>
    <dgm:cxn modelId="{86AFBC3C-739B-45E8-A458-A374DBAE1F3C}" type="presParOf" srcId="{3983482E-9531-48FD-B67C-22017B131747}" destId="{C7EC1328-21D2-424E-A83C-DD6CF676A711}" srcOrd="2" destOrd="0" presId="urn:microsoft.com/office/officeart/2005/8/layout/lProcess2"/>
    <dgm:cxn modelId="{23BB2B50-683C-499B-B261-5871FB544951}" type="presParOf" srcId="{C7EC1328-21D2-424E-A83C-DD6CF676A711}" destId="{9FFFF625-430E-4472-A545-8ABF0B86A3EA}" srcOrd="0" destOrd="0" presId="urn:microsoft.com/office/officeart/2005/8/layout/lProcess2"/>
    <dgm:cxn modelId="{D3C72C7A-0582-4CC9-85BB-A451630F739B}" type="presParOf" srcId="{9FFFF625-430E-4472-A545-8ABF0B86A3EA}" destId="{51023952-42F1-4B5F-A695-AA07DE48376C}" srcOrd="0" destOrd="0" presId="urn:microsoft.com/office/officeart/2005/8/layout/lProcess2"/>
    <dgm:cxn modelId="{35F3ACA6-010B-4C64-82CB-F2C9F7D87F6A}" type="presParOf" srcId="{9FFFF625-430E-4472-A545-8ABF0B86A3EA}" destId="{FC588461-6CEE-4549-A085-31D7227FCAFA}" srcOrd="1" destOrd="0" presId="urn:microsoft.com/office/officeart/2005/8/layout/lProcess2"/>
    <dgm:cxn modelId="{0584E943-E6FE-4A23-9F95-D364DB6D7315}" type="presParOf" srcId="{9FFFF625-430E-4472-A545-8ABF0B86A3EA}" destId="{5F73B92C-A305-448C-8487-25467C25BC36}" srcOrd="2" destOrd="0" presId="urn:microsoft.com/office/officeart/2005/8/layout/lProcess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179CC-30B3-474E-8CA2-1BBE7BED3BEB}">
      <dsp:nvSpPr>
        <dsp:cNvPr id="0" name=""/>
        <dsp:cNvSpPr/>
      </dsp:nvSpPr>
      <dsp:spPr>
        <a:xfrm>
          <a:off x="9" y="0"/>
          <a:ext cx="1992007" cy="4907461"/>
        </a:xfrm>
        <a:prstGeom prst="roundRect">
          <a:avLst>
            <a:gd name="adj" fmla="val 10000"/>
          </a:avLst>
        </a:prstGeom>
        <a:solidFill>
          <a:srgbClr val="0F243E"/>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CA" sz="1600" kern="1200" noProof="0" dirty="0">
              <a:solidFill>
                <a:schemeClr val="bg1"/>
              </a:solidFill>
              <a:latin typeface="+mn-lt"/>
              <a:ea typeface="+mn-ea"/>
              <a:cs typeface="+mn-cs"/>
            </a:rPr>
            <a:t>Propos</a:t>
          </a:r>
          <a:br>
            <a:rPr lang="fr-CA" sz="1600" kern="1200" noProof="0" dirty="0">
              <a:solidFill>
                <a:schemeClr val="bg1"/>
              </a:solidFill>
              <a:latin typeface="+mn-lt"/>
              <a:ea typeface="+mn-ea"/>
              <a:cs typeface="+mn-cs"/>
            </a:rPr>
          </a:br>
          <a:r>
            <a:rPr lang="fr-CA" sz="1600" kern="1200" noProof="0" dirty="0">
              <a:solidFill>
                <a:schemeClr val="bg1"/>
              </a:solidFill>
              <a:latin typeface="+mn-lt"/>
              <a:ea typeface="+mn-ea"/>
              <a:cs typeface="+mn-cs"/>
            </a:rPr>
            <a:t>(84 %)</a:t>
          </a:r>
        </a:p>
      </dsp:txBody>
      <dsp:txXfrm>
        <a:off x="43129" y="43120"/>
        <a:ext cx="1905767" cy="1385998"/>
      </dsp:txXfrm>
    </dsp:sp>
    <dsp:sp modelId="{0F4ACBEC-57D1-4D53-86AC-C1826C2C545B}">
      <dsp:nvSpPr>
        <dsp:cNvPr id="0" name=""/>
        <dsp:cNvSpPr/>
      </dsp:nvSpPr>
      <dsp:spPr>
        <a:xfrm>
          <a:off x="211775" y="1482415"/>
          <a:ext cx="1593605" cy="275731"/>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dirty="0">
              <a:solidFill>
                <a:srgbClr val="0F243E"/>
              </a:solidFill>
              <a:latin typeface="Aptos" panose="020B0004020202020204" pitchFamily="34" charset="0"/>
              <a:ea typeface="+mn-ea"/>
              <a:cs typeface="+mn-cs"/>
            </a:rPr>
            <a:t>Stéréotypes (42 %)</a:t>
          </a:r>
          <a:endParaRPr lang="en-US" sz="1000" kern="1200" dirty="0">
            <a:solidFill>
              <a:srgbClr val="0F243E"/>
            </a:solidFill>
            <a:latin typeface="Aptos" panose="020B0004020202020204" pitchFamily="34" charset="0"/>
            <a:ea typeface="+mn-ea"/>
            <a:cs typeface="+mn-cs"/>
          </a:endParaRPr>
        </a:p>
      </dsp:txBody>
      <dsp:txXfrm>
        <a:off x="219851" y="1490491"/>
        <a:ext cx="1577453" cy="259579"/>
      </dsp:txXfrm>
    </dsp:sp>
    <dsp:sp modelId="{8EF4DCE0-F9E0-4876-9D21-F472EDFDB3CD}">
      <dsp:nvSpPr>
        <dsp:cNvPr id="0" name=""/>
        <dsp:cNvSpPr/>
      </dsp:nvSpPr>
      <dsp:spPr>
        <a:xfrm>
          <a:off x="199966" y="1784694"/>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dirty="0">
              <a:solidFill>
                <a:srgbClr val="0F243E"/>
              </a:solidFill>
              <a:latin typeface="Aptos" panose="020B0004020202020204" pitchFamily="34" charset="0"/>
              <a:ea typeface="+mn-ea"/>
              <a:cs typeface="+mn-cs"/>
            </a:rPr>
            <a:t>Dénigrement (42 %)</a:t>
          </a:r>
          <a:endParaRPr lang="en-US" sz="1000" kern="1200" dirty="0">
            <a:solidFill>
              <a:srgbClr val="0F243E"/>
            </a:solidFill>
            <a:latin typeface="Aptos" panose="020B0004020202020204" pitchFamily="34" charset="0"/>
            <a:ea typeface="+mn-ea"/>
            <a:cs typeface="+mn-cs"/>
          </a:endParaRPr>
        </a:p>
      </dsp:txBody>
      <dsp:txXfrm>
        <a:off x="206683" y="1791411"/>
        <a:ext cx="1580171" cy="215914"/>
      </dsp:txXfrm>
    </dsp:sp>
    <dsp:sp modelId="{D689C72B-B9CF-492A-9C60-71A7F51F4BB2}">
      <dsp:nvSpPr>
        <dsp:cNvPr id="0" name=""/>
        <dsp:cNvSpPr/>
      </dsp:nvSpPr>
      <dsp:spPr>
        <a:xfrm>
          <a:off x="199966" y="2049327"/>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dirty="0">
              <a:solidFill>
                <a:srgbClr val="0F243E"/>
              </a:solidFill>
              <a:latin typeface="Aptos" panose="020B0004020202020204" pitchFamily="34" charset="0"/>
              <a:ea typeface="+mn-ea"/>
              <a:cs typeface="+mn-cs"/>
            </a:rPr>
            <a:t>Insultes (33 %)</a:t>
          </a:r>
          <a:endParaRPr lang="en-US" sz="1000" kern="1200" dirty="0">
            <a:solidFill>
              <a:srgbClr val="0F243E"/>
            </a:solidFill>
            <a:latin typeface="Aptos" panose="020B0004020202020204" pitchFamily="34" charset="0"/>
            <a:ea typeface="+mn-ea"/>
            <a:cs typeface="+mn-cs"/>
          </a:endParaRPr>
        </a:p>
      </dsp:txBody>
      <dsp:txXfrm>
        <a:off x="206683" y="2056044"/>
        <a:ext cx="1580171" cy="215914"/>
      </dsp:txXfrm>
    </dsp:sp>
    <dsp:sp modelId="{508D2EE5-AEE1-4594-8B4E-7E974B2D0374}">
      <dsp:nvSpPr>
        <dsp:cNvPr id="0" name=""/>
        <dsp:cNvSpPr/>
      </dsp:nvSpPr>
      <dsp:spPr>
        <a:xfrm>
          <a:off x="199966" y="2313960"/>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F243E"/>
              </a:solidFill>
              <a:latin typeface="Aptos" panose="020B0004020202020204" pitchFamily="34" charset="0"/>
              <a:ea typeface="+mn-ea"/>
              <a:cs typeface="+mn-cs"/>
            </a:rPr>
            <a:t>Ambivalence (20 %)</a:t>
          </a:r>
        </a:p>
      </dsp:txBody>
      <dsp:txXfrm>
        <a:off x="206683" y="2320677"/>
        <a:ext cx="1580171" cy="215914"/>
      </dsp:txXfrm>
    </dsp:sp>
    <dsp:sp modelId="{07BE68D3-361C-403A-ACA1-154092756D9B}">
      <dsp:nvSpPr>
        <dsp:cNvPr id="0" name=""/>
        <dsp:cNvSpPr/>
      </dsp:nvSpPr>
      <dsp:spPr>
        <a:xfrm>
          <a:off x="199966" y="2578592"/>
          <a:ext cx="1593605" cy="229625"/>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noProof="0" dirty="0">
              <a:solidFill>
                <a:srgbClr val="0F243E"/>
              </a:solidFill>
              <a:latin typeface="Aptos" panose="020B0004020202020204" pitchFamily="34" charset="0"/>
              <a:ea typeface="+mn-ea"/>
              <a:cs typeface="+mn-cs"/>
            </a:rPr>
            <a:t>Dévoilement forcé </a:t>
          </a:r>
          <a:r>
            <a:rPr lang="en-US" sz="1000" kern="1200" dirty="0">
              <a:solidFill>
                <a:srgbClr val="0F243E"/>
              </a:solidFill>
              <a:latin typeface="Aptos" panose="020B0004020202020204" pitchFamily="34" charset="0"/>
              <a:ea typeface="+mn-ea"/>
              <a:cs typeface="+mn-cs"/>
            </a:rPr>
            <a:t>(20 %)</a:t>
          </a:r>
        </a:p>
      </dsp:txBody>
      <dsp:txXfrm>
        <a:off x="206691" y="2585317"/>
        <a:ext cx="1580155" cy="216175"/>
      </dsp:txXfrm>
    </dsp:sp>
    <dsp:sp modelId="{68A104FF-843F-4C08-B6E7-86A8CB4203B5}">
      <dsp:nvSpPr>
        <dsp:cNvPr id="0" name=""/>
        <dsp:cNvSpPr/>
      </dsp:nvSpPr>
      <dsp:spPr>
        <a:xfrm>
          <a:off x="199966" y="2843503"/>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F243E"/>
              </a:solidFill>
              <a:latin typeface="Interstate" panose="020B0604020202020204" charset="0"/>
              <a:ea typeface="+mn-ea"/>
              <a:cs typeface="+mn-cs"/>
            </a:rPr>
            <a:t>Menaces (18 %)</a:t>
          </a:r>
        </a:p>
      </dsp:txBody>
      <dsp:txXfrm>
        <a:off x="206683" y="2850220"/>
        <a:ext cx="1580171" cy="215914"/>
      </dsp:txXfrm>
    </dsp:sp>
    <dsp:sp modelId="{6DAA202C-66B5-4407-9C92-18BBCF4E3759}">
      <dsp:nvSpPr>
        <dsp:cNvPr id="0" name=""/>
        <dsp:cNvSpPr/>
      </dsp:nvSpPr>
      <dsp:spPr>
        <a:xfrm>
          <a:off x="199966" y="3108135"/>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CA" sz="1000" kern="1200" dirty="0">
              <a:solidFill>
                <a:srgbClr val="0F243E"/>
              </a:solidFill>
              <a:latin typeface="Interstate" panose="020B0604020202020204" charset="0"/>
              <a:ea typeface="+mn-ea"/>
              <a:cs typeface="+mn-cs"/>
            </a:rPr>
            <a:t>Blagues/moqueries (18 %)</a:t>
          </a:r>
          <a:endParaRPr lang="en-US" sz="1000" kern="1200" dirty="0">
            <a:solidFill>
              <a:srgbClr val="0F243E"/>
            </a:solidFill>
            <a:latin typeface="Interstate" panose="020B0604020202020204" charset="0"/>
            <a:ea typeface="+mn-ea"/>
            <a:cs typeface="+mn-cs"/>
          </a:endParaRPr>
        </a:p>
      </dsp:txBody>
      <dsp:txXfrm>
        <a:off x="206683" y="3114852"/>
        <a:ext cx="1580171" cy="215914"/>
      </dsp:txXfrm>
    </dsp:sp>
    <dsp:sp modelId="{7D83868B-0AD4-43FE-AC1C-A6842C05FE07}">
      <dsp:nvSpPr>
        <dsp:cNvPr id="0" name=""/>
        <dsp:cNvSpPr/>
      </dsp:nvSpPr>
      <dsp:spPr>
        <a:xfrm>
          <a:off x="199966" y="3372768"/>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F243E"/>
              </a:solidFill>
              <a:latin typeface="Aptos" panose="020B0004020202020204" pitchFamily="34" charset="0"/>
              <a:ea typeface="+mn-ea"/>
              <a:cs typeface="+mn-cs"/>
            </a:rPr>
            <a:t>Blâmer la victime (14 %)</a:t>
          </a:r>
        </a:p>
      </dsp:txBody>
      <dsp:txXfrm>
        <a:off x="206683" y="3379485"/>
        <a:ext cx="1580171" cy="215914"/>
      </dsp:txXfrm>
    </dsp:sp>
    <dsp:sp modelId="{32648D85-3332-4289-9122-B1A883585724}">
      <dsp:nvSpPr>
        <dsp:cNvPr id="0" name=""/>
        <dsp:cNvSpPr/>
      </dsp:nvSpPr>
      <dsp:spPr>
        <a:xfrm>
          <a:off x="199966" y="3637401"/>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dirty="0" err="1">
              <a:solidFill>
                <a:srgbClr val="0F243E"/>
              </a:solidFill>
              <a:latin typeface="Aptos" panose="020B0004020202020204" pitchFamily="34" charset="0"/>
              <a:ea typeface="+mn-ea"/>
              <a:cs typeface="+mn-cs"/>
            </a:rPr>
            <a:t>Mégenrage</a:t>
          </a:r>
          <a:r>
            <a:rPr lang="en-US" sz="1000" kern="1200" dirty="0">
              <a:solidFill>
                <a:srgbClr val="0F243E"/>
              </a:solidFill>
              <a:latin typeface="Aptos" panose="020B0004020202020204" pitchFamily="34" charset="0"/>
              <a:ea typeface="+mn-ea"/>
              <a:cs typeface="+mn-cs"/>
            </a:rPr>
            <a:t> (12 %)</a:t>
          </a:r>
        </a:p>
      </dsp:txBody>
      <dsp:txXfrm>
        <a:off x="206683" y="3644118"/>
        <a:ext cx="1580171" cy="215914"/>
      </dsp:txXfrm>
    </dsp:sp>
    <dsp:sp modelId="{B6FB0CD2-3B20-46A3-AD5C-1494F05F781C}">
      <dsp:nvSpPr>
        <dsp:cNvPr id="0" name=""/>
        <dsp:cNvSpPr/>
      </dsp:nvSpPr>
      <dsp:spPr>
        <a:xfrm>
          <a:off x="199966" y="3902033"/>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F243E"/>
              </a:solidFill>
              <a:latin typeface="Aptos" panose="020B0004020202020204" pitchFamily="34" charset="0"/>
              <a:ea typeface="+mn-ea"/>
              <a:cs typeface="+mn-cs"/>
            </a:rPr>
            <a:t>Musèlement (12 %)</a:t>
          </a:r>
        </a:p>
      </dsp:txBody>
      <dsp:txXfrm>
        <a:off x="206683" y="3908750"/>
        <a:ext cx="1580171" cy="215914"/>
      </dsp:txXfrm>
    </dsp:sp>
    <dsp:sp modelId="{2F96723D-16B7-49CD-9F54-04DC940E6BE2}">
      <dsp:nvSpPr>
        <dsp:cNvPr id="0" name=""/>
        <dsp:cNvSpPr/>
      </dsp:nvSpPr>
      <dsp:spPr>
        <a:xfrm>
          <a:off x="199966" y="4166666"/>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F243E"/>
              </a:solidFill>
              <a:latin typeface="Aptos" panose="020B0004020202020204" pitchFamily="34" charset="0"/>
              <a:ea typeface="+mn-ea"/>
              <a:cs typeface="+mn-cs"/>
            </a:rPr>
            <a:t>Propos à caractère sexuel (10 %)</a:t>
          </a:r>
        </a:p>
      </dsp:txBody>
      <dsp:txXfrm>
        <a:off x="206683" y="4173383"/>
        <a:ext cx="1580171" cy="215914"/>
      </dsp:txXfrm>
    </dsp:sp>
    <dsp:sp modelId="{359292FF-3684-45A9-B037-58EEB4A5DD74}">
      <dsp:nvSpPr>
        <dsp:cNvPr id="0" name=""/>
        <dsp:cNvSpPr/>
      </dsp:nvSpPr>
      <dsp:spPr>
        <a:xfrm>
          <a:off x="199966" y="4431299"/>
          <a:ext cx="1593605" cy="229348"/>
        </a:xfrm>
        <a:prstGeom prst="roundRect">
          <a:avLst>
            <a:gd name="adj" fmla="val 10000"/>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F243E"/>
              </a:solidFill>
              <a:latin typeface="Aptos" panose="020B0004020202020204" pitchFamily="34" charset="0"/>
              <a:ea typeface="+mn-ea"/>
              <a:cs typeface="+mn-cs"/>
            </a:rPr>
            <a:t>Manque de confidentialité (4 %)</a:t>
          </a:r>
        </a:p>
      </dsp:txBody>
      <dsp:txXfrm>
        <a:off x="206683" y="4438016"/>
        <a:ext cx="1580171" cy="215914"/>
      </dsp:txXfrm>
    </dsp:sp>
    <dsp:sp modelId="{C8F5949C-4098-4D2C-A5BF-7132CC2144E6}">
      <dsp:nvSpPr>
        <dsp:cNvPr id="0" name=""/>
        <dsp:cNvSpPr/>
      </dsp:nvSpPr>
      <dsp:spPr>
        <a:xfrm>
          <a:off x="2142173" y="0"/>
          <a:ext cx="1992007" cy="4907461"/>
        </a:xfrm>
        <a:prstGeom prst="roundRect">
          <a:avLst>
            <a:gd name="adj" fmla="val 10000"/>
          </a:avLst>
        </a:prstGeom>
        <a:solidFill>
          <a:srgbClr val="E3ECF9"/>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CA" sz="1600" kern="1200" dirty="0">
              <a:solidFill>
                <a:srgbClr val="0F243E"/>
              </a:solidFill>
              <a:latin typeface="Aptos" panose="020B0004020202020204" pitchFamily="34" charset="0"/>
              <a:ea typeface="+mn-ea"/>
              <a:cs typeface="+mn-cs"/>
            </a:rPr>
            <a:t>Conduites</a:t>
          </a:r>
          <a:br>
            <a:rPr lang="fr-CA" sz="1600" kern="1200" dirty="0">
              <a:solidFill>
                <a:srgbClr val="0F243E"/>
              </a:solidFill>
              <a:latin typeface="Aptos" panose="020B0004020202020204" pitchFamily="34" charset="0"/>
              <a:ea typeface="+mn-ea"/>
              <a:cs typeface="+mn-cs"/>
            </a:rPr>
          </a:br>
          <a:r>
            <a:rPr lang="fr-CA" sz="1600" kern="1200" dirty="0">
              <a:solidFill>
                <a:srgbClr val="0F243E"/>
              </a:solidFill>
              <a:latin typeface="Aptos" panose="020B0004020202020204" pitchFamily="34" charset="0"/>
              <a:ea typeface="+mn-ea"/>
              <a:cs typeface="+mn-cs"/>
            </a:rPr>
            <a:t>(32 %)</a:t>
          </a:r>
          <a:endParaRPr lang="en-US" sz="1600" kern="1200" dirty="0">
            <a:solidFill>
              <a:srgbClr val="0F243E"/>
            </a:solidFill>
            <a:latin typeface="Aptos" panose="020B0004020202020204" pitchFamily="34" charset="0"/>
            <a:ea typeface="+mn-ea"/>
            <a:cs typeface="+mn-cs"/>
          </a:endParaRPr>
        </a:p>
      </dsp:txBody>
      <dsp:txXfrm>
        <a:off x="2185293" y="43120"/>
        <a:ext cx="1905767" cy="1385998"/>
      </dsp:txXfrm>
    </dsp:sp>
    <dsp:sp modelId="{86475600-D1C2-4749-990E-065537FCD252}">
      <dsp:nvSpPr>
        <dsp:cNvPr id="0" name=""/>
        <dsp:cNvSpPr/>
      </dsp:nvSpPr>
      <dsp:spPr>
        <a:xfrm>
          <a:off x="2341374" y="1473166"/>
          <a:ext cx="1593605" cy="567724"/>
        </a:xfrm>
        <a:prstGeom prst="roundRect">
          <a:avLst>
            <a:gd name="adj" fmla="val 10000"/>
          </a:avLst>
        </a:prstGeom>
        <a:solidFill>
          <a:sysClr val="window" lastClr="FFFFFF">
            <a:hueOff val="0"/>
            <a:satOff val="0"/>
            <a:lumOff val="0"/>
            <a:alphaOff val="0"/>
          </a:sysClr>
        </a:solidFill>
        <a:ln w="3175" cap="flat" cmpd="sng" algn="ctr">
          <a:solidFill>
            <a:srgbClr val="0F243E"/>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fr-CA" sz="1400" kern="1200" dirty="0">
              <a:solidFill>
                <a:srgbClr val="0F243E"/>
              </a:solidFill>
              <a:latin typeface="Aptos" panose="020B0004020202020204" pitchFamily="34" charset="0"/>
              <a:ea typeface="+mn-ea"/>
              <a:cs typeface="+mn-cs"/>
            </a:rPr>
            <a:t>Gestes (55 %)</a:t>
          </a:r>
          <a:endParaRPr lang="en-US" sz="1400" kern="1200" dirty="0">
            <a:solidFill>
              <a:srgbClr val="0F243E"/>
            </a:solidFill>
            <a:latin typeface="Aptos" panose="020B0004020202020204" pitchFamily="34" charset="0"/>
            <a:ea typeface="+mn-ea"/>
            <a:cs typeface="+mn-cs"/>
          </a:endParaRPr>
        </a:p>
      </dsp:txBody>
      <dsp:txXfrm>
        <a:off x="2358002" y="1489794"/>
        <a:ext cx="1560349" cy="534468"/>
      </dsp:txXfrm>
    </dsp:sp>
    <dsp:sp modelId="{021BD49A-69C5-4D54-B9CC-95B0E5BAA976}">
      <dsp:nvSpPr>
        <dsp:cNvPr id="0" name=""/>
        <dsp:cNvSpPr/>
      </dsp:nvSpPr>
      <dsp:spPr>
        <a:xfrm>
          <a:off x="2341374" y="2128233"/>
          <a:ext cx="1593605" cy="567724"/>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fr-CA" sz="1400" kern="1200" dirty="0">
              <a:solidFill>
                <a:srgbClr val="0F243E"/>
              </a:solidFill>
              <a:latin typeface="Aptos" panose="020B0004020202020204" pitchFamily="34" charset="0"/>
              <a:ea typeface="+mn-ea"/>
              <a:cs typeface="+mn-cs"/>
            </a:rPr>
            <a:t>Violence physique (28 %)</a:t>
          </a:r>
          <a:endParaRPr lang="en-US" sz="1400" kern="1200" dirty="0">
            <a:solidFill>
              <a:srgbClr val="0F243E"/>
            </a:solidFill>
            <a:latin typeface="Aptos" panose="020B0004020202020204" pitchFamily="34" charset="0"/>
            <a:ea typeface="+mn-ea"/>
            <a:cs typeface="+mn-cs"/>
          </a:endParaRPr>
        </a:p>
      </dsp:txBody>
      <dsp:txXfrm>
        <a:off x="2358002" y="2144861"/>
        <a:ext cx="1560349" cy="534468"/>
      </dsp:txXfrm>
    </dsp:sp>
    <dsp:sp modelId="{95DDAE87-2594-4E96-BCA9-B0E5FC2BC34A}">
      <dsp:nvSpPr>
        <dsp:cNvPr id="0" name=""/>
        <dsp:cNvSpPr/>
      </dsp:nvSpPr>
      <dsp:spPr>
        <a:xfrm>
          <a:off x="2353294" y="2756247"/>
          <a:ext cx="1593605" cy="567724"/>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fr-CA" sz="1400" kern="1200" dirty="0">
              <a:solidFill>
                <a:srgbClr val="0F243E"/>
              </a:solidFill>
              <a:latin typeface="+mn-lt"/>
              <a:ea typeface="+mn-ea"/>
              <a:cs typeface="+mn-cs"/>
            </a:rPr>
            <a:t>Comportement insistant (14 %)</a:t>
          </a:r>
          <a:endParaRPr lang="en-US" sz="1400" kern="1200" dirty="0">
            <a:solidFill>
              <a:srgbClr val="0F243E"/>
            </a:solidFill>
            <a:latin typeface="+mn-lt"/>
            <a:ea typeface="+mn-ea"/>
            <a:cs typeface="+mn-cs"/>
          </a:endParaRPr>
        </a:p>
      </dsp:txBody>
      <dsp:txXfrm>
        <a:off x="2369922" y="2772875"/>
        <a:ext cx="1560349" cy="534468"/>
      </dsp:txXfrm>
    </dsp:sp>
    <dsp:sp modelId="{8813A561-BC46-4825-AC99-D3BD2689362E}">
      <dsp:nvSpPr>
        <dsp:cNvPr id="0" name=""/>
        <dsp:cNvSpPr/>
      </dsp:nvSpPr>
      <dsp:spPr>
        <a:xfrm>
          <a:off x="2341374" y="3438367"/>
          <a:ext cx="1593605" cy="567724"/>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fr-CA" sz="1400" kern="1200" dirty="0">
              <a:solidFill>
                <a:srgbClr val="0F243E"/>
              </a:solidFill>
              <a:latin typeface="Aptos" panose="020B0004020202020204" pitchFamily="34" charset="0"/>
              <a:ea typeface="+mn-ea"/>
              <a:cs typeface="+mn-cs"/>
            </a:rPr>
            <a:t>Invasion de la vie personnelle (13 %)</a:t>
          </a:r>
          <a:endParaRPr lang="en-US" sz="1400" kern="1200" dirty="0">
            <a:solidFill>
              <a:srgbClr val="0F243E"/>
            </a:solidFill>
            <a:latin typeface="Aptos" panose="020B0004020202020204" pitchFamily="34" charset="0"/>
            <a:ea typeface="+mn-ea"/>
            <a:cs typeface="+mn-cs"/>
          </a:endParaRPr>
        </a:p>
      </dsp:txBody>
      <dsp:txXfrm>
        <a:off x="2358002" y="3454995"/>
        <a:ext cx="1560349" cy="534468"/>
      </dsp:txXfrm>
    </dsp:sp>
    <dsp:sp modelId="{77F2BC8C-BC28-4252-9A85-542C50530D2A}">
      <dsp:nvSpPr>
        <dsp:cNvPr id="0" name=""/>
        <dsp:cNvSpPr/>
      </dsp:nvSpPr>
      <dsp:spPr>
        <a:xfrm>
          <a:off x="2341374" y="4093434"/>
          <a:ext cx="1593605" cy="567724"/>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rgbClr val="0F243E"/>
              </a:solidFill>
              <a:latin typeface="Aptos" panose="020B0004020202020204" pitchFamily="34" charset="0"/>
              <a:ea typeface="+mn-ea"/>
              <a:cs typeface="+mn-cs"/>
            </a:rPr>
            <a:t>Attouchements sexuels (5 %)</a:t>
          </a:r>
        </a:p>
      </dsp:txBody>
      <dsp:txXfrm>
        <a:off x="2358002" y="4110062"/>
        <a:ext cx="1560349" cy="534468"/>
      </dsp:txXfrm>
    </dsp:sp>
    <dsp:sp modelId="{B9DD7F3E-0BBF-48B0-BB68-482C06002909}">
      <dsp:nvSpPr>
        <dsp:cNvPr id="0" name=""/>
        <dsp:cNvSpPr/>
      </dsp:nvSpPr>
      <dsp:spPr>
        <a:xfrm>
          <a:off x="4283581" y="0"/>
          <a:ext cx="1992007" cy="4907461"/>
        </a:xfrm>
        <a:prstGeom prst="roundRect">
          <a:avLst>
            <a:gd name="adj" fmla="val 10000"/>
          </a:avLst>
        </a:prstGeom>
        <a:solidFill>
          <a:srgbClr val="CF3575"/>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CA" sz="1400" kern="1200" dirty="0">
              <a:solidFill>
                <a:srgbClr val="000000"/>
              </a:solidFill>
              <a:latin typeface="Aptos" panose="020B0004020202020204" pitchFamily="34" charset="0"/>
              <a:ea typeface="+mn-ea"/>
              <a:cs typeface="+mn-cs"/>
            </a:rPr>
            <a:t>Normes</a:t>
          </a:r>
          <a:br>
            <a:rPr lang="fr-CA" sz="1400" kern="1200" dirty="0">
              <a:solidFill>
                <a:srgbClr val="000000"/>
              </a:solidFill>
              <a:latin typeface="Aptos" panose="020B0004020202020204" pitchFamily="34" charset="0"/>
              <a:ea typeface="+mn-ea"/>
              <a:cs typeface="+mn-cs"/>
            </a:rPr>
          </a:br>
          <a:r>
            <a:rPr lang="fr-CA" sz="1400" kern="1200" dirty="0">
              <a:solidFill>
                <a:srgbClr val="000000"/>
              </a:solidFill>
              <a:latin typeface="Aptos" panose="020B0004020202020204" pitchFamily="34" charset="0"/>
              <a:ea typeface="+mn-ea"/>
              <a:cs typeface="+mn-cs"/>
            </a:rPr>
            <a:t>(4 %)</a:t>
          </a:r>
          <a:endParaRPr lang="en-US" sz="1400" kern="1200" dirty="0">
            <a:solidFill>
              <a:srgbClr val="000000"/>
            </a:solidFill>
            <a:latin typeface="Aptos" panose="020B0004020202020204" pitchFamily="34" charset="0"/>
            <a:ea typeface="+mn-ea"/>
            <a:cs typeface="+mn-cs"/>
          </a:endParaRPr>
        </a:p>
      </dsp:txBody>
      <dsp:txXfrm>
        <a:off x="4326701" y="43120"/>
        <a:ext cx="1905767" cy="1385998"/>
      </dsp:txXfrm>
    </dsp:sp>
    <dsp:sp modelId="{33F14C8E-38F4-4A62-B877-4D1246CB5716}">
      <dsp:nvSpPr>
        <dsp:cNvPr id="0" name=""/>
        <dsp:cNvSpPr/>
      </dsp:nvSpPr>
      <dsp:spPr>
        <a:xfrm>
          <a:off x="4482782" y="1473676"/>
          <a:ext cx="1593605" cy="1479666"/>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fr-CA" sz="1400" kern="1200" dirty="0">
              <a:solidFill>
                <a:srgbClr val="0F243E"/>
              </a:solidFill>
              <a:latin typeface="+mn-lt"/>
              <a:ea typeface="+mn-ea"/>
              <a:cs typeface="+mn-cs"/>
            </a:rPr>
            <a:t>Convention collective</a:t>
          </a:r>
          <a:br>
            <a:rPr lang="fr-CA" sz="1400" kern="1200" dirty="0">
              <a:solidFill>
                <a:srgbClr val="0F243E"/>
              </a:solidFill>
              <a:latin typeface="+mn-lt"/>
              <a:ea typeface="+mn-ea"/>
              <a:cs typeface="+mn-cs"/>
            </a:rPr>
          </a:br>
          <a:r>
            <a:rPr lang="fr-CA" sz="1400" kern="1200" dirty="0">
              <a:solidFill>
                <a:srgbClr val="0F243E"/>
              </a:solidFill>
              <a:latin typeface="+mn-lt"/>
              <a:ea typeface="+mn-ea"/>
              <a:cs typeface="+mn-cs"/>
            </a:rPr>
            <a:t> (29 %)</a:t>
          </a:r>
          <a:endParaRPr lang="en-US" sz="1400" kern="1200" dirty="0">
            <a:solidFill>
              <a:srgbClr val="0F243E"/>
            </a:solidFill>
            <a:latin typeface="+mn-lt"/>
            <a:ea typeface="+mn-ea"/>
            <a:cs typeface="+mn-cs"/>
          </a:endParaRPr>
        </a:p>
      </dsp:txBody>
      <dsp:txXfrm>
        <a:off x="4526120" y="1517014"/>
        <a:ext cx="1506929" cy="1392990"/>
      </dsp:txXfrm>
    </dsp:sp>
    <dsp:sp modelId="{F31F0F63-FAA3-422B-A6E5-15ADB52398D7}">
      <dsp:nvSpPr>
        <dsp:cNvPr id="0" name=""/>
        <dsp:cNvSpPr/>
      </dsp:nvSpPr>
      <dsp:spPr>
        <a:xfrm>
          <a:off x="4482782" y="3180983"/>
          <a:ext cx="1593605" cy="1479666"/>
        </a:xfrm>
        <a:prstGeom prst="roundRect">
          <a:avLst>
            <a:gd name="adj" fmla="val 10000"/>
          </a:avLst>
        </a:prstGeom>
        <a:solidFill>
          <a:sysClr val="window" lastClr="FFFFFF">
            <a:hueOff val="0"/>
            <a:satOff val="0"/>
            <a:lumOff val="0"/>
            <a:alphaOff val="0"/>
          </a:sysClr>
        </a:solidFill>
        <a:ln w="6350" cap="flat" cmpd="sng" algn="ctr">
          <a:solidFill>
            <a:srgbClr val="0F243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fr-CA" sz="1400" u="none" kern="1200" dirty="0">
              <a:solidFill>
                <a:srgbClr val="0F243E"/>
              </a:solidFill>
              <a:latin typeface="+mn-lt"/>
              <a:ea typeface="+mn-ea"/>
              <a:cs typeface="+mn-cs"/>
            </a:rPr>
            <a:t>Politique institutionnelle</a:t>
          </a:r>
          <a:br>
            <a:rPr lang="fr-CA" sz="1400" u="none" kern="1200" dirty="0">
              <a:solidFill>
                <a:srgbClr val="0F243E"/>
              </a:solidFill>
              <a:latin typeface="+mn-lt"/>
              <a:ea typeface="+mn-ea"/>
              <a:cs typeface="+mn-cs"/>
            </a:rPr>
          </a:br>
          <a:r>
            <a:rPr lang="fr-CA" sz="1400" u="none" kern="1200" dirty="0">
              <a:solidFill>
                <a:srgbClr val="0F243E"/>
              </a:solidFill>
              <a:latin typeface="+mn-lt"/>
              <a:ea typeface="+mn-ea"/>
              <a:cs typeface="+mn-cs"/>
            </a:rPr>
            <a:t> (71 %)</a:t>
          </a:r>
          <a:endParaRPr lang="en-US" sz="1400" u="none" kern="1200" dirty="0">
            <a:solidFill>
              <a:srgbClr val="0F243E"/>
            </a:solidFill>
            <a:latin typeface="+mn-lt"/>
            <a:ea typeface="+mn-ea"/>
            <a:cs typeface="+mn-cs"/>
          </a:endParaRPr>
        </a:p>
      </dsp:txBody>
      <dsp:txXfrm>
        <a:off x="4526120" y="3224321"/>
        <a:ext cx="1506929" cy="1392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F5451-0298-4F55-AA8C-2B2D02CF3BCB}">
      <dsp:nvSpPr>
        <dsp:cNvPr id="0" name=""/>
        <dsp:cNvSpPr/>
      </dsp:nvSpPr>
      <dsp:spPr>
        <a:xfrm>
          <a:off x="0" y="0"/>
          <a:ext cx="6213474" cy="4086026"/>
        </a:xfrm>
        <a:prstGeom prst="roundRect">
          <a:avLst>
            <a:gd name="adj" fmla="val 10000"/>
          </a:avLst>
        </a:prstGeom>
        <a:solidFill>
          <a:srgbClr val="E3ECF9"/>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CA" sz="1100" b="1" kern="1200">
              <a:solidFill>
                <a:srgbClr val="2A73D0"/>
              </a:solidFill>
              <a:latin typeface="Aptos" panose="020B0004020202020204" pitchFamily="34" charset="0"/>
              <a:ea typeface="+mn-ea"/>
              <a:cs typeface="+mn-cs"/>
            </a:rPr>
            <a:t>Schéma 2 </a:t>
          </a:r>
        </a:p>
        <a:p>
          <a:pPr marL="0" lvl="0" indent="0" algn="ctr" defTabSz="488950">
            <a:lnSpc>
              <a:spcPct val="90000"/>
            </a:lnSpc>
            <a:spcBef>
              <a:spcPct val="0"/>
            </a:spcBef>
            <a:spcAft>
              <a:spcPct val="35000"/>
            </a:spcAft>
            <a:buNone/>
          </a:pPr>
          <a:r>
            <a:rPr lang="fr-CA" sz="1100" b="0" kern="1200">
              <a:solidFill>
                <a:srgbClr val="2A73D0"/>
              </a:solidFill>
              <a:latin typeface="Aptos" panose="020B0004020202020204" pitchFamily="34" charset="0"/>
              <a:ea typeface="+mn-ea"/>
              <a:cs typeface="+mn-cs"/>
            </a:rPr>
            <a:t>Proportions de plaintes pour discrimination en emploi</a:t>
          </a:r>
          <a:br>
            <a:rPr lang="fr-CA" sz="1100" b="0" kern="1200">
              <a:solidFill>
                <a:srgbClr val="2A73D0"/>
              </a:solidFill>
              <a:latin typeface="Aptos" panose="020B0004020202020204" pitchFamily="34" charset="0"/>
              <a:ea typeface="+mn-ea"/>
              <a:cs typeface="+mn-cs"/>
            </a:rPr>
          </a:br>
          <a:r>
            <a:rPr lang="fr-CA" sz="1100" b="0" kern="1200">
              <a:solidFill>
                <a:srgbClr val="2A73D0"/>
              </a:solidFill>
              <a:latin typeface="Aptos" panose="020B0004020202020204" pitchFamily="34" charset="0"/>
              <a:ea typeface="+mn-ea"/>
              <a:cs typeface="+mn-cs"/>
            </a:rPr>
            <a:t> fondée sur l’orientation sexuelle et l’identité ou l’expression du genre</a:t>
          </a:r>
          <a:br>
            <a:rPr lang="fr-CA" sz="1100" b="0" kern="1200">
              <a:solidFill>
                <a:srgbClr val="2A73D0"/>
              </a:solidFill>
              <a:latin typeface="Aptos" panose="020B0004020202020204" pitchFamily="34" charset="0"/>
              <a:ea typeface="+mn-ea"/>
              <a:cs typeface="+mn-cs"/>
            </a:rPr>
          </a:br>
          <a:r>
            <a:rPr lang="fr-CA" sz="1100" b="0" kern="1200">
              <a:solidFill>
                <a:srgbClr val="2A73D0"/>
              </a:solidFill>
              <a:latin typeface="Aptos" panose="020B0004020202020204" pitchFamily="34" charset="0"/>
              <a:ea typeface="+mn-ea"/>
              <a:cs typeface="+mn-cs"/>
            </a:rPr>
            <a:t> alléguant un climat de travail discriminatoire dans le corpus qualitatif (1994 – 2020), n = 201 </a:t>
          </a:r>
        </a:p>
        <a:p>
          <a:pPr marL="0" lvl="0" indent="0" algn="ctr" defTabSz="488950">
            <a:lnSpc>
              <a:spcPct val="90000"/>
            </a:lnSpc>
            <a:spcBef>
              <a:spcPct val="0"/>
            </a:spcBef>
            <a:spcAft>
              <a:spcPct val="35000"/>
            </a:spcAft>
            <a:buNone/>
          </a:pPr>
          <a:r>
            <a:rPr lang="fr-CA" sz="1300" b="1" kern="1200">
              <a:solidFill>
                <a:schemeClr val="tx2"/>
              </a:solidFill>
              <a:latin typeface="Aptos" panose="020B0004020202020204" pitchFamily="34" charset="0"/>
              <a:ea typeface="+mn-ea"/>
              <a:cs typeface="+mn-cs"/>
            </a:rPr>
            <a:t>Climat de travail (63 %)</a:t>
          </a:r>
        </a:p>
      </dsp:txBody>
      <dsp:txXfrm>
        <a:off x="35903" y="35903"/>
        <a:ext cx="6141668" cy="1154001"/>
      </dsp:txXfrm>
    </dsp:sp>
    <dsp:sp modelId="{0FEE8776-A90A-4843-855B-88E2BA148A37}">
      <dsp:nvSpPr>
        <dsp:cNvPr id="0" name=""/>
        <dsp:cNvSpPr/>
      </dsp:nvSpPr>
      <dsp:spPr>
        <a:xfrm>
          <a:off x="614984" y="1176050"/>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Tolérance de l'homophobie et de la transphobie (45 %)</a:t>
          </a:r>
        </a:p>
      </dsp:txBody>
      <dsp:txXfrm>
        <a:off x="621811" y="1182877"/>
        <a:ext cx="4957126" cy="219451"/>
      </dsp:txXfrm>
    </dsp:sp>
    <dsp:sp modelId="{1CD112FE-C9DE-4CD0-BD84-909E9A0278A8}">
      <dsp:nvSpPr>
        <dsp:cNvPr id="0" name=""/>
        <dsp:cNvSpPr/>
      </dsp:nvSpPr>
      <dsp:spPr>
        <a:xfrm>
          <a:off x="621347" y="1495823"/>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Climat de travail hostile (31 %)</a:t>
          </a:r>
        </a:p>
      </dsp:txBody>
      <dsp:txXfrm>
        <a:off x="628174" y="1502650"/>
        <a:ext cx="4957126" cy="219451"/>
      </dsp:txXfrm>
    </dsp:sp>
    <dsp:sp modelId="{3DFE1769-AFBD-4BA6-ADA6-94FCCA8049F7}">
      <dsp:nvSpPr>
        <dsp:cNvPr id="0" name=""/>
        <dsp:cNvSpPr/>
      </dsp:nvSpPr>
      <dsp:spPr>
        <a:xfrm>
          <a:off x="621347" y="1764792"/>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Climat de travail désagréable (30 %)</a:t>
          </a:r>
        </a:p>
      </dsp:txBody>
      <dsp:txXfrm>
        <a:off x="628174" y="1771619"/>
        <a:ext cx="4957126" cy="219451"/>
      </dsp:txXfrm>
    </dsp:sp>
    <dsp:sp modelId="{9FD2EF48-6FBB-472D-A5B1-DE3072FCC99E}">
      <dsp:nvSpPr>
        <dsp:cNvPr id="0" name=""/>
        <dsp:cNvSpPr/>
      </dsp:nvSpPr>
      <dsp:spPr>
        <a:xfrm>
          <a:off x="621347" y="2033760"/>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Isolement (23 %)</a:t>
          </a:r>
        </a:p>
      </dsp:txBody>
      <dsp:txXfrm>
        <a:off x="628174" y="2040587"/>
        <a:ext cx="4957126" cy="219451"/>
      </dsp:txXfrm>
    </dsp:sp>
    <dsp:sp modelId="{9F42CC8C-79A1-4C8D-B692-B0BAEE088FC3}">
      <dsp:nvSpPr>
        <dsp:cNvPr id="0" name=""/>
        <dsp:cNvSpPr/>
      </dsp:nvSpPr>
      <dsp:spPr>
        <a:xfrm>
          <a:off x="621347" y="2302729"/>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Circulation de rumeurs (17 %)</a:t>
          </a:r>
        </a:p>
      </dsp:txBody>
      <dsp:txXfrm>
        <a:off x="628174" y="2309556"/>
        <a:ext cx="4957126" cy="219451"/>
      </dsp:txXfrm>
    </dsp:sp>
    <dsp:sp modelId="{7AEFFE22-A519-4B25-BCE5-C6D9E7DEA992}">
      <dsp:nvSpPr>
        <dsp:cNvPr id="0" name=""/>
        <dsp:cNvSpPr/>
      </dsp:nvSpPr>
      <dsp:spPr>
        <a:xfrm>
          <a:off x="621347" y="2571697"/>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Traitement humiliant (12 %)</a:t>
          </a:r>
        </a:p>
      </dsp:txBody>
      <dsp:txXfrm>
        <a:off x="628174" y="2578524"/>
        <a:ext cx="4957126" cy="219451"/>
      </dsp:txXfrm>
    </dsp:sp>
    <dsp:sp modelId="{5C340B3D-E31A-4A9E-9326-8CC85A73024F}">
      <dsp:nvSpPr>
        <dsp:cNvPr id="0" name=""/>
        <dsp:cNvSpPr/>
      </dsp:nvSpPr>
      <dsp:spPr>
        <a:xfrm>
          <a:off x="621347" y="2840665"/>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Questions gênantes (10 %)</a:t>
          </a:r>
        </a:p>
      </dsp:txBody>
      <dsp:txXfrm>
        <a:off x="628174" y="2847492"/>
        <a:ext cx="4957126" cy="219451"/>
      </dsp:txXfrm>
    </dsp:sp>
    <dsp:sp modelId="{F3430513-F24C-40C0-BB25-74FA71324D5E}">
      <dsp:nvSpPr>
        <dsp:cNvPr id="0" name=""/>
        <dsp:cNvSpPr/>
      </dsp:nvSpPr>
      <dsp:spPr>
        <a:xfrm>
          <a:off x="621347" y="3109634"/>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Règles non écrites (7 %)</a:t>
          </a:r>
        </a:p>
      </dsp:txBody>
      <dsp:txXfrm>
        <a:off x="628174" y="3116461"/>
        <a:ext cx="4957126" cy="219451"/>
      </dsp:txXfrm>
    </dsp:sp>
    <dsp:sp modelId="{32DB5339-A635-4969-84CE-A344D2688489}">
      <dsp:nvSpPr>
        <dsp:cNvPr id="0" name=""/>
        <dsp:cNvSpPr/>
      </dsp:nvSpPr>
      <dsp:spPr>
        <a:xfrm>
          <a:off x="621347" y="3378602"/>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Manifestations graphiques (4 %)</a:t>
          </a:r>
        </a:p>
      </dsp:txBody>
      <dsp:txXfrm>
        <a:off x="628174" y="3385429"/>
        <a:ext cx="4957126" cy="219451"/>
      </dsp:txXfrm>
    </dsp:sp>
    <dsp:sp modelId="{768A0FE4-9A6F-415C-AFD7-7D33C60AEB93}">
      <dsp:nvSpPr>
        <dsp:cNvPr id="0" name=""/>
        <dsp:cNvSpPr/>
      </dsp:nvSpPr>
      <dsp:spPr>
        <a:xfrm>
          <a:off x="621347" y="3647571"/>
          <a:ext cx="4970780" cy="233105"/>
        </a:xfrm>
        <a:prstGeom prst="roundRect">
          <a:avLst>
            <a:gd name="adj" fmla="val 10000"/>
          </a:avLst>
        </a:prstGeom>
        <a:solidFill>
          <a:srgbClr val="0F243E"/>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fr-CA" sz="1200" kern="1200">
              <a:solidFill>
                <a:sysClr val="window" lastClr="FFFFFF"/>
              </a:solidFill>
              <a:latin typeface="Aptos" panose="020B0004020202020204" pitchFamily="34" charset="0"/>
              <a:ea typeface="+mn-ea"/>
              <a:cs typeface="+mn-cs"/>
            </a:rPr>
            <a:t>Regards déplacés (4 %)</a:t>
          </a:r>
        </a:p>
      </dsp:txBody>
      <dsp:txXfrm>
        <a:off x="628174" y="3654398"/>
        <a:ext cx="4957126" cy="2194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347806-AD1D-4CDC-A2DD-CC1863D3B8F3}">
      <dsp:nvSpPr>
        <dsp:cNvPr id="0" name=""/>
        <dsp:cNvSpPr/>
      </dsp:nvSpPr>
      <dsp:spPr>
        <a:xfrm>
          <a:off x="1459" y="0"/>
          <a:ext cx="1432331" cy="5389008"/>
        </a:xfrm>
        <a:prstGeom prst="roundRect">
          <a:avLst>
            <a:gd name="adj" fmla="val 10000"/>
          </a:avLst>
        </a:prstGeom>
        <a:solidFill>
          <a:srgbClr val="E3ECF9"/>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CA" sz="1200" b="1" kern="1200">
              <a:solidFill>
                <a:sysClr val="windowText" lastClr="000000">
                  <a:hueOff val="0"/>
                  <a:satOff val="0"/>
                  <a:lumOff val="0"/>
                  <a:alphaOff val="0"/>
                </a:sysClr>
              </a:solidFill>
              <a:latin typeface="+mn-lt"/>
              <a:ea typeface="+mn-ea"/>
              <a:cs typeface="+mn-cs"/>
            </a:rPr>
            <a:t>Effets sur les conditions de travail </a:t>
          </a:r>
        </a:p>
        <a:p>
          <a:pPr marL="0" lvl="0" indent="0" algn="ctr" defTabSz="533400">
            <a:lnSpc>
              <a:spcPct val="90000"/>
            </a:lnSpc>
            <a:spcBef>
              <a:spcPct val="0"/>
            </a:spcBef>
            <a:spcAft>
              <a:spcPct val="35000"/>
            </a:spcAft>
            <a:buNone/>
          </a:pPr>
          <a:r>
            <a:rPr lang="fr-CA" sz="1200" b="1" kern="1200">
              <a:solidFill>
                <a:sysClr val="windowText" lastClr="000000">
                  <a:hueOff val="0"/>
                  <a:satOff val="0"/>
                  <a:lumOff val="0"/>
                  <a:alphaOff val="0"/>
                </a:sysClr>
              </a:solidFill>
              <a:latin typeface="+mn-lt"/>
              <a:ea typeface="+mn-ea"/>
              <a:cs typeface="+mn-cs"/>
            </a:rPr>
            <a:t>(78 %)</a:t>
          </a:r>
          <a:endParaRPr lang="fr-CA" sz="2400" b="1" kern="1200">
            <a:solidFill>
              <a:sysClr val="windowText" lastClr="000000">
                <a:hueOff val="0"/>
                <a:satOff val="0"/>
                <a:lumOff val="0"/>
                <a:alphaOff val="0"/>
              </a:sysClr>
            </a:solidFill>
            <a:latin typeface="+mn-lt"/>
            <a:ea typeface="+mn-ea"/>
            <a:cs typeface="+mn-cs"/>
          </a:endParaRPr>
        </a:p>
      </dsp:txBody>
      <dsp:txXfrm>
        <a:off x="43411" y="41952"/>
        <a:ext cx="1348427" cy="1532798"/>
      </dsp:txXfrm>
    </dsp:sp>
    <dsp:sp modelId="{AF291D0D-E2AF-4972-A156-3547A019D395}">
      <dsp:nvSpPr>
        <dsp:cNvPr id="0" name=""/>
        <dsp:cNvSpPr/>
      </dsp:nvSpPr>
      <dsp:spPr>
        <a:xfrm>
          <a:off x="157572" y="1185249"/>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Perte</a:t>
          </a:r>
          <a:r>
            <a:rPr lang="fr-CA" sz="900" kern="1200">
              <a:solidFill>
                <a:sysClr val="window" lastClr="FFFFFF"/>
              </a:solidFill>
              <a:latin typeface="+mn-lt"/>
              <a:ea typeface="+mn-ea"/>
              <a:cs typeface="+mn-cs"/>
            </a:rPr>
            <a:t> d'emploi (63 %)</a:t>
          </a:r>
        </a:p>
      </dsp:txBody>
      <dsp:txXfrm>
        <a:off x="166577" y="1194254"/>
        <a:ext cx="1127855" cy="289430"/>
      </dsp:txXfrm>
    </dsp:sp>
    <dsp:sp modelId="{477D5C98-EA44-4EBC-986C-7E101C1EF9D0}">
      <dsp:nvSpPr>
        <dsp:cNvPr id="0" name=""/>
        <dsp:cNvSpPr/>
      </dsp:nvSpPr>
      <dsp:spPr>
        <a:xfrm>
          <a:off x="144681" y="1587554"/>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Charge</a:t>
          </a:r>
          <a:r>
            <a:rPr lang="fr-CA" sz="900" kern="1200">
              <a:solidFill>
                <a:sysClr val="window" lastClr="FFFFFF"/>
              </a:solidFill>
              <a:latin typeface="+mn-lt"/>
              <a:ea typeface="+mn-ea"/>
              <a:cs typeface="+mn-cs"/>
            </a:rPr>
            <a:t> de travail</a:t>
          </a:r>
          <a:br>
            <a:rPr lang="fr-CA" sz="900" kern="1200">
              <a:solidFill>
                <a:sysClr val="window" lastClr="FFFFFF"/>
              </a:solidFill>
              <a:latin typeface="+mn-lt"/>
              <a:ea typeface="+mn-ea"/>
              <a:cs typeface="+mn-cs"/>
            </a:rPr>
          </a:br>
          <a:r>
            <a:rPr lang="fr-CA" sz="900" kern="1200">
              <a:solidFill>
                <a:sysClr val="window" lastClr="FFFFFF"/>
              </a:solidFill>
              <a:latin typeface="+mn-lt"/>
              <a:ea typeface="+mn-ea"/>
              <a:cs typeface="+mn-cs"/>
            </a:rPr>
            <a:t>(17 %)</a:t>
          </a:r>
        </a:p>
      </dsp:txBody>
      <dsp:txXfrm>
        <a:off x="153686" y="1596559"/>
        <a:ext cx="1127855" cy="289430"/>
      </dsp:txXfrm>
    </dsp:sp>
    <dsp:sp modelId="{F8670114-28CF-4F5E-8928-C1A603A85166}">
      <dsp:nvSpPr>
        <dsp:cNvPr id="0" name=""/>
        <dsp:cNvSpPr/>
      </dsp:nvSpPr>
      <dsp:spPr>
        <a:xfrm>
          <a:off x="144681" y="1989858"/>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Refus d'embauche (15 %)</a:t>
          </a:r>
        </a:p>
      </dsp:txBody>
      <dsp:txXfrm>
        <a:off x="153686" y="1998863"/>
        <a:ext cx="1127855" cy="289430"/>
      </dsp:txXfrm>
    </dsp:sp>
    <dsp:sp modelId="{B955DDB3-EC6D-4F89-8590-F53222B9509B}">
      <dsp:nvSpPr>
        <dsp:cNvPr id="0" name=""/>
        <dsp:cNvSpPr/>
      </dsp:nvSpPr>
      <dsp:spPr>
        <a:xfrm>
          <a:off x="151132" y="2373133"/>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Représailles (13 %)</a:t>
          </a:r>
        </a:p>
      </dsp:txBody>
      <dsp:txXfrm>
        <a:off x="160137" y="2382138"/>
        <a:ext cx="1127855" cy="289430"/>
      </dsp:txXfrm>
    </dsp:sp>
    <dsp:sp modelId="{6987E665-588F-4613-B06C-44CB93FD0E86}">
      <dsp:nvSpPr>
        <dsp:cNvPr id="0" name=""/>
        <dsp:cNvSpPr/>
      </dsp:nvSpPr>
      <dsp:spPr>
        <a:xfrm>
          <a:off x="138264" y="2756412"/>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 lastClr="FFFFFF"/>
              </a:solidFill>
              <a:latin typeface="Aptos" panose="020B0004020202020204" pitchFamily="34" charset="0"/>
              <a:ea typeface="+mn-ea"/>
              <a:cs typeface="+mn-cs"/>
            </a:rPr>
            <a:t>Évaluation biaisée </a:t>
          </a:r>
          <a:br>
            <a:rPr lang="fr-CA" sz="900" kern="1200">
              <a:solidFill>
                <a:sysClr val="window" lastClr="FFFFFF"/>
              </a:solidFill>
              <a:latin typeface="Aptos" panose="020B0004020202020204" pitchFamily="34" charset="0"/>
              <a:ea typeface="+mn-ea"/>
              <a:cs typeface="+mn-cs"/>
            </a:rPr>
          </a:br>
          <a:r>
            <a:rPr lang="fr-CA" sz="900" kern="1200">
              <a:solidFill>
                <a:sysClr val="window" lastClr="FFFFFF"/>
              </a:solidFill>
              <a:latin typeface="Aptos" panose="020B0004020202020204" pitchFamily="34" charset="0"/>
              <a:ea typeface="+mn-ea"/>
              <a:cs typeface="+mn-cs"/>
            </a:rPr>
            <a:t>(11 %)</a:t>
          </a:r>
        </a:p>
      </dsp:txBody>
      <dsp:txXfrm>
        <a:off x="147269" y="2765417"/>
        <a:ext cx="1127855" cy="289430"/>
      </dsp:txXfrm>
    </dsp:sp>
    <dsp:sp modelId="{C847BA51-31BE-46D1-B414-E21AB09779C1}">
      <dsp:nvSpPr>
        <dsp:cNvPr id="0" name=""/>
        <dsp:cNvSpPr/>
      </dsp:nvSpPr>
      <dsp:spPr>
        <a:xfrm>
          <a:off x="138253" y="3125423"/>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 lastClr="FFFFFF"/>
              </a:solidFill>
              <a:latin typeface="+mn-lt"/>
              <a:ea typeface="+mn-ea"/>
              <a:cs typeface="+mn-cs"/>
            </a:rPr>
            <a:t>Refus de </a:t>
          </a:r>
          <a:r>
            <a:rPr lang="fr-CA" sz="900" kern="1200">
              <a:latin typeface="+mn-lt"/>
            </a:rPr>
            <a:t>promotion</a:t>
          </a:r>
          <a:r>
            <a:rPr lang="fr-CA" sz="900" kern="1200">
              <a:solidFill>
                <a:sysClr val="window" lastClr="FFFFFF"/>
              </a:solidFill>
              <a:latin typeface="+mn-lt"/>
              <a:ea typeface="+mn-ea"/>
              <a:cs typeface="+mn-cs"/>
            </a:rPr>
            <a:t> ou de mutation (10%)</a:t>
          </a:r>
        </a:p>
      </dsp:txBody>
      <dsp:txXfrm>
        <a:off x="147258" y="3134428"/>
        <a:ext cx="1127855" cy="289430"/>
      </dsp:txXfrm>
    </dsp:sp>
    <dsp:sp modelId="{9B5D442A-669F-45C9-9E38-128815F0A432}">
      <dsp:nvSpPr>
        <dsp:cNvPr id="0" name=""/>
        <dsp:cNvSpPr/>
      </dsp:nvSpPr>
      <dsp:spPr>
        <a:xfrm>
          <a:off x="125373" y="3489671"/>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Aptos" panose="020B0004020202020204" pitchFamily="34" charset="0"/>
            </a:rPr>
            <a:t>Démission (9 %)</a:t>
          </a:r>
        </a:p>
      </dsp:txBody>
      <dsp:txXfrm>
        <a:off x="134378" y="3498676"/>
        <a:ext cx="1127855" cy="289430"/>
      </dsp:txXfrm>
    </dsp:sp>
    <dsp:sp modelId="{3B950462-D08B-433F-8CA8-70272189E6D0}">
      <dsp:nvSpPr>
        <dsp:cNvPr id="0" name=""/>
        <dsp:cNvSpPr/>
      </dsp:nvSpPr>
      <dsp:spPr>
        <a:xfrm>
          <a:off x="112493" y="3882462"/>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 lastClr="FFFFFF"/>
              </a:solidFill>
              <a:latin typeface="Aptos" panose="020B0004020202020204" pitchFamily="34" charset="0"/>
              <a:ea typeface="+mn-ea"/>
              <a:cs typeface="+mn-cs"/>
            </a:rPr>
            <a:t>Application des </a:t>
          </a:r>
          <a:r>
            <a:rPr lang="fr-CA" sz="900" kern="1200">
              <a:latin typeface="Aptos" panose="020B0004020202020204" pitchFamily="34" charset="0"/>
            </a:rPr>
            <a:t>conditions</a:t>
          </a:r>
          <a:r>
            <a:rPr lang="fr-CA" sz="900" kern="1200">
              <a:solidFill>
                <a:sysClr val="window" lastClr="FFFFFF"/>
              </a:solidFill>
              <a:latin typeface="Aptos" panose="020B0004020202020204" pitchFamily="34" charset="0"/>
              <a:ea typeface="+mn-ea"/>
              <a:cs typeface="+mn-cs"/>
            </a:rPr>
            <a:t> de travail (8 %)</a:t>
          </a:r>
        </a:p>
      </dsp:txBody>
      <dsp:txXfrm>
        <a:off x="121498" y="3891467"/>
        <a:ext cx="1127855" cy="289430"/>
      </dsp:txXfrm>
    </dsp:sp>
    <dsp:sp modelId="{E903191F-B914-44EE-BBAD-C57E0F9F5FD0}">
      <dsp:nvSpPr>
        <dsp:cNvPr id="0" name=""/>
        <dsp:cNvSpPr/>
      </dsp:nvSpPr>
      <dsp:spPr>
        <a:xfrm>
          <a:off x="118933" y="4265741"/>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Aptos" panose="020B0004020202020204" pitchFamily="34" charset="0"/>
            </a:rPr>
            <a:t>Sanctions</a:t>
          </a:r>
          <a:r>
            <a:rPr lang="fr-CA" sz="900" kern="1200">
              <a:solidFill>
                <a:sysClr val="window" lastClr="FFFFFF"/>
              </a:solidFill>
              <a:latin typeface="Aptos" panose="020B0004020202020204" pitchFamily="34" charset="0"/>
              <a:ea typeface="+mn-ea"/>
              <a:cs typeface="+mn-cs"/>
            </a:rPr>
            <a:t> disciplinaires (5 %)</a:t>
          </a:r>
        </a:p>
      </dsp:txBody>
      <dsp:txXfrm>
        <a:off x="127938" y="4274746"/>
        <a:ext cx="1127855" cy="289430"/>
      </dsp:txXfrm>
    </dsp:sp>
    <dsp:sp modelId="{46F81185-9D33-4FB3-8ADA-8EBD0AE30AD0}">
      <dsp:nvSpPr>
        <dsp:cNvPr id="0" name=""/>
        <dsp:cNvSpPr/>
      </dsp:nvSpPr>
      <dsp:spPr>
        <a:xfrm>
          <a:off x="131813" y="4663285"/>
          <a:ext cx="1145865" cy="30744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Aptos" panose="020B0004020202020204" pitchFamily="34" charset="0"/>
            </a:rPr>
            <a:t>Modification du travail quotidien (3 %)</a:t>
          </a:r>
        </a:p>
      </dsp:txBody>
      <dsp:txXfrm>
        <a:off x="140818" y="4672290"/>
        <a:ext cx="1127855" cy="289430"/>
      </dsp:txXfrm>
    </dsp:sp>
    <dsp:sp modelId="{56A3BC8C-0731-4799-8CF7-E2D4A21880EB}">
      <dsp:nvSpPr>
        <dsp:cNvPr id="0" name=""/>
        <dsp:cNvSpPr/>
      </dsp:nvSpPr>
      <dsp:spPr>
        <a:xfrm>
          <a:off x="1541215" y="0"/>
          <a:ext cx="1432331" cy="5389008"/>
        </a:xfrm>
        <a:prstGeom prst="roundRect">
          <a:avLst>
            <a:gd name="adj" fmla="val 10000"/>
          </a:avLst>
        </a:prstGeom>
        <a:solidFill>
          <a:srgbClr val="2A73D0"/>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CA" sz="1200" b="1" kern="1200">
              <a:solidFill>
                <a:schemeClr val="bg1"/>
              </a:solidFill>
              <a:latin typeface="+mn-lt"/>
              <a:ea typeface="+mn-ea"/>
              <a:cs typeface="+mn-cs"/>
            </a:rPr>
            <a:t>Effets sur la vie personnelle </a:t>
          </a:r>
        </a:p>
        <a:p>
          <a:pPr marL="0" lvl="0" indent="0" algn="ctr" defTabSz="533400">
            <a:lnSpc>
              <a:spcPct val="90000"/>
            </a:lnSpc>
            <a:spcBef>
              <a:spcPct val="0"/>
            </a:spcBef>
            <a:spcAft>
              <a:spcPct val="35000"/>
            </a:spcAft>
            <a:buNone/>
          </a:pPr>
          <a:r>
            <a:rPr lang="fr-CA" sz="1200" b="1" kern="1200">
              <a:solidFill>
                <a:schemeClr val="bg1"/>
              </a:solidFill>
              <a:latin typeface="+mn-lt"/>
              <a:ea typeface="+mn-ea"/>
              <a:cs typeface="+mn-cs"/>
            </a:rPr>
            <a:t>(38 %)</a:t>
          </a:r>
          <a:endParaRPr lang="fr-CA" sz="2400" b="1" kern="1200">
            <a:solidFill>
              <a:schemeClr val="bg1"/>
            </a:solidFill>
            <a:latin typeface="+mn-lt"/>
            <a:ea typeface="+mn-ea"/>
            <a:cs typeface="+mn-cs"/>
          </a:endParaRPr>
        </a:p>
      </dsp:txBody>
      <dsp:txXfrm>
        <a:off x="1583167" y="41952"/>
        <a:ext cx="1348427" cy="1532798"/>
      </dsp:txXfrm>
    </dsp:sp>
    <dsp:sp modelId="{A66E6F0A-96DB-45AA-A35B-1A6C99D1DF81}">
      <dsp:nvSpPr>
        <dsp:cNvPr id="0" name=""/>
        <dsp:cNvSpPr/>
      </dsp:nvSpPr>
      <dsp:spPr>
        <a:xfrm>
          <a:off x="1665129" y="1218150"/>
          <a:ext cx="1145865" cy="38569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Abattement</a:t>
          </a:r>
          <a:br>
            <a:rPr lang="fr-CA" sz="900" kern="1200">
              <a:latin typeface="+mn-lt"/>
            </a:rPr>
          </a:br>
          <a:r>
            <a:rPr lang="fr-CA" sz="900" kern="1200">
              <a:solidFill>
                <a:sysClr val="window" lastClr="FFFFFF"/>
              </a:solidFill>
              <a:latin typeface="+mn-lt"/>
              <a:ea typeface="+mn-ea"/>
              <a:cs typeface="+mn-cs"/>
            </a:rPr>
            <a:t> (53 %)</a:t>
          </a:r>
        </a:p>
      </dsp:txBody>
      <dsp:txXfrm>
        <a:off x="1676425" y="1229446"/>
        <a:ext cx="1123273" cy="363098"/>
      </dsp:txXfrm>
    </dsp:sp>
    <dsp:sp modelId="{25AC82BB-1E67-45EF-B40E-F7F7EB13433D}">
      <dsp:nvSpPr>
        <dsp:cNvPr id="0" name=""/>
        <dsp:cNvSpPr/>
      </dsp:nvSpPr>
      <dsp:spPr>
        <a:xfrm>
          <a:off x="1658701" y="1701229"/>
          <a:ext cx="1145865" cy="38569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Angoisse, anxiété, peur</a:t>
          </a:r>
          <a:br>
            <a:rPr lang="fr-CA" sz="900" kern="1200">
              <a:latin typeface="+mn-lt"/>
            </a:rPr>
          </a:br>
          <a:r>
            <a:rPr lang="fr-CA" sz="900" kern="1200">
              <a:latin typeface="+mn-lt"/>
            </a:rPr>
            <a:t> (16 %)</a:t>
          </a:r>
        </a:p>
      </dsp:txBody>
      <dsp:txXfrm>
        <a:off x="1669997" y="1712525"/>
        <a:ext cx="1123273" cy="363098"/>
      </dsp:txXfrm>
    </dsp:sp>
    <dsp:sp modelId="{C4268063-9220-453D-9666-6884283FFD01}">
      <dsp:nvSpPr>
        <dsp:cNvPr id="0" name=""/>
        <dsp:cNvSpPr/>
      </dsp:nvSpPr>
      <dsp:spPr>
        <a:xfrm>
          <a:off x="1684448" y="2208090"/>
          <a:ext cx="1145865" cy="38569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Conséquences matérielles</a:t>
          </a:r>
          <a:br>
            <a:rPr lang="fr-CA" sz="900" kern="1200">
              <a:latin typeface="+mn-lt"/>
            </a:rPr>
          </a:br>
          <a:r>
            <a:rPr lang="fr-CA" sz="900" kern="1200">
              <a:latin typeface="+mn-lt"/>
            </a:rPr>
            <a:t>(12 %)</a:t>
          </a:r>
        </a:p>
      </dsp:txBody>
      <dsp:txXfrm>
        <a:off x="1695744" y="2219386"/>
        <a:ext cx="1123273" cy="363098"/>
      </dsp:txXfrm>
    </dsp:sp>
    <dsp:sp modelId="{E78A6123-7277-4BF2-BA19-5BF5DD2CB6FE}">
      <dsp:nvSpPr>
        <dsp:cNvPr id="0" name=""/>
        <dsp:cNvSpPr/>
      </dsp:nvSpPr>
      <dsp:spPr>
        <a:xfrm>
          <a:off x="1678009" y="2695926"/>
          <a:ext cx="1145865" cy="38569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fr-CA" sz="800" kern="1200">
              <a:solidFill>
                <a:sysClr val="window" lastClr="FFFFFF"/>
              </a:solidFill>
              <a:latin typeface="Aptos" panose="020B0004020202020204" pitchFamily="34" charset="0"/>
              <a:ea typeface="+mn-ea"/>
              <a:cs typeface="+mn-cs"/>
            </a:rPr>
            <a:t>Colère, mécontentement, irritation (8 %)</a:t>
          </a:r>
        </a:p>
      </dsp:txBody>
      <dsp:txXfrm>
        <a:off x="1689305" y="2707222"/>
        <a:ext cx="1123273" cy="363098"/>
      </dsp:txXfrm>
    </dsp:sp>
    <dsp:sp modelId="{1188D7B2-34EC-499E-890E-8058A0042053}">
      <dsp:nvSpPr>
        <dsp:cNvPr id="0" name=""/>
        <dsp:cNvSpPr/>
      </dsp:nvSpPr>
      <dsp:spPr>
        <a:xfrm>
          <a:off x="1710207" y="3155220"/>
          <a:ext cx="1145865" cy="38569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t>Pensées suicidaires</a:t>
          </a:r>
          <a:br>
            <a:rPr lang="fr-CA" sz="900" kern="1200"/>
          </a:br>
          <a:r>
            <a:rPr lang="fr-CA" sz="900" kern="1200"/>
            <a:t> (7 %)</a:t>
          </a:r>
        </a:p>
      </dsp:txBody>
      <dsp:txXfrm>
        <a:off x="1721503" y="3166516"/>
        <a:ext cx="1123273" cy="363098"/>
      </dsp:txXfrm>
    </dsp:sp>
    <dsp:sp modelId="{B0AEA202-1D93-4B2D-A000-1814676CC631}">
      <dsp:nvSpPr>
        <dsp:cNvPr id="0" name=""/>
        <dsp:cNvSpPr/>
      </dsp:nvSpPr>
      <dsp:spPr>
        <a:xfrm>
          <a:off x="1710207" y="3643058"/>
          <a:ext cx="1145865" cy="38569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t>Problèmes médicaux</a:t>
          </a:r>
          <a:br>
            <a:rPr lang="fr-CA" sz="900" kern="1200"/>
          </a:br>
          <a:r>
            <a:rPr lang="fr-CA" sz="900" kern="1200"/>
            <a:t> (7 %)</a:t>
          </a:r>
        </a:p>
      </dsp:txBody>
      <dsp:txXfrm>
        <a:off x="1721503" y="3654354"/>
        <a:ext cx="1123273" cy="363098"/>
      </dsp:txXfrm>
    </dsp:sp>
    <dsp:sp modelId="{4A891429-FA15-4C2C-89A1-5A7E2DB6BFFA}">
      <dsp:nvSpPr>
        <dsp:cNvPr id="0" name=""/>
        <dsp:cNvSpPr/>
      </dsp:nvSpPr>
      <dsp:spPr>
        <a:xfrm>
          <a:off x="1723076" y="4116623"/>
          <a:ext cx="1145865" cy="38569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t>Insomnie</a:t>
          </a:r>
          <a:br>
            <a:rPr lang="fr-CA" sz="900" kern="1200"/>
          </a:br>
          <a:r>
            <a:rPr lang="fr-CA" sz="900" kern="1200"/>
            <a:t> (6 %)</a:t>
          </a:r>
        </a:p>
      </dsp:txBody>
      <dsp:txXfrm>
        <a:off x="1734372" y="4127919"/>
        <a:ext cx="1123273" cy="363098"/>
      </dsp:txXfrm>
    </dsp:sp>
    <dsp:sp modelId="{8F5A6D7F-E829-4A6B-B730-85A7EC11965A}">
      <dsp:nvSpPr>
        <dsp:cNvPr id="0" name=""/>
        <dsp:cNvSpPr/>
      </dsp:nvSpPr>
      <dsp:spPr>
        <a:xfrm>
          <a:off x="1723087" y="4613969"/>
          <a:ext cx="1145865" cy="385690"/>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fr-CA" sz="800" kern="1200">
              <a:latin typeface="Aptos" panose="020B0004020202020204" pitchFamily="34" charset="0"/>
            </a:rPr>
            <a:t>Effets</a:t>
          </a:r>
          <a:r>
            <a:rPr lang="fr-CA" sz="800" kern="1200">
              <a:solidFill>
                <a:sysClr val="window" lastClr="FFFFFF"/>
              </a:solidFill>
              <a:latin typeface="Aptos" panose="020B0004020202020204" pitchFamily="34" charset="0"/>
              <a:ea typeface="+mn-ea"/>
              <a:cs typeface="+mn-cs"/>
            </a:rPr>
            <a:t> sur la vie familiale ou de couple</a:t>
          </a:r>
          <a:br>
            <a:rPr lang="fr-CA" sz="800" kern="1200">
              <a:solidFill>
                <a:sysClr val="window" lastClr="FFFFFF"/>
              </a:solidFill>
              <a:latin typeface="Aptos" panose="020B0004020202020204" pitchFamily="34" charset="0"/>
              <a:ea typeface="+mn-ea"/>
              <a:cs typeface="+mn-cs"/>
            </a:rPr>
          </a:br>
          <a:r>
            <a:rPr lang="fr-CA" sz="800" kern="1200">
              <a:solidFill>
                <a:sysClr val="window" lastClr="FFFFFF"/>
              </a:solidFill>
              <a:latin typeface="Aptos" panose="020B0004020202020204" pitchFamily="34" charset="0"/>
              <a:ea typeface="+mn-ea"/>
              <a:cs typeface="+mn-cs"/>
            </a:rPr>
            <a:t> (5 %)</a:t>
          </a:r>
        </a:p>
      </dsp:txBody>
      <dsp:txXfrm>
        <a:off x="1734383" y="4625265"/>
        <a:ext cx="1123273" cy="363098"/>
      </dsp:txXfrm>
    </dsp:sp>
    <dsp:sp modelId="{BA06F6DD-9173-40AC-80CB-2E1A2E70227D}">
      <dsp:nvSpPr>
        <dsp:cNvPr id="0" name=""/>
        <dsp:cNvSpPr/>
      </dsp:nvSpPr>
      <dsp:spPr>
        <a:xfrm>
          <a:off x="3080971" y="0"/>
          <a:ext cx="1432331" cy="5389008"/>
        </a:xfrm>
        <a:prstGeom prst="roundRect">
          <a:avLst>
            <a:gd name="adj" fmla="val 10000"/>
          </a:avLst>
        </a:prstGeom>
        <a:solidFill>
          <a:srgbClr val="CF3575"/>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CA" sz="1200" b="1" kern="1200">
              <a:solidFill>
                <a:sysClr val="windowText" lastClr="000000">
                  <a:hueOff val="0"/>
                  <a:satOff val="0"/>
                  <a:lumOff val="0"/>
                  <a:alphaOff val="0"/>
                </a:sysClr>
              </a:solidFill>
              <a:latin typeface="+mn-lt"/>
              <a:ea typeface="+mn-ea"/>
              <a:cs typeface="+mn-cs"/>
            </a:rPr>
            <a:t>Effets sur la personne au travail </a:t>
          </a:r>
        </a:p>
        <a:p>
          <a:pPr marL="0" lvl="0" indent="0" algn="ctr" defTabSz="533400">
            <a:lnSpc>
              <a:spcPct val="90000"/>
            </a:lnSpc>
            <a:spcBef>
              <a:spcPct val="0"/>
            </a:spcBef>
            <a:spcAft>
              <a:spcPct val="35000"/>
            </a:spcAft>
            <a:buNone/>
          </a:pPr>
          <a:r>
            <a:rPr lang="fr-CA" sz="1200" b="1" kern="1200">
              <a:solidFill>
                <a:sysClr val="windowText" lastClr="000000">
                  <a:hueOff val="0"/>
                  <a:satOff val="0"/>
                  <a:lumOff val="0"/>
                  <a:alphaOff val="0"/>
                </a:sysClr>
              </a:solidFill>
              <a:latin typeface="+mn-lt"/>
              <a:ea typeface="+mn-ea"/>
              <a:cs typeface="+mn-cs"/>
            </a:rPr>
            <a:t>(31 %)</a:t>
          </a:r>
        </a:p>
      </dsp:txBody>
      <dsp:txXfrm>
        <a:off x="3122923" y="41952"/>
        <a:ext cx="1348427" cy="1532798"/>
      </dsp:txXfrm>
    </dsp:sp>
    <dsp:sp modelId="{25CF7D36-2A63-4C0B-BB95-4B934556EE5E}">
      <dsp:nvSpPr>
        <dsp:cNvPr id="0" name=""/>
        <dsp:cNvSpPr/>
      </dsp:nvSpPr>
      <dsp:spPr>
        <a:xfrm>
          <a:off x="3256403" y="1236453"/>
          <a:ext cx="1145865" cy="517389"/>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solidFill>
                <a:sysClr val="window" lastClr="FFFFFF"/>
              </a:solidFill>
              <a:latin typeface="+mn-lt"/>
              <a:ea typeface="+mn-ea"/>
              <a:cs typeface="+mn-cs"/>
            </a:rPr>
            <a:t>Angoisse, </a:t>
          </a:r>
          <a:r>
            <a:rPr lang="fr-CA" sz="900" kern="1200">
              <a:latin typeface="+mn-lt"/>
            </a:rPr>
            <a:t>anxiété</a:t>
          </a:r>
          <a:r>
            <a:rPr lang="fr-CA" sz="900" kern="1200">
              <a:solidFill>
                <a:sysClr val="window" lastClr="FFFFFF"/>
              </a:solidFill>
              <a:latin typeface="+mn-lt"/>
              <a:ea typeface="+mn-ea"/>
              <a:cs typeface="+mn-cs"/>
            </a:rPr>
            <a:t>, peur</a:t>
          </a:r>
          <a:br>
            <a:rPr lang="fr-CA" sz="900" kern="1200">
              <a:solidFill>
                <a:sysClr val="window" lastClr="FFFFFF"/>
              </a:solidFill>
              <a:latin typeface="+mn-lt"/>
              <a:ea typeface="+mn-ea"/>
              <a:cs typeface="+mn-cs"/>
            </a:rPr>
          </a:br>
          <a:r>
            <a:rPr lang="fr-CA" sz="900" kern="1200">
              <a:solidFill>
                <a:sysClr val="window" lastClr="FFFFFF"/>
              </a:solidFill>
              <a:latin typeface="+mn-lt"/>
              <a:ea typeface="+mn-ea"/>
              <a:cs typeface="+mn-cs"/>
            </a:rPr>
            <a:t>(48 %)</a:t>
          </a:r>
        </a:p>
      </dsp:txBody>
      <dsp:txXfrm>
        <a:off x="3271557" y="1251607"/>
        <a:ext cx="1115557" cy="487081"/>
      </dsp:txXfrm>
    </dsp:sp>
    <dsp:sp modelId="{DFC68D9C-E394-4D18-A0FB-610F6DCF7300}">
      <dsp:nvSpPr>
        <dsp:cNvPr id="0" name=""/>
        <dsp:cNvSpPr/>
      </dsp:nvSpPr>
      <dsp:spPr>
        <a:xfrm>
          <a:off x="3237073" y="1890514"/>
          <a:ext cx="1145865" cy="517389"/>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Aptos" panose="020B0004020202020204" pitchFamily="34" charset="0"/>
            </a:rPr>
            <a:t>Problèmes médicaux</a:t>
          </a:r>
          <a:br>
            <a:rPr lang="fr-CA" sz="900" kern="1200">
              <a:latin typeface="Aptos" panose="020B0004020202020204" pitchFamily="34" charset="0"/>
            </a:rPr>
          </a:br>
          <a:r>
            <a:rPr lang="fr-CA" sz="900" kern="1200">
              <a:latin typeface="Aptos" panose="020B0004020202020204" pitchFamily="34" charset="0"/>
            </a:rPr>
            <a:t>(32 %)</a:t>
          </a:r>
        </a:p>
      </dsp:txBody>
      <dsp:txXfrm>
        <a:off x="3252227" y="1905668"/>
        <a:ext cx="1115557" cy="487081"/>
      </dsp:txXfrm>
    </dsp:sp>
    <dsp:sp modelId="{AE87D2F9-AD5A-4EEF-955F-938E0F28796E}">
      <dsp:nvSpPr>
        <dsp:cNvPr id="0" name=""/>
        <dsp:cNvSpPr/>
      </dsp:nvSpPr>
      <dsp:spPr>
        <a:xfrm>
          <a:off x="3217765" y="2520796"/>
          <a:ext cx="1145865" cy="517389"/>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Aptos" panose="020B0004020202020204" pitchFamily="34" charset="0"/>
            </a:rPr>
            <a:t>Humiliation</a:t>
          </a:r>
          <a:br>
            <a:rPr lang="fr-CA" sz="900" kern="1200">
              <a:latin typeface="Aptos" panose="020B0004020202020204" pitchFamily="34" charset="0"/>
            </a:rPr>
          </a:br>
          <a:r>
            <a:rPr lang="fr-CA" sz="900" kern="1200">
              <a:latin typeface="Aptos" panose="020B0004020202020204" pitchFamily="34" charset="0"/>
            </a:rPr>
            <a:t> (30 %)</a:t>
          </a:r>
        </a:p>
      </dsp:txBody>
      <dsp:txXfrm>
        <a:off x="3232919" y="2535950"/>
        <a:ext cx="1115557" cy="487081"/>
      </dsp:txXfrm>
    </dsp:sp>
    <dsp:sp modelId="{5917DA46-8FFC-457B-8454-73E3BA4618B1}">
      <dsp:nvSpPr>
        <dsp:cNvPr id="0" name=""/>
        <dsp:cNvSpPr/>
      </dsp:nvSpPr>
      <dsp:spPr>
        <a:xfrm>
          <a:off x="3230644" y="3179622"/>
          <a:ext cx="1145865" cy="517389"/>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Aptos" panose="020B0004020202020204" pitchFamily="34" charset="0"/>
            </a:rPr>
            <a:t>Adaptation du comportement</a:t>
          </a:r>
          <a:br>
            <a:rPr lang="fr-CA" sz="900" kern="1200">
              <a:latin typeface="Aptos" panose="020B0004020202020204" pitchFamily="34" charset="0"/>
            </a:rPr>
          </a:br>
          <a:r>
            <a:rPr lang="fr-CA" sz="900" kern="1200">
              <a:latin typeface="Aptos" panose="020B0004020202020204" pitchFamily="34" charset="0"/>
            </a:rPr>
            <a:t> (10 %)</a:t>
          </a:r>
        </a:p>
      </dsp:txBody>
      <dsp:txXfrm>
        <a:off x="3245798" y="3194776"/>
        <a:ext cx="1115557" cy="487081"/>
      </dsp:txXfrm>
    </dsp:sp>
    <dsp:sp modelId="{8C7F6439-EFBD-4F9A-A508-62FAC9E9410F}">
      <dsp:nvSpPr>
        <dsp:cNvPr id="0" name=""/>
        <dsp:cNvSpPr/>
      </dsp:nvSpPr>
      <dsp:spPr>
        <a:xfrm>
          <a:off x="3211336" y="3814659"/>
          <a:ext cx="1145865" cy="517389"/>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Aptos" panose="020B0004020202020204" pitchFamily="34" charset="0"/>
            </a:rPr>
            <a:t>Mépris</a:t>
          </a:r>
          <a:br>
            <a:rPr lang="fr-CA" sz="900" kern="1200">
              <a:latin typeface="Aptos" panose="020B0004020202020204" pitchFamily="34" charset="0"/>
            </a:rPr>
          </a:br>
          <a:r>
            <a:rPr lang="fr-CA" sz="900" kern="1200">
              <a:latin typeface="Aptos" panose="020B0004020202020204" pitchFamily="34" charset="0"/>
            </a:rPr>
            <a:t> (8 %)</a:t>
          </a:r>
        </a:p>
      </dsp:txBody>
      <dsp:txXfrm>
        <a:off x="3226490" y="3829813"/>
        <a:ext cx="1115557" cy="487081"/>
      </dsp:txXfrm>
    </dsp:sp>
    <dsp:sp modelId="{9C59B72D-11A9-412F-AC8D-1ECA4738F7E3}">
      <dsp:nvSpPr>
        <dsp:cNvPr id="0" name=""/>
        <dsp:cNvSpPr/>
      </dsp:nvSpPr>
      <dsp:spPr>
        <a:xfrm>
          <a:off x="3217765" y="4482995"/>
          <a:ext cx="1145865" cy="517389"/>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Atteinte à la réputation</a:t>
          </a:r>
          <a:br>
            <a:rPr lang="fr-CA" sz="900" kern="1200">
              <a:latin typeface="+mn-lt"/>
            </a:rPr>
          </a:br>
          <a:r>
            <a:rPr lang="fr-CA" sz="900" kern="1200">
              <a:latin typeface="+mn-lt"/>
            </a:rPr>
            <a:t> (3 %)</a:t>
          </a:r>
        </a:p>
      </dsp:txBody>
      <dsp:txXfrm>
        <a:off x="3232919" y="4498149"/>
        <a:ext cx="1115557" cy="487081"/>
      </dsp:txXfrm>
    </dsp:sp>
    <dsp:sp modelId="{7DD543AA-CED2-4D39-A6B7-37CE84B57466}">
      <dsp:nvSpPr>
        <dsp:cNvPr id="0" name=""/>
        <dsp:cNvSpPr/>
      </dsp:nvSpPr>
      <dsp:spPr>
        <a:xfrm>
          <a:off x="4620728" y="0"/>
          <a:ext cx="1432331" cy="5389008"/>
        </a:xfrm>
        <a:prstGeom prst="roundRect">
          <a:avLst>
            <a:gd name="adj" fmla="val 10000"/>
          </a:avLst>
        </a:prstGeom>
        <a:solidFill>
          <a:srgbClr val="953D89"/>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CA" sz="1200" b="1" kern="1200">
              <a:solidFill>
                <a:schemeClr val="bg1"/>
              </a:solidFill>
              <a:latin typeface="Aptos" panose="020B0004020202020204" pitchFamily="34" charset="0"/>
              <a:ea typeface="+mn-ea"/>
              <a:cs typeface="+mn-cs"/>
            </a:rPr>
            <a:t>Effets sur l'exécution du travail</a:t>
          </a:r>
        </a:p>
        <a:p>
          <a:pPr marL="0" lvl="0" indent="0" algn="ctr" defTabSz="533400">
            <a:lnSpc>
              <a:spcPct val="90000"/>
            </a:lnSpc>
            <a:spcBef>
              <a:spcPct val="0"/>
            </a:spcBef>
            <a:spcAft>
              <a:spcPct val="35000"/>
            </a:spcAft>
            <a:buNone/>
          </a:pPr>
          <a:r>
            <a:rPr lang="fr-CA" sz="1200" b="1" kern="1200">
              <a:solidFill>
                <a:schemeClr val="bg1"/>
              </a:solidFill>
              <a:latin typeface="Aptos" panose="020B0004020202020204" pitchFamily="34" charset="0"/>
              <a:ea typeface="+mn-ea"/>
              <a:cs typeface="+mn-cs"/>
            </a:rPr>
            <a:t>(7 %)</a:t>
          </a:r>
        </a:p>
      </dsp:txBody>
      <dsp:txXfrm>
        <a:off x="4662680" y="41952"/>
        <a:ext cx="1348427" cy="1532798"/>
      </dsp:txXfrm>
    </dsp:sp>
    <dsp:sp modelId="{51023952-42F1-4B5F-A695-AA07DE48376C}">
      <dsp:nvSpPr>
        <dsp:cNvPr id="0" name=""/>
        <dsp:cNvSpPr/>
      </dsp:nvSpPr>
      <dsp:spPr>
        <a:xfrm>
          <a:off x="4763961" y="1618281"/>
          <a:ext cx="1145865" cy="1624859"/>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Impossibilité de travailler</a:t>
          </a:r>
          <a:br>
            <a:rPr lang="fr-CA" sz="900" kern="1200">
              <a:latin typeface="+mn-lt"/>
            </a:rPr>
          </a:br>
          <a:r>
            <a:rPr lang="fr-CA" sz="900" kern="1200">
              <a:latin typeface="+mn-lt"/>
            </a:rPr>
            <a:t> (67 %)</a:t>
          </a:r>
        </a:p>
      </dsp:txBody>
      <dsp:txXfrm>
        <a:off x="4797522" y="1651842"/>
        <a:ext cx="1078743" cy="1557737"/>
      </dsp:txXfrm>
    </dsp:sp>
    <dsp:sp modelId="{5F73B92C-A305-448C-8487-25467C25BC36}">
      <dsp:nvSpPr>
        <dsp:cNvPr id="0" name=""/>
        <dsp:cNvSpPr/>
      </dsp:nvSpPr>
      <dsp:spPr>
        <a:xfrm>
          <a:off x="4763961" y="3493119"/>
          <a:ext cx="1145865" cy="1624859"/>
        </a:xfrm>
        <a:prstGeom prst="roundRect">
          <a:avLst>
            <a:gd name="adj" fmla="val 10000"/>
          </a:avLst>
        </a:prstGeom>
        <a:solidFill>
          <a:srgbClr val="0F24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fr-CA" sz="900" kern="1200">
              <a:latin typeface="+mn-lt"/>
            </a:rPr>
            <a:t>Difficulté à se concentrer</a:t>
          </a:r>
          <a:br>
            <a:rPr lang="fr-CA" sz="900" kern="1200">
              <a:latin typeface="+mn-lt"/>
            </a:rPr>
          </a:br>
          <a:r>
            <a:rPr lang="fr-CA" sz="900" kern="1200">
              <a:latin typeface="+mn-lt"/>
            </a:rPr>
            <a:t>(40 %)</a:t>
          </a:r>
        </a:p>
      </dsp:txBody>
      <dsp:txXfrm>
        <a:off x="4797522" y="3526680"/>
        <a:ext cx="1078743" cy="155773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Override>
</file>

<file path=word/theme/themeOverride5.xml><?xml version="1.0" encoding="utf-8"?>
<a:themeOverride xmlns:a="http://schemas.openxmlformats.org/drawingml/2006/main">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Value>676</Value>
    </TaxCatchAll>
    <BlobTransferDocumentDate xmlns="3cc706f8-daeb-4c57-a93c-fdf45da762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6abc4f293ca00c6ccc1553a7b4895e6f">
  <xsd:schema xmlns:xsd="http://www.w3.org/2001/XMLSchema" xmlns:xs="http://www.w3.org/2001/XMLSchema" xmlns:p="http://schemas.microsoft.com/office/2006/metadata/properties" xmlns:ns2="3cc706f8-daeb-4c57-a93c-fdf45da762a7" targetNamespace="http://schemas.microsoft.com/office/2006/metadata/properties" ma:root="true" ma:fieldsID="cc4b9f9487298ed539e0bd9cd418ec3a"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element ref="ns2:BlobTransfer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7;#05520 Site web CDPDJ|01c3aec0-4bb4-4bb8-a8f9-fed9b941958e"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element name="BlobTransferDocumentDate" ma:index="14" nillable="true" ma:displayName="BlobTransferDocumentDate" ma:format="DateOnly" ma:internalName="BlobTransfer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b66c5a5-9349-45f3-a35d-93d4de43bb68" ContentTypeId="0x0101005B31C1E327F24A4395DD83803DF5CBEC"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84F79-D61C-4A03-826A-11BCA958853C}">
  <ds:schemaRefs>
    <ds:schemaRef ds:uri="http://schemas.microsoft.com/office/2006/metadata/properties"/>
    <ds:schemaRef ds:uri="http://schemas.microsoft.com/office/infopath/2007/PartnerControls"/>
    <ds:schemaRef ds:uri="3cc706f8-daeb-4c57-a93c-fdf45da762a7"/>
  </ds:schemaRefs>
</ds:datastoreItem>
</file>

<file path=customXml/itemProps2.xml><?xml version="1.0" encoding="utf-8"?>
<ds:datastoreItem xmlns:ds="http://schemas.openxmlformats.org/officeDocument/2006/customXml" ds:itemID="{EC09E478-9C14-4B6D-B342-E5AE9C1FBF63}">
  <ds:schemaRefs>
    <ds:schemaRef ds:uri="http://schemas.microsoft.com/sharepoint/v3/contenttype/forms"/>
  </ds:schemaRefs>
</ds:datastoreItem>
</file>

<file path=customXml/itemProps3.xml><?xml version="1.0" encoding="utf-8"?>
<ds:datastoreItem xmlns:ds="http://schemas.openxmlformats.org/officeDocument/2006/customXml" ds:itemID="{6E61E170-4405-461E-9B51-3C608E357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4E1C20-4FDA-492C-BE0E-573B489411BA}">
  <ds:schemaRefs>
    <ds:schemaRef ds:uri="Microsoft.SharePoint.Taxonomy.ContentTypeSync"/>
  </ds:schemaRefs>
</ds:datastoreItem>
</file>

<file path=customXml/itemProps5.xml><?xml version="1.0" encoding="utf-8"?>
<ds:datastoreItem xmlns:ds="http://schemas.openxmlformats.org/officeDocument/2006/customXml" ds:itemID="{94098084-592A-4805-98E0-3A8033E6C00E}">
  <ds:schemaRefs>
    <ds:schemaRef ds:uri="http://schemas.openxmlformats.org/officeDocument/2006/bibliography"/>
  </ds:schemaRefs>
</ds:datastoreItem>
</file>

<file path=docMetadata/LabelInfo.xml><?xml version="1.0" encoding="utf-8"?>
<clbl:labelList xmlns:clbl="http://schemas.microsoft.com/office/2020/mipLabelMetadata">
  <clbl:label id="{b579630c-7c64-4800-abc4-0b7c5052dafa}" enabled="1" method="Standard" siteId="{1b52fca3-c468-4eac-a85f-e8bf21f0fb3d}" removed="0"/>
</clbl:labelList>
</file>

<file path=docProps/app.xml><?xml version="1.0" encoding="utf-8"?>
<Properties xmlns="http://schemas.openxmlformats.org/officeDocument/2006/extended-properties" xmlns:vt="http://schemas.openxmlformats.org/officeDocument/2006/docPropsVTypes">
  <Template>Normal</Template>
  <TotalTime>8081</TotalTime>
  <Pages>129</Pages>
  <Words>41318</Words>
  <Characters>227250</Characters>
  <Application>Microsoft Office Word</Application>
  <DocSecurity>8</DocSecurity>
  <Lines>1893</Lines>
  <Paragraphs>536</Paragraphs>
  <ScaleCrop>false</ScaleCrop>
  <HeadingPairs>
    <vt:vector size="2" baseType="variant">
      <vt:variant>
        <vt:lpstr>Titre</vt:lpstr>
      </vt:variant>
      <vt:variant>
        <vt:i4>1</vt:i4>
      </vt:variant>
    </vt:vector>
  </HeadingPairs>
  <TitlesOfParts>
    <vt:vector size="1" baseType="lpstr">
      <vt:lpstr>L’égalité réelle se fait toujours attendre - 30 ans de plaintes pour discrimination</vt:lpstr>
    </vt:vector>
  </TitlesOfParts>
  <Company/>
  <LinksUpToDate>false</LinksUpToDate>
  <CharactersWithSpaces>268032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L’égalité réelle se fait toujours attendre - 30 ans de plaintes pour discrimination</dc:title>
  <dc:subject>Cette étude analyse 30 ans de plaintes pour discrimination en emploi fondée sur l'orientation sexuelle et l'identité ou l'expression de genre reçues par la Commission. Le rapport met en lumière des formes persistantes que peuvent prendre l’homophobie et la transphobie au travail, ainsi que leurs effets possibles sur les parcours professionnels et la vie des personnes concernées.</dc:subject>
  <dc:creator>Commission des droits de la personne et des droits de la jeunesse</dc:creator>
  <cp:keywords>Art 10 Discrimination - notion; art 10.1 Harcèlement; Art 16 Discrimination dans l'emploi; Propos discriminatoire; Art 46 Conditions de travail;Orientation sexuelle; Identité ou expression du genre; Sexe;Climat de travail; Dotation; Mesures disciplinaires; Normes du travail; Santé et sécurité au travail; Homophobie; Sexisme; LGBTQI+; Transgenre;</cp:keywords>
  <dc:description/>
  <cp:lastModifiedBy>Sophie Ambrosi</cp:lastModifiedBy>
  <cp:revision>3479</cp:revision>
  <cp:lastPrinted>2026-05-13T12:23:00Z</cp:lastPrinted>
  <dcterms:created xsi:type="dcterms:W3CDTF">2025-06-03T19:25:00Z</dcterms:created>
  <dcterms:modified xsi:type="dcterms:W3CDTF">2026-05-14T13:44:00Z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0x0101005B31C1E327F24A4395DD83803DF5CBECC100008FF0FC23E3FE48BD24CD9549EFFD2A</vt:lpwstr>
  </property>
  <property fmtid="{D5CDD505-2E9C-101B-9397-08002B2CF9AE}" pid="3" name="Type_x0020_de_x0020_dossiers">
    <vt:lpwstr>30;#Étude|56457e68-a57e-4116-b272-b2b57db406e1</vt:lpwstr>
  </property>
  <property fmtid="{D5CDD505-2E9C-101B-9397-08002B2CF9AE}" pid="4" name="mc2e767dea7f4827a4535bf70c6ec0e3">
    <vt:lpwstr>Étude|56457e68-a57e-4116-b272-b2b57db406e1</vt:lpwstr>
  </property>
  <property fmtid="{D5CDD505-2E9C-101B-9397-08002B2CF9AE}" pid="5" name="TypeDocument">
    <vt:lpwstr/>
  </property>
  <property fmtid="{D5CDD505-2E9C-101B-9397-08002B2CF9AE}" pid="6" name="Auteur-s">
    <vt:lpwstr/>
  </property>
  <property fmtid="{D5CDD505-2E9C-101B-9397-08002B2CF9AE}" pid="7" name="HUBStatutProjet">
    <vt:lpwstr/>
  </property>
  <property fmtid="{D5CDD505-2E9C-101B-9397-08002B2CF9AE}" pid="8" name="BiblioAnalytique">
    <vt:lpwstr/>
  </property>
  <property fmtid="{D5CDD505-2E9C-101B-9397-08002B2CF9AE}" pid="9" name="TypeDiffusion">
    <vt:lpwstr/>
  </property>
  <property fmtid="{D5CDD505-2E9C-101B-9397-08002B2CF9AE}" pid="10" name="Auteur_x002d_s">
    <vt:lpwstr/>
  </property>
  <property fmtid="{D5CDD505-2E9C-101B-9397-08002B2CF9AE}" pid="11" name="l85f0e55eaa040ec862692f0b4c301ff">
    <vt:lpwstr/>
  </property>
  <property fmtid="{D5CDD505-2E9C-101B-9397-08002B2CF9AE}" pid="12" name="Type de dossiers">
    <vt:lpwstr>30;#Étude|56457e68-a57e-4116-b272-b2b57db406e1</vt:lpwstr>
  </property>
  <property fmtid="{D5CDD505-2E9C-101B-9397-08002B2CF9AE}" pid="13" name="SecteursActivites">
    <vt:lpwstr/>
  </property>
  <property fmtid="{D5CDD505-2E9C-101B-9397-08002B2CF9AE}" pid="14" name="_docset_NoMedatataSyncRequired">
    <vt:lpwstr>False</vt:lpwstr>
  </property>
  <property fmtid="{D5CDD505-2E9C-101B-9397-08002B2CF9AE}" pid="15" name="ClassificationContentMarkingHeaderShapeIds">
    <vt:lpwstr>fad715,36df1203,4866d6da,74468cdc,27adcbd7,506b0925</vt:lpwstr>
  </property>
  <property fmtid="{D5CDD505-2E9C-101B-9397-08002B2CF9AE}" pid="16" name="ClassificationContentMarkingHeaderFontProps">
    <vt:lpwstr>#000000,10,Calibri</vt:lpwstr>
  </property>
  <property fmtid="{D5CDD505-2E9C-101B-9397-08002B2CF9AE}" pid="17" name="ClassificationContentMarkingHeaderText">
    <vt:lpwstr>Document à diffusion restreinte</vt:lpwstr>
  </property>
  <property fmtid="{D5CDD505-2E9C-101B-9397-08002B2CF9AE}" pid="18" name="HUBClassification">
    <vt:lpwstr>676</vt:lpwstr>
  </property>
  <property fmtid="{D5CDD505-2E9C-101B-9397-08002B2CF9AE}" pid="19" name="Droits">
    <vt:lpwstr>735;#Art 10 Discrimination - notion|12b8b558-b2a1-4fa2-827b-71fe566bc259;#805;#art 10.1 Harcèlement|09a1f8c5-bc1e-4de5-bc57-ceef4cfb9631;#813;#Art 16 Discrimination dans l'emploi|854f1281-b723-4867-9dc9-cb1025f1c246;#848;#Propos discriminatoire|fc9f6545-9bfb-4b26-998f-c7e7941be08b;#779;#Art 46 Conditions de travail|032cd63d-6347-40b7-8e01-cad0b6e0e90a</vt:lpwstr>
  </property>
  <property fmtid="{D5CDD505-2E9C-101B-9397-08002B2CF9AE}" pid="20" name="Motifs">
    <vt:lpwstr>790;#Orientation sexuelle|918b307f-356b-412a-81e1-faa5c0bedeb9;#796;#Identité ou expression du genre|528e5cd6-f070-4137-ba80-d6b33208e0c2;#781;#Sexe|ae27ad76-0620-449a-8ccf-1030b4d20e70</vt:lpwstr>
  </property>
  <property fmtid="{D5CDD505-2E9C-101B-9397-08002B2CF9AE}" pid="21" name="Thematiques">
    <vt:lpwstr>761;#Climat de travail|602433fd-b3f1-4b23-816e-1532d8e8828a;#727;#Dotation|ed9d2920-00ab-496a-ba6c-52f80375255d;#785;#Mesures disciplinaires|23612c48-bcfd-4030-bca6-d48db2994780;#725;#Normes du travail|635cdb3e-8a02-4d9a-a65b-86fab9e7cd51;#783;#Santé et sécurité au travail|4af6ed65-f6c7-4f7e-8c8e-7315566a2830;#889;#Homophobie|7bdc5571-c94a-4a2e-b732-d54e77d4d9d3;#784;#Sexisme|5d0e5490-d042-4323-9cb8-8526aefa13d5;#792;#LGBTQI+|d361baf0-0f84-4bb4-b41c-15c3f433dff1;#852;#Transgenre|223a2589-dcfd-489a-aefb-4072d9aed70a</vt:lpwstr>
  </property>
  <property fmtid="{D5CDD505-2E9C-101B-9397-08002B2CF9AE}" pid="22" name="MediaServiceImageTags">
    <vt:lpwstr/>
  </property>
  <property fmtid="{D5CDD505-2E9C-101B-9397-08002B2CF9AE}" pid="23" name="lcf76f155ced4ddcb4097134ff3c332f">
    <vt:lpwstr/>
  </property>
</Properties>
</file>